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Theme="minorEastAsia" w:hAnsiTheme="minorEastAsia" w:eastAsiaTheme="minorEastAsia"/>
        </w:rPr>
      </w:pPr>
      <w:bookmarkStart w:id="0" w:name="_Toc450080052"/>
      <w:bookmarkStart w:id="1" w:name="_Toc449961464"/>
    </w:p>
    <w:p>
      <w:pPr>
        <w:ind w:firstLine="0" w:firstLineChars="0"/>
        <w:rPr>
          <w:rFonts w:asciiTheme="minorEastAsia" w:hAnsiTheme="minorEastAsia" w:eastAsiaTheme="minorEastAsia"/>
        </w:rPr>
      </w:pPr>
    </w:p>
    <w:p>
      <w:pPr>
        <w:ind w:firstLine="0" w:firstLineChars="0"/>
        <w:rPr>
          <w:rFonts w:asciiTheme="minorEastAsia" w:hAnsiTheme="minorEastAsia" w:eastAsiaTheme="minorEastAsia"/>
        </w:rPr>
      </w:pPr>
    </w:p>
    <w:p>
      <w:pPr>
        <w:spacing w:line="1000" w:lineRule="exact"/>
        <w:ind w:firstLine="0" w:firstLineChars="0"/>
        <w:jc w:val="center"/>
        <w:rPr>
          <w:rFonts w:cs="宋体" w:asciiTheme="minorEastAsia" w:hAnsiTheme="minorEastAsia" w:eastAsiaTheme="minorEastAsia"/>
          <w:b/>
          <w:sz w:val="44"/>
          <w:szCs w:val="52"/>
        </w:rPr>
      </w:pPr>
      <w:r>
        <w:rPr>
          <w:rFonts w:hint="eastAsia" w:cs="宋体" w:asciiTheme="minorEastAsia" w:hAnsiTheme="minorEastAsia" w:eastAsiaTheme="minorEastAsia"/>
          <w:b/>
          <w:sz w:val="44"/>
          <w:szCs w:val="52"/>
        </w:rPr>
        <w:t>福建省渔港升级改造和整治维护规划</w:t>
      </w:r>
    </w:p>
    <w:p>
      <w:pPr>
        <w:spacing w:line="1000" w:lineRule="exact"/>
        <w:ind w:firstLine="0" w:firstLineChars="0"/>
        <w:jc w:val="center"/>
        <w:rPr>
          <w:rFonts w:cs="宋体" w:asciiTheme="minorEastAsia" w:hAnsiTheme="minorEastAsia" w:eastAsiaTheme="minorEastAsia"/>
          <w:b/>
          <w:sz w:val="52"/>
          <w:szCs w:val="52"/>
        </w:rPr>
      </w:pPr>
      <w:r>
        <w:rPr>
          <w:rFonts w:hint="eastAsia" w:cs="宋体" w:asciiTheme="minorEastAsia" w:hAnsiTheme="minorEastAsia" w:eastAsiaTheme="minorEastAsia"/>
          <w:b/>
          <w:sz w:val="40"/>
          <w:szCs w:val="52"/>
        </w:rPr>
        <w:t>（2018～2020年）</w:t>
      </w:r>
    </w:p>
    <w:p>
      <w:pPr>
        <w:spacing w:line="1000" w:lineRule="exact"/>
        <w:ind w:firstLine="0" w:firstLineChars="0"/>
        <w:jc w:val="center"/>
        <w:rPr>
          <w:rFonts w:cs="宋体" w:asciiTheme="minorEastAsia" w:hAnsiTheme="minorEastAsia" w:eastAsiaTheme="minorEastAsia"/>
          <w:b/>
          <w:sz w:val="40"/>
          <w:szCs w:val="52"/>
        </w:rPr>
      </w:pPr>
    </w:p>
    <w:p>
      <w:pPr>
        <w:spacing w:line="1000" w:lineRule="exact"/>
        <w:ind w:firstLine="560"/>
        <w:rPr>
          <w:rFonts w:asciiTheme="minorEastAsia" w:hAnsiTheme="minorEastAsia" w:eastAsiaTheme="minorEastAsia"/>
        </w:rPr>
      </w:pPr>
    </w:p>
    <w:p>
      <w:pPr>
        <w:ind w:firstLine="560"/>
        <w:rPr>
          <w:rFonts w:asciiTheme="minorEastAsia" w:hAnsiTheme="minorEastAsia" w:eastAsiaTheme="minorEastAsia"/>
        </w:rPr>
      </w:pPr>
    </w:p>
    <w:p>
      <w:pPr>
        <w:ind w:firstLine="560"/>
        <w:rPr>
          <w:rFonts w:asciiTheme="minorEastAsia" w:hAnsiTheme="minorEastAsia" w:eastAsiaTheme="minorEastAsia"/>
        </w:rPr>
      </w:pPr>
    </w:p>
    <w:p>
      <w:pPr>
        <w:ind w:firstLine="560"/>
        <w:rPr>
          <w:rFonts w:asciiTheme="minorEastAsia" w:hAnsiTheme="minorEastAsia" w:eastAsiaTheme="minorEastAsia"/>
        </w:rPr>
      </w:pPr>
    </w:p>
    <w:p>
      <w:pPr>
        <w:ind w:firstLine="560"/>
        <w:rPr>
          <w:rFonts w:asciiTheme="minorEastAsia" w:hAnsiTheme="minorEastAsia" w:eastAsiaTheme="minorEastAsia"/>
        </w:rPr>
      </w:pPr>
    </w:p>
    <w:p>
      <w:pPr>
        <w:ind w:firstLine="560"/>
        <w:rPr>
          <w:rFonts w:asciiTheme="minorEastAsia" w:hAnsiTheme="minorEastAsia" w:eastAsiaTheme="minorEastAsia"/>
        </w:rPr>
      </w:pPr>
    </w:p>
    <w:p>
      <w:pPr>
        <w:ind w:firstLine="560"/>
        <w:rPr>
          <w:rFonts w:asciiTheme="minorEastAsia" w:hAnsiTheme="minorEastAsia" w:eastAsiaTheme="minorEastAsia"/>
        </w:rPr>
      </w:pPr>
    </w:p>
    <w:p>
      <w:pPr>
        <w:ind w:firstLine="560"/>
        <w:rPr>
          <w:rFonts w:asciiTheme="minorEastAsia" w:hAnsiTheme="minorEastAsia" w:eastAsiaTheme="minorEastAsia"/>
        </w:rPr>
      </w:pPr>
    </w:p>
    <w:p>
      <w:pPr>
        <w:ind w:firstLine="560"/>
        <w:rPr>
          <w:rFonts w:asciiTheme="minorEastAsia" w:hAnsiTheme="minorEastAsia" w:eastAsiaTheme="minorEastAsia"/>
        </w:rPr>
      </w:pPr>
    </w:p>
    <w:p>
      <w:pPr>
        <w:spacing w:line="720" w:lineRule="auto"/>
        <w:ind w:firstLine="803" w:firstLineChars="0"/>
        <w:jc w:val="center"/>
        <w:rPr>
          <w:rFonts w:asciiTheme="minorEastAsia" w:hAnsiTheme="minorEastAsia" w:eastAsiaTheme="minorEastAsia"/>
          <w:b/>
          <w:sz w:val="40"/>
          <w:szCs w:val="48"/>
        </w:rPr>
      </w:pPr>
      <w:r>
        <w:rPr>
          <w:rFonts w:asciiTheme="minorEastAsia" w:hAnsiTheme="minorEastAsia" w:eastAsiaTheme="minorEastAsia"/>
          <w:b/>
          <w:sz w:val="40"/>
          <w:szCs w:val="48"/>
        </w:rPr>
        <w:t>主管单位</w:t>
      </w:r>
      <w:r>
        <w:rPr>
          <w:rFonts w:hint="eastAsia" w:asciiTheme="minorEastAsia" w:hAnsiTheme="minorEastAsia" w:eastAsiaTheme="minorEastAsia"/>
          <w:b/>
          <w:sz w:val="40"/>
          <w:szCs w:val="48"/>
        </w:rPr>
        <w:t>：</w:t>
      </w:r>
      <w:r>
        <w:rPr>
          <w:rFonts w:asciiTheme="minorEastAsia" w:hAnsiTheme="minorEastAsia" w:eastAsiaTheme="minorEastAsia"/>
          <w:b/>
          <w:sz w:val="40"/>
          <w:szCs w:val="48"/>
        </w:rPr>
        <w:t>福建省海洋与渔业厅</w:t>
      </w:r>
    </w:p>
    <w:p>
      <w:pPr>
        <w:spacing w:line="720" w:lineRule="auto"/>
        <w:ind w:firstLine="803" w:firstLineChars="0"/>
        <w:jc w:val="center"/>
        <w:rPr>
          <w:rFonts w:asciiTheme="minorEastAsia" w:hAnsiTheme="minorEastAsia" w:eastAsiaTheme="minorEastAsia"/>
          <w:b/>
          <w:sz w:val="40"/>
          <w:szCs w:val="48"/>
        </w:rPr>
      </w:pPr>
      <w:r>
        <w:rPr>
          <w:rFonts w:hint="eastAsia" w:asciiTheme="minorEastAsia" w:hAnsiTheme="minorEastAsia" w:eastAsiaTheme="minorEastAsia"/>
          <w:b/>
          <w:sz w:val="40"/>
          <w:szCs w:val="48"/>
        </w:rPr>
        <w:t>编制单位：福建省水产设计院</w:t>
      </w:r>
    </w:p>
    <w:p>
      <w:pPr>
        <w:spacing w:line="720" w:lineRule="auto"/>
        <w:ind w:firstLine="803" w:firstLineChars="0"/>
        <w:jc w:val="center"/>
        <w:rPr>
          <w:rFonts w:asciiTheme="minorEastAsia" w:hAnsiTheme="minorEastAsia" w:eastAsiaTheme="minorEastAsia"/>
        </w:rPr>
      </w:pPr>
      <w:r>
        <w:rPr>
          <w:rFonts w:hint="eastAsia" w:asciiTheme="minorEastAsia" w:hAnsiTheme="minorEastAsia" w:eastAsiaTheme="minorEastAsia"/>
          <w:b/>
          <w:sz w:val="40"/>
          <w:szCs w:val="48"/>
        </w:rPr>
        <w:t>二〇一八年五月</w:t>
      </w:r>
    </w:p>
    <w:p>
      <w:pPr>
        <w:ind w:firstLine="560"/>
        <w:rPr>
          <w:rFonts w:asciiTheme="minorEastAsia" w:hAnsiTheme="minorEastAsia" w:eastAsiaTheme="minor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ind w:firstLine="0" w:firstLineChars="0"/>
        <w:jc w:val="center"/>
        <w:rPr>
          <w:rFonts w:asciiTheme="minorEastAsia" w:hAnsiTheme="minorEastAsia" w:eastAsiaTheme="minorEastAsia"/>
          <w:b/>
          <w:sz w:val="40"/>
          <w:szCs w:val="32"/>
        </w:rPr>
      </w:pPr>
      <w:r>
        <w:rPr>
          <w:rFonts w:hint="eastAsia" w:asciiTheme="minorEastAsia" w:hAnsiTheme="minorEastAsia" w:eastAsiaTheme="minorEastAsia"/>
          <w:b/>
          <w:sz w:val="40"/>
          <w:szCs w:val="32"/>
        </w:rPr>
        <w:t>目    录</w:t>
      </w:r>
    </w:p>
    <w:p>
      <w:pPr>
        <w:pStyle w:val="23"/>
        <w:spacing w:line="520" w:lineRule="exact"/>
        <w:rPr>
          <w:rFonts w:asciiTheme="minorHAnsi" w:hAnsiTheme="minorHAnsi" w:eastAsiaTheme="minorEastAsia" w:cstheme="minorBidi"/>
          <w:kern w:val="2"/>
          <w:sz w:val="21"/>
          <w:szCs w:val="22"/>
        </w:rPr>
      </w:pPr>
      <w:r>
        <w:rPr>
          <w:color w:val="FF0000"/>
        </w:rPr>
        <w:fldChar w:fldCharType="begin"/>
      </w:r>
      <w:r>
        <w:rPr>
          <w:color w:val="FF0000"/>
        </w:rPr>
        <w:instrText xml:space="preserve"> TOC \o "1-2" \h \z \u </w:instrText>
      </w:r>
      <w:r>
        <w:rPr>
          <w:color w:val="FF0000"/>
        </w:rPr>
        <w:fldChar w:fldCharType="separate"/>
      </w:r>
      <w:r>
        <w:fldChar w:fldCharType="begin"/>
      </w:r>
      <w:r>
        <w:instrText xml:space="preserve"> HYPERLINK \l "_Toc527641881" </w:instrText>
      </w:r>
      <w:r>
        <w:fldChar w:fldCharType="separate"/>
      </w:r>
      <w:r>
        <w:rPr>
          <w:rStyle w:val="32"/>
          <w:rFonts w:hint="eastAsia"/>
        </w:rPr>
        <w:t>前</w:t>
      </w:r>
      <w:r>
        <w:rPr>
          <w:rStyle w:val="32"/>
        </w:rPr>
        <w:t xml:space="preserve">  </w:t>
      </w:r>
      <w:r>
        <w:rPr>
          <w:rStyle w:val="32"/>
          <w:rFonts w:hint="eastAsia"/>
        </w:rPr>
        <w:t>言</w:t>
      </w:r>
      <w:r>
        <w:tab/>
      </w:r>
      <w:r>
        <w:fldChar w:fldCharType="begin"/>
      </w:r>
      <w:r>
        <w:instrText xml:space="preserve"> PAGEREF _Toc527641881 \h </w:instrText>
      </w:r>
      <w:r>
        <w:fldChar w:fldCharType="separate"/>
      </w:r>
      <w:r>
        <w:t>1</w:t>
      </w:r>
      <w:r>
        <w:fldChar w:fldCharType="end"/>
      </w:r>
      <w:r>
        <w:fldChar w:fldCharType="end"/>
      </w:r>
    </w:p>
    <w:p>
      <w:pPr>
        <w:pStyle w:val="23"/>
        <w:spacing w:line="520" w:lineRule="exact"/>
        <w:rPr>
          <w:rFonts w:asciiTheme="minorHAnsi" w:hAnsiTheme="minorHAnsi" w:eastAsiaTheme="minorEastAsia" w:cstheme="minorBidi"/>
          <w:kern w:val="2"/>
          <w:sz w:val="21"/>
          <w:szCs w:val="22"/>
        </w:rPr>
      </w:pPr>
      <w:r>
        <w:fldChar w:fldCharType="begin"/>
      </w:r>
      <w:r>
        <w:instrText xml:space="preserve"> HYPERLINK \l "_Toc527641882" </w:instrText>
      </w:r>
      <w:r>
        <w:fldChar w:fldCharType="separate"/>
      </w:r>
      <w:r>
        <w:rPr>
          <w:rStyle w:val="32"/>
        </w:rPr>
        <w:t xml:space="preserve">1  </w:t>
      </w:r>
      <w:r>
        <w:rPr>
          <w:rStyle w:val="32"/>
          <w:rFonts w:hint="eastAsia"/>
        </w:rPr>
        <w:t>现状及问题</w:t>
      </w:r>
      <w:r>
        <w:tab/>
      </w:r>
      <w:r>
        <w:fldChar w:fldCharType="begin"/>
      </w:r>
      <w:r>
        <w:instrText xml:space="preserve"> PAGEREF _Toc527641882 \h </w:instrText>
      </w:r>
      <w:r>
        <w:fldChar w:fldCharType="separate"/>
      </w:r>
      <w:r>
        <w:t>2</w:t>
      </w:r>
      <w:r>
        <w:fldChar w:fldCharType="end"/>
      </w:r>
      <w:r>
        <w:fldChar w:fldCharType="end"/>
      </w:r>
    </w:p>
    <w:p>
      <w:pPr>
        <w:pStyle w:val="26"/>
        <w:spacing w:line="520" w:lineRule="exact"/>
        <w:ind w:firstLine="8"/>
        <w:rPr>
          <w:rFonts w:asciiTheme="minorHAnsi" w:hAnsiTheme="minorHAnsi" w:eastAsiaTheme="minorEastAsia" w:cstheme="minorBidi"/>
          <w:kern w:val="2"/>
          <w:sz w:val="21"/>
          <w:szCs w:val="22"/>
        </w:rPr>
      </w:pPr>
      <w:r>
        <w:fldChar w:fldCharType="begin"/>
      </w:r>
      <w:r>
        <w:instrText xml:space="preserve"> HYPERLINK \l "_Toc527641883" </w:instrText>
      </w:r>
      <w:r>
        <w:fldChar w:fldCharType="separate"/>
      </w:r>
      <w:r>
        <w:rPr>
          <w:rStyle w:val="32"/>
        </w:rPr>
        <w:t xml:space="preserve">1.1 </w:t>
      </w:r>
      <w:r>
        <w:rPr>
          <w:rStyle w:val="32"/>
          <w:rFonts w:hint="eastAsia"/>
        </w:rPr>
        <w:t>渔业生产现状</w:t>
      </w:r>
      <w:r>
        <w:tab/>
      </w:r>
      <w:r>
        <w:fldChar w:fldCharType="begin"/>
      </w:r>
      <w:r>
        <w:instrText xml:space="preserve"> PAGEREF _Toc527641883 \h </w:instrText>
      </w:r>
      <w:r>
        <w:fldChar w:fldCharType="separate"/>
      </w:r>
      <w:r>
        <w:t>2</w:t>
      </w:r>
      <w:r>
        <w:fldChar w:fldCharType="end"/>
      </w:r>
      <w:r>
        <w:fldChar w:fldCharType="end"/>
      </w:r>
    </w:p>
    <w:p>
      <w:pPr>
        <w:pStyle w:val="26"/>
        <w:spacing w:line="520" w:lineRule="exact"/>
        <w:ind w:firstLine="8"/>
        <w:rPr>
          <w:rFonts w:asciiTheme="minorHAnsi" w:hAnsiTheme="minorHAnsi" w:eastAsiaTheme="minorEastAsia" w:cstheme="minorBidi"/>
          <w:kern w:val="2"/>
          <w:sz w:val="21"/>
          <w:szCs w:val="22"/>
        </w:rPr>
      </w:pPr>
      <w:r>
        <w:fldChar w:fldCharType="begin"/>
      </w:r>
      <w:r>
        <w:instrText xml:space="preserve"> HYPERLINK \l "_Toc527641884" </w:instrText>
      </w:r>
      <w:r>
        <w:fldChar w:fldCharType="separate"/>
      </w:r>
      <w:r>
        <w:rPr>
          <w:rStyle w:val="32"/>
        </w:rPr>
        <w:t>1.2</w:t>
      </w:r>
      <w:r>
        <w:rPr>
          <w:rStyle w:val="32"/>
          <w:rFonts w:hint="eastAsia"/>
        </w:rPr>
        <w:t>渔港建设现状及存在问题</w:t>
      </w:r>
      <w:r>
        <w:tab/>
      </w:r>
      <w:r>
        <w:fldChar w:fldCharType="begin"/>
      </w:r>
      <w:r>
        <w:instrText xml:space="preserve"> PAGEREF _Toc527641884 \h </w:instrText>
      </w:r>
      <w:r>
        <w:fldChar w:fldCharType="separate"/>
      </w:r>
      <w:r>
        <w:t>2</w:t>
      </w:r>
      <w:r>
        <w:fldChar w:fldCharType="end"/>
      </w:r>
      <w:r>
        <w:fldChar w:fldCharType="end"/>
      </w:r>
    </w:p>
    <w:p>
      <w:pPr>
        <w:pStyle w:val="26"/>
        <w:spacing w:line="520" w:lineRule="exact"/>
        <w:ind w:firstLine="8"/>
        <w:rPr>
          <w:rFonts w:asciiTheme="minorHAnsi" w:hAnsiTheme="minorHAnsi" w:eastAsiaTheme="minorEastAsia" w:cstheme="minorBidi"/>
          <w:kern w:val="2"/>
          <w:sz w:val="21"/>
          <w:szCs w:val="22"/>
        </w:rPr>
      </w:pPr>
      <w:r>
        <w:fldChar w:fldCharType="begin"/>
      </w:r>
      <w:r>
        <w:instrText xml:space="preserve"> HYPERLINK \l "_Toc527641885" </w:instrText>
      </w:r>
      <w:r>
        <w:fldChar w:fldCharType="separate"/>
      </w:r>
      <w:r>
        <w:rPr>
          <w:rStyle w:val="32"/>
        </w:rPr>
        <w:t xml:space="preserve">1.3 </w:t>
      </w:r>
      <w:r>
        <w:rPr>
          <w:rStyle w:val="32"/>
          <w:rFonts w:hint="eastAsia"/>
        </w:rPr>
        <w:t>渔港升级改造和整治维护的必要性</w:t>
      </w:r>
      <w:r>
        <w:tab/>
      </w:r>
      <w:r>
        <w:fldChar w:fldCharType="begin"/>
      </w:r>
      <w:r>
        <w:instrText xml:space="preserve"> PAGEREF _Toc527641885 \h </w:instrText>
      </w:r>
      <w:r>
        <w:fldChar w:fldCharType="separate"/>
      </w:r>
      <w:r>
        <w:t>4</w:t>
      </w:r>
      <w:r>
        <w:fldChar w:fldCharType="end"/>
      </w:r>
      <w:r>
        <w:fldChar w:fldCharType="end"/>
      </w:r>
    </w:p>
    <w:p>
      <w:pPr>
        <w:pStyle w:val="23"/>
        <w:spacing w:line="520" w:lineRule="exact"/>
        <w:rPr>
          <w:rFonts w:asciiTheme="minorHAnsi" w:hAnsiTheme="minorHAnsi" w:eastAsiaTheme="minorEastAsia" w:cstheme="minorBidi"/>
          <w:kern w:val="2"/>
          <w:sz w:val="21"/>
          <w:szCs w:val="22"/>
        </w:rPr>
      </w:pPr>
      <w:r>
        <w:fldChar w:fldCharType="begin"/>
      </w:r>
      <w:r>
        <w:instrText xml:space="preserve"> HYPERLINK \l "_Toc527641886" </w:instrText>
      </w:r>
      <w:r>
        <w:fldChar w:fldCharType="separate"/>
      </w:r>
      <w:r>
        <w:rPr>
          <w:rStyle w:val="32"/>
        </w:rPr>
        <w:t xml:space="preserve">2  </w:t>
      </w:r>
      <w:r>
        <w:rPr>
          <w:rStyle w:val="32"/>
          <w:rFonts w:hint="eastAsia"/>
        </w:rPr>
        <w:t>总体思路</w:t>
      </w:r>
      <w:r>
        <w:tab/>
      </w:r>
      <w:r>
        <w:fldChar w:fldCharType="begin"/>
      </w:r>
      <w:r>
        <w:instrText xml:space="preserve"> PAGEREF _Toc527641886 \h </w:instrText>
      </w:r>
      <w:r>
        <w:fldChar w:fldCharType="separate"/>
      </w:r>
      <w:r>
        <w:t>5</w:t>
      </w:r>
      <w:r>
        <w:fldChar w:fldCharType="end"/>
      </w:r>
      <w:r>
        <w:fldChar w:fldCharType="end"/>
      </w:r>
    </w:p>
    <w:p>
      <w:pPr>
        <w:pStyle w:val="26"/>
        <w:spacing w:line="520" w:lineRule="exact"/>
        <w:ind w:firstLine="8"/>
        <w:rPr>
          <w:rFonts w:asciiTheme="minorHAnsi" w:hAnsiTheme="minorHAnsi" w:eastAsiaTheme="minorEastAsia" w:cstheme="minorBidi"/>
          <w:kern w:val="2"/>
          <w:sz w:val="21"/>
          <w:szCs w:val="22"/>
        </w:rPr>
      </w:pPr>
      <w:r>
        <w:fldChar w:fldCharType="begin"/>
      </w:r>
      <w:r>
        <w:instrText xml:space="preserve"> HYPERLINK \l "_Toc527641887" </w:instrText>
      </w:r>
      <w:r>
        <w:fldChar w:fldCharType="separate"/>
      </w:r>
      <w:r>
        <w:rPr>
          <w:rStyle w:val="32"/>
        </w:rPr>
        <w:t xml:space="preserve">2.1 </w:t>
      </w:r>
      <w:r>
        <w:rPr>
          <w:rStyle w:val="32"/>
          <w:rFonts w:hint="eastAsia"/>
        </w:rPr>
        <w:t>指导思想</w:t>
      </w:r>
      <w:r>
        <w:tab/>
      </w:r>
      <w:r>
        <w:fldChar w:fldCharType="begin"/>
      </w:r>
      <w:r>
        <w:instrText xml:space="preserve"> PAGEREF _Toc527641887 \h </w:instrText>
      </w:r>
      <w:r>
        <w:fldChar w:fldCharType="separate"/>
      </w:r>
      <w:r>
        <w:t>5</w:t>
      </w:r>
      <w:r>
        <w:fldChar w:fldCharType="end"/>
      </w:r>
      <w:r>
        <w:fldChar w:fldCharType="end"/>
      </w:r>
    </w:p>
    <w:p>
      <w:pPr>
        <w:pStyle w:val="26"/>
        <w:spacing w:line="520" w:lineRule="exact"/>
        <w:ind w:firstLine="8"/>
        <w:rPr>
          <w:rFonts w:asciiTheme="minorHAnsi" w:hAnsiTheme="minorHAnsi" w:eastAsiaTheme="minorEastAsia" w:cstheme="minorBidi"/>
          <w:kern w:val="2"/>
          <w:sz w:val="21"/>
          <w:szCs w:val="22"/>
        </w:rPr>
      </w:pPr>
      <w:r>
        <w:fldChar w:fldCharType="begin"/>
      </w:r>
      <w:r>
        <w:instrText xml:space="preserve"> HYPERLINK \l "_Toc527641888" </w:instrText>
      </w:r>
      <w:r>
        <w:fldChar w:fldCharType="separate"/>
      </w:r>
      <w:r>
        <w:rPr>
          <w:rStyle w:val="32"/>
        </w:rPr>
        <w:t xml:space="preserve">2.2 </w:t>
      </w:r>
      <w:r>
        <w:rPr>
          <w:rStyle w:val="32"/>
          <w:rFonts w:hint="eastAsia"/>
        </w:rPr>
        <w:t>基本原则</w:t>
      </w:r>
      <w:r>
        <w:tab/>
      </w:r>
      <w:r>
        <w:fldChar w:fldCharType="begin"/>
      </w:r>
      <w:r>
        <w:instrText xml:space="preserve"> PAGEREF _Toc527641888 \h </w:instrText>
      </w:r>
      <w:r>
        <w:fldChar w:fldCharType="separate"/>
      </w:r>
      <w:r>
        <w:t>5</w:t>
      </w:r>
      <w:r>
        <w:fldChar w:fldCharType="end"/>
      </w:r>
      <w:r>
        <w:fldChar w:fldCharType="end"/>
      </w:r>
    </w:p>
    <w:p>
      <w:pPr>
        <w:pStyle w:val="26"/>
        <w:spacing w:line="520" w:lineRule="exact"/>
        <w:ind w:firstLine="8"/>
        <w:rPr>
          <w:rFonts w:asciiTheme="minorHAnsi" w:hAnsiTheme="minorHAnsi" w:eastAsiaTheme="minorEastAsia" w:cstheme="minorBidi"/>
          <w:kern w:val="2"/>
          <w:sz w:val="21"/>
          <w:szCs w:val="22"/>
        </w:rPr>
      </w:pPr>
      <w:r>
        <w:fldChar w:fldCharType="begin"/>
      </w:r>
      <w:r>
        <w:instrText xml:space="preserve"> HYPERLINK \l "_Toc527641889" </w:instrText>
      </w:r>
      <w:r>
        <w:fldChar w:fldCharType="separate"/>
      </w:r>
      <w:r>
        <w:rPr>
          <w:rStyle w:val="32"/>
        </w:rPr>
        <w:t xml:space="preserve">2.3 </w:t>
      </w:r>
      <w:r>
        <w:rPr>
          <w:rStyle w:val="32"/>
          <w:rFonts w:hint="eastAsia"/>
        </w:rPr>
        <w:t>总体目标</w:t>
      </w:r>
      <w:r>
        <w:tab/>
      </w:r>
      <w:r>
        <w:fldChar w:fldCharType="begin"/>
      </w:r>
      <w:r>
        <w:instrText xml:space="preserve"> PAGEREF _Toc527641889 \h </w:instrText>
      </w:r>
      <w:r>
        <w:fldChar w:fldCharType="separate"/>
      </w:r>
      <w:r>
        <w:t>7</w:t>
      </w:r>
      <w:r>
        <w:fldChar w:fldCharType="end"/>
      </w:r>
      <w:r>
        <w:fldChar w:fldCharType="end"/>
      </w:r>
    </w:p>
    <w:p>
      <w:pPr>
        <w:pStyle w:val="23"/>
        <w:spacing w:line="520" w:lineRule="exact"/>
        <w:rPr>
          <w:rFonts w:asciiTheme="minorHAnsi" w:hAnsiTheme="minorHAnsi" w:eastAsiaTheme="minorEastAsia" w:cstheme="minorBidi"/>
          <w:kern w:val="2"/>
          <w:sz w:val="21"/>
          <w:szCs w:val="22"/>
        </w:rPr>
      </w:pPr>
      <w:r>
        <w:fldChar w:fldCharType="begin"/>
      </w:r>
      <w:r>
        <w:instrText xml:space="preserve"> HYPERLINK \l "_Toc527641890" </w:instrText>
      </w:r>
      <w:r>
        <w:fldChar w:fldCharType="separate"/>
      </w:r>
      <w:r>
        <w:rPr>
          <w:rStyle w:val="32"/>
        </w:rPr>
        <w:t xml:space="preserve">3  </w:t>
      </w:r>
      <w:r>
        <w:rPr>
          <w:rStyle w:val="32"/>
          <w:rFonts w:hint="eastAsia"/>
        </w:rPr>
        <w:t>实施范围、目标与补助标准</w:t>
      </w:r>
      <w:r>
        <w:tab/>
      </w:r>
      <w:r>
        <w:fldChar w:fldCharType="begin"/>
      </w:r>
      <w:r>
        <w:instrText xml:space="preserve"> PAGEREF _Toc527641890 \h </w:instrText>
      </w:r>
      <w:r>
        <w:fldChar w:fldCharType="separate"/>
      </w:r>
      <w:r>
        <w:t>9</w:t>
      </w:r>
      <w:r>
        <w:fldChar w:fldCharType="end"/>
      </w:r>
      <w:r>
        <w:fldChar w:fldCharType="end"/>
      </w:r>
    </w:p>
    <w:p>
      <w:pPr>
        <w:pStyle w:val="26"/>
        <w:spacing w:line="520" w:lineRule="exact"/>
        <w:ind w:firstLine="8"/>
        <w:rPr>
          <w:rFonts w:asciiTheme="minorHAnsi" w:hAnsiTheme="minorHAnsi" w:eastAsiaTheme="minorEastAsia" w:cstheme="minorBidi"/>
          <w:kern w:val="2"/>
          <w:sz w:val="21"/>
          <w:szCs w:val="22"/>
        </w:rPr>
      </w:pPr>
      <w:r>
        <w:fldChar w:fldCharType="begin"/>
      </w:r>
      <w:r>
        <w:instrText xml:space="preserve"> HYPERLINK \l "_Toc527641891" </w:instrText>
      </w:r>
      <w:r>
        <w:fldChar w:fldCharType="separate"/>
      </w:r>
      <w:r>
        <w:rPr>
          <w:rStyle w:val="32"/>
        </w:rPr>
        <w:t xml:space="preserve">3.1 </w:t>
      </w:r>
      <w:r>
        <w:rPr>
          <w:rStyle w:val="32"/>
          <w:rFonts w:hint="eastAsia"/>
        </w:rPr>
        <w:t>实施范围</w:t>
      </w:r>
      <w:r>
        <w:tab/>
      </w:r>
      <w:r>
        <w:fldChar w:fldCharType="begin"/>
      </w:r>
      <w:r>
        <w:instrText xml:space="preserve"> PAGEREF _Toc527641891 \h </w:instrText>
      </w:r>
      <w:r>
        <w:fldChar w:fldCharType="separate"/>
      </w:r>
      <w:r>
        <w:t>9</w:t>
      </w:r>
      <w:r>
        <w:fldChar w:fldCharType="end"/>
      </w:r>
      <w:r>
        <w:fldChar w:fldCharType="end"/>
      </w:r>
    </w:p>
    <w:p>
      <w:pPr>
        <w:pStyle w:val="26"/>
        <w:spacing w:line="520" w:lineRule="exact"/>
        <w:ind w:firstLine="8"/>
        <w:rPr>
          <w:rFonts w:asciiTheme="minorHAnsi" w:hAnsiTheme="minorHAnsi" w:eastAsiaTheme="minorEastAsia" w:cstheme="minorBidi"/>
          <w:kern w:val="2"/>
          <w:sz w:val="21"/>
          <w:szCs w:val="22"/>
        </w:rPr>
      </w:pPr>
      <w:r>
        <w:fldChar w:fldCharType="begin"/>
      </w:r>
      <w:r>
        <w:instrText xml:space="preserve"> HYPERLINK \l "_Toc527641892" </w:instrText>
      </w:r>
      <w:r>
        <w:fldChar w:fldCharType="separate"/>
      </w:r>
      <w:r>
        <w:rPr>
          <w:rStyle w:val="32"/>
        </w:rPr>
        <w:t xml:space="preserve">3.2 </w:t>
      </w:r>
      <w:r>
        <w:rPr>
          <w:rStyle w:val="32"/>
          <w:rFonts w:hint="eastAsia"/>
        </w:rPr>
        <w:t>实施目标</w:t>
      </w:r>
      <w:r>
        <w:tab/>
      </w:r>
      <w:r>
        <w:fldChar w:fldCharType="begin"/>
      </w:r>
      <w:r>
        <w:instrText xml:space="preserve"> PAGEREF _Toc527641892 \h </w:instrText>
      </w:r>
      <w:r>
        <w:fldChar w:fldCharType="separate"/>
      </w:r>
      <w:r>
        <w:t>10</w:t>
      </w:r>
      <w:r>
        <w:fldChar w:fldCharType="end"/>
      </w:r>
      <w:r>
        <w:fldChar w:fldCharType="end"/>
      </w:r>
    </w:p>
    <w:p>
      <w:pPr>
        <w:pStyle w:val="26"/>
        <w:spacing w:line="520" w:lineRule="exact"/>
        <w:ind w:firstLine="8"/>
        <w:rPr>
          <w:rFonts w:asciiTheme="minorHAnsi" w:hAnsiTheme="minorHAnsi" w:eastAsiaTheme="minorEastAsia" w:cstheme="minorBidi"/>
          <w:kern w:val="2"/>
          <w:sz w:val="21"/>
          <w:szCs w:val="22"/>
        </w:rPr>
      </w:pPr>
      <w:r>
        <w:fldChar w:fldCharType="begin"/>
      </w:r>
      <w:r>
        <w:instrText xml:space="preserve"> HYPERLINK \l "_Toc527641893" </w:instrText>
      </w:r>
      <w:r>
        <w:fldChar w:fldCharType="separate"/>
      </w:r>
      <w:r>
        <w:rPr>
          <w:rStyle w:val="32"/>
        </w:rPr>
        <w:t xml:space="preserve">3.3 </w:t>
      </w:r>
      <w:r>
        <w:rPr>
          <w:rStyle w:val="32"/>
          <w:rFonts w:hint="eastAsia"/>
        </w:rPr>
        <w:t>补助标准</w:t>
      </w:r>
      <w:r>
        <w:tab/>
      </w:r>
      <w:r>
        <w:fldChar w:fldCharType="begin"/>
      </w:r>
      <w:r>
        <w:instrText xml:space="preserve"> PAGEREF _Toc527641893 \h </w:instrText>
      </w:r>
      <w:r>
        <w:fldChar w:fldCharType="separate"/>
      </w:r>
      <w:r>
        <w:t>10</w:t>
      </w:r>
      <w:r>
        <w:fldChar w:fldCharType="end"/>
      </w:r>
      <w:r>
        <w:fldChar w:fldCharType="end"/>
      </w:r>
    </w:p>
    <w:p>
      <w:pPr>
        <w:pStyle w:val="23"/>
        <w:spacing w:line="520" w:lineRule="exact"/>
        <w:rPr>
          <w:rFonts w:asciiTheme="minorHAnsi" w:hAnsiTheme="minorHAnsi" w:eastAsiaTheme="minorEastAsia" w:cstheme="minorBidi"/>
          <w:kern w:val="2"/>
          <w:sz w:val="21"/>
          <w:szCs w:val="22"/>
        </w:rPr>
      </w:pPr>
      <w:r>
        <w:fldChar w:fldCharType="begin"/>
      </w:r>
      <w:r>
        <w:instrText xml:space="preserve"> HYPERLINK \l "_Toc527641894" </w:instrText>
      </w:r>
      <w:r>
        <w:fldChar w:fldCharType="separate"/>
      </w:r>
      <w:r>
        <w:rPr>
          <w:rStyle w:val="32"/>
        </w:rPr>
        <w:t xml:space="preserve">4  </w:t>
      </w:r>
      <w:r>
        <w:rPr>
          <w:rStyle w:val="32"/>
          <w:rFonts w:hint="eastAsia"/>
        </w:rPr>
        <w:t>规划布局</w:t>
      </w:r>
      <w:r>
        <w:tab/>
      </w:r>
      <w:r>
        <w:fldChar w:fldCharType="begin"/>
      </w:r>
      <w:r>
        <w:instrText xml:space="preserve"> PAGEREF _Toc527641894 \h </w:instrText>
      </w:r>
      <w:r>
        <w:fldChar w:fldCharType="separate"/>
      </w:r>
      <w:r>
        <w:t>12</w:t>
      </w:r>
      <w:r>
        <w:fldChar w:fldCharType="end"/>
      </w:r>
      <w:r>
        <w:fldChar w:fldCharType="end"/>
      </w:r>
    </w:p>
    <w:p>
      <w:pPr>
        <w:pStyle w:val="26"/>
        <w:spacing w:line="520" w:lineRule="exact"/>
        <w:ind w:firstLine="8"/>
        <w:rPr>
          <w:rFonts w:asciiTheme="minorHAnsi" w:hAnsiTheme="minorHAnsi" w:eastAsiaTheme="minorEastAsia" w:cstheme="minorBidi"/>
          <w:kern w:val="2"/>
          <w:sz w:val="21"/>
          <w:szCs w:val="22"/>
        </w:rPr>
      </w:pPr>
      <w:r>
        <w:fldChar w:fldCharType="begin"/>
      </w:r>
      <w:r>
        <w:instrText xml:space="preserve"> HYPERLINK \l "_Toc527641895" </w:instrText>
      </w:r>
      <w:r>
        <w:fldChar w:fldCharType="separate"/>
      </w:r>
      <w:r>
        <w:rPr>
          <w:rStyle w:val="32"/>
        </w:rPr>
        <w:t xml:space="preserve">4.1 </w:t>
      </w:r>
      <w:r>
        <w:rPr>
          <w:rStyle w:val="32"/>
          <w:rFonts w:hint="eastAsia"/>
        </w:rPr>
        <w:t>总体规划布局</w:t>
      </w:r>
      <w:r>
        <w:tab/>
      </w:r>
      <w:r>
        <w:fldChar w:fldCharType="begin"/>
      </w:r>
      <w:r>
        <w:instrText xml:space="preserve"> PAGEREF _Toc527641895 \h </w:instrText>
      </w:r>
      <w:r>
        <w:fldChar w:fldCharType="separate"/>
      </w:r>
      <w:r>
        <w:t>12</w:t>
      </w:r>
      <w:r>
        <w:fldChar w:fldCharType="end"/>
      </w:r>
      <w:r>
        <w:fldChar w:fldCharType="end"/>
      </w:r>
    </w:p>
    <w:p>
      <w:pPr>
        <w:pStyle w:val="26"/>
        <w:spacing w:line="520" w:lineRule="exact"/>
        <w:ind w:firstLine="8"/>
        <w:rPr>
          <w:rFonts w:asciiTheme="minorHAnsi" w:hAnsiTheme="minorHAnsi" w:eastAsiaTheme="minorEastAsia" w:cstheme="minorBidi"/>
          <w:kern w:val="2"/>
          <w:sz w:val="21"/>
          <w:szCs w:val="22"/>
        </w:rPr>
      </w:pPr>
      <w:r>
        <w:fldChar w:fldCharType="begin"/>
      </w:r>
      <w:r>
        <w:instrText xml:space="preserve"> HYPERLINK \l "_Toc527641896" </w:instrText>
      </w:r>
      <w:r>
        <w:fldChar w:fldCharType="separate"/>
      </w:r>
      <w:r>
        <w:rPr>
          <w:rStyle w:val="32"/>
        </w:rPr>
        <w:t xml:space="preserve">4.2 </w:t>
      </w:r>
      <w:r>
        <w:rPr>
          <w:rStyle w:val="32"/>
          <w:rFonts w:hint="eastAsia"/>
        </w:rPr>
        <w:t>具体规划布局</w:t>
      </w:r>
      <w:r>
        <w:tab/>
      </w:r>
      <w:r>
        <w:fldChar w:fldCharType="begin"/>
      </w:r>
      <w:r>
        <w:instrText xml:space="preserve"> PAGEREF _Toc527641896 \h </w:instrText>
      </w:r>
      <w:r>
        <w:fldChar w:fldCharType="separate"/>
      </w:r>
      <w:r>
        <w:t>15</w:t>
      </w:r>
      <w:r>
        <w:fldChar w:fldCharType="end"/>
      </w:r>
      <w:r>
        <w:fldChar w:fldCharType="end"/>
      </w:r>
    </w:p>
    <w:p>
      <w:pPr>
        <w:pStyle w:val="23"/>
        <w:spacing w:line="520" w:lineRule="exact"/>
        <w:rPr>
          <w:rFonts w:asciiTheme="minorHAnsi" w:hAnsiTheme="minorHAnsi" w:eastAsiaTheme="minorEastAsia" w:cstheme="minorBidi"/>
          <w:kern w:val="2"/>
          <w:sz w:val="21"/>
          <w:szCs w:val="22"/>
        </w:rPr>
      </w:pPr>
      <w:r>
        <w:fldChar w:fldCharType="begin"/>
      </w:r>
      <w:r>
        <w:instrText xml:space="preserve"> HYPERLINK \l "_Toc527641897" </w:instrText>
      </w:r>
      <w:r>
        <w:fldChar w:fldCharType="separate"/>
      </w:r>
      <w:r>
        <w:rPr>
          <w:rStyle w:val="32"/>
        </w:rPr>
        <w:t xml:space="preserve">5  </w:t>
      </w:r>
      <w:r>
        <w:rPr>
          <w:rStyle w:val="32"/>
          <w:rFonts w:hint="eastAsia"/>
        </w:rPr>
        <w:t>环境影响与减缓措施</w:t>
      </w:r>
      <w:r>
        <w:tab/>
      </w:r>
      <w:r>
        <w:fldChar w:fldCharType="begin"/>
      </w:r>
      <w:r>
        <w:instrText xml:space="preserve"> PAGEREF _Toc527641897 \h </w:instrText>
      </w:r>
      <w:r>
        <w:fldChar w:fldCharType="separate"/>
      </w:r>
      <w:r>
        <w:t>18</w:t>
      </w:r>
      <w:r>
        <w:fldChar w:fldCharType="end"/>
      </w:r>
      <w:r>
        <w:fldChar w:fldCharType="end"/>
      </w:r>
    </w:p>
    <w:p>
      <w:pPr>
        <w:pStyle w:val="26"/>
        <w:spacing w:line="520" w:lineRule="exact"/>
        <w:ind w:firstLine="8"/>
        <w:rPr>
          <w:rFonts w:asciiTheme="minorHAnsi" w:hAnsiTheme="minorHAnsi" w:eastAsiaTheme="minorEastAsia" w:cstheme="minorBidi"/>
          <w:kern w:val="2"/>
          <w:sz w:val="21"/>
          <w:szCs w:val="22"/>
        </w:rPr>
      </w:pPr>
      <w:r>
        <w:fldChar w:fldCharType="begin"/>
      </w:r>
      <w:r>
        <w:instrText xml:space="preserve"> HYPERLINK \l "_Toc527641898" </w:instrText>
      </w:r>
      <w:r>
        <w:fldChar w:fldCharType="separate"/>
      </w:r>
      <w:r>
        <w:rPr>
          <w:rStyle w:val="32"/>
        </w:rPr>
        <w:t xml:space="preserve">5.1 </w:t>
      </w:r>
      <w:r>
        <w:rPr>
          <w:rStyle w:val="32"/>
          <w:rFonts w:hint="eastAsia"/>
        </w:rPr>
        <w:t>环境影响</w:t>
      </w:r>
      <w:r>
        <w:tab/>
      </w:r>
      <w:r>
        <w:fldChar w:fldCharType="begin"/>
      </w:r>
      <w:r>
        <w:instrText xml:space="preserve"> PAGEREF _Toc527641898 \h </w:instrText>
      </w:r>
      <w:r>
        <w:fldChar w:fldCharType="separate"/>
      </w:r>
      <w:r>
        <w:t>18</w:t>
      </w:r>
      <w:r>
        <w:fldChar w:fldCharType="end"/>
      </w:r>
      <w:r>
        <w:fldChar w:fldCharType="end"/>
      </w:r>
    </w:p>
    <w:p>
      <w:pPr>
        <w:pStyle w:val="26"/>
        <w:spacing w:line="520" w:lineRule="exact"/>
        <w:ind w:firstLine="8"/>
        <w:rPr>
          <w:rFonts w:asciiTheme="minorHAnsi" w:hAnsiTheme="minorHAnsi" w:eastAsiaTheme="minorEastAsia" w:cstheme="minorBidi"/>
          <w:kern w:val="2"/>
          <w:sz w:val="21"/>
          <w:szCs w:val="22"/>
        </w:rPr>
      </w:pPr>
      <w:r>
        <w:fldChar w:fldCharType="begin"/>
      </w:r>
      <w:r>
        <w:instrText xml:space="preserve"> HYPERLINK \l "_Toc527641899" </w:instrText>
      </w:r>
      <w:r>
        <w:fldChar w:fldCharType="separate"/>
      </w:r>
      <w:r>
        <w:rPr>
          <w:rStyle w:val="32"/>
        </w:rPr>
        <w:t xml:space="preserve">5.2 </w:t>
      </w:r>
      <w:r>
        <w:rPr>
          <w:rStyle w:val="32"/>
          <w:rFonts w:hint="eastAsia"/>
        </w:rPr>
        <w:t>减缓措施</w:t>
      </w:r>
      <w:r>
        <w:tab/>
      </w:r>
      <w:r>
        <w:fldChar w:fldCharType="begin"/>
      </w:r>
      <w:r>
        <w:instrText xml:space="preserve"> PAGEREF _Toc527641899 \h </w:instrText>
      </w:r>
      <w:r>
        <w:fldChar w:fldCharType="separate"/>
      </w:r>
      <w:r>
        <w:t>20</w:t>
      </w:r>
      <w:r>
        <w:fldChar w:fldCharType="end"/>
      </w:r>
      <w:r>
        <w:fldChar w:fldCharType="end"/>
      </w:r>
    </w:p>
    <w:p>
      <w:pPr>
        <w:pStyle w:val="23"/>
        <w:spacing w:line="520" w:lineRule="exact"/>
        <w:rPr>
          <w:rFonts w:asciiTheme="minorHAnsi" w:hAnsiTheme="minorHAnsi" w:eastAsiaTheme="minorEastAsia" w:cstheme="minorBidi"/>
          <w:kern w:val="2"/>
          <w:sz w:val="21"/>
          <w:szCs w:val="22"/>
        </w:rPr>
      </w:pPr>
      <w:r>
        <w:fldChar w:fldCharType="begin"/>
      </w:r>
      <w:r>
        <w:instrText xml:space="preserve"> HYPERLINK \l "_Toc527641900" </w:instrText>
      </w:r>
      <w:r>
        <w:fldChar w:fldCharType="separate"/>
      </w:r>
      <w:r>
        <w:rPr>
          <w:rStyle w:val="32"/>
        </w:rPr>
        <w:t xml:space="preserve">6  </w:t>
      </w:r>
      <w:r>
        <w:rPr>
          <w:rStyle w:val="32"/>
          <w:rFonts w:hint="eastAsia"/>
        </w:rPr>
        <w:t>投资匡算</w:t>
      </w:r>
      <w:r>
        <w:tab/>
      </w:r>
      <w:r>
        <w:fldChar w:fldCharType="begin"/>
      </w:r>
      <w:r>
        <w:instrText xml:space="preserve"> PAGEREF _Toc527641900 \h </w:instrText>
      </w:r>
      <w:r>
        <w:fldChar w:fldCharType="separate"/>
      </w:r>
      <w:r>
        <w:t>23</w:t>
      </w:r>
      <w:r>
        <w:fldChar w:fldCharType="end"/>
      </w:r>
      <w:r>
        <w:fldChar w:fldCharType="end"/>
      </w:r>
    </w:p>
    <w:p>
      <w:pPr>
        <w:pStyle w:val="23"/>
        <w:spacing w:line="520" w:lineRule="exact"/>
        <w:rPr>
          <w:rFonts w:asciiTheme="minorHAnsi" w:hAnsiTheme="minorHAnsi" w:eastAsiaTheme="minorEastAsia" w:cstheme="minorBidi"/>
          <w:kern w:val="2"/>
          <w:sz w:val="21"/>
          <w:szCs w:val="22"/>
        </w:rPr>
      </w:pPr>
      <w:r>
        <w:fldChar w:fldCharType="begin"/>
      </w:r>
      <w:r>
        <w:instrText xml:space="preserve"> HYPERLINK \l "_Toc527641901" </w:instrText>
      </w:r>
      <w:r>
        <w:fldChar w:fldCharType="separate"/>
      </w:r>
      <w:r>
        <w:rPr>
          <w:rStyle w:val="32"/>
        </w:rPr>
        <w:t xml:space="preserve">7  </w:t>
      </w:r>
      <w:r>
        <w:rPr>
          <w:rStyle w:val="32"/>
          <w:rFonts w:hint="eastAsia"/>
        </w:rPr>
        <w:t>效益分析</w:t>
      </w:r>
      <w:r>
        <w:tab/>
      </w:r>
      <w:r>
        <w:fldChar w:fldCharType="begin"/>
      </w:r>
      <w:r>
        <w:instrText xml:space="preserve"> PAGEREF _Toc527641901 \h </w:instrText>
      </w:r>
      <w:r>
        <w:fldChar w:fldCharType="separate"/>
      </w:r>
      <w:r>
        <w:t>24</w:t>
      </w:r>
      <w:r>
        <w:fldChar w:fldCharType="end"/>
      </w:r>
      <w:r>
        <w:fldChar w:fldCharType="end"/>
      </w:r>
    </w:p>
    <w:p>
      <w:pPr>
        <w:pStyle w:val="23"/>
        <w:spacing w:line="520" w:lineRule="exact"/>
        <w:rPr>
          <w:rFonts w:asciiTheme="minorHAnsi" w:hAnsiTheme="minorHAnsi" w:eastAsiaTheme="minorEastAsia" w:cstheme="minorBidi"/>
          <w:kern w:val="2"/>
          <w:sz w:val="21"/>
          <w:szCs w:val="22"/>
        </w:rPr>
      </w:pPr>
      <w:r>
        <w:fldChar w:fldCharType="begin"/>
      </w:r>
      <w:r>
        <w:instrText xml:space="preserve"> HYPERLINK \l "_Toc527641902" </w:instrText>
      </w:r>
      <w:r>
        <w:fldChar w:fldCharType="separate"/>
      </w:r>
      <w:r>
        <w:rPr>
          <w:rStyle w:val="32"/>
        </w:rPr>
        <w:t xml:space="preserve">8  </w:t>
      </w:r>
      <w:r>
        <w:rPr>
          <w:rStyle w:val="32"/>
          <w:rFonts w:hint="eastAsia"/>
        </w:rPr>
        <w:t>保障措施</w:t>
      </w:r>
      <w:r>
        <w:tab/>
      </w:r>
      <w:r>
        <w:fldChar w:fldCharType="begin"/>
      </w:r>
      <w:r>
        <w:instrText xml:space="preserve"> PAGEREF _Toc527641902 \h </w:instrText>
      </w:r>
      <w:r>
        <w:fldChar w:fldCharType="separate"/>
      </w:r>
      <w:r>
        <w:t>25</w:t>
      </w:r>
      <w:r>
        <w:fldChar w:fldCharType="end"/>
      </w:r>
      <w:r>
        <w:fldChar w:fldCharType="end"/>
      </w:r>
    </w:p>
    <w:p>
      <w:pPr>
        <w:spacing w:line="520" w:lineRule="exact"/>
        <w:ind w:firstLine="0" w:firstLineChars="0"/>
        <w:rPr>
          <w:color w:val="FF0000"/>
        </w:rPr>
      </w:pPr>
      <w:r>
        <w:rPr>
          <w:color w:val="FF0000"/>
        </w:rPr>
        <w:fldChar w:fldCharType="end"/>
      </w:r>
      <w:r>
        <w:rPr>
          <w:rFonts w:hint="eastAsia"/>
          <w:b/>
        </w:rPr>
        <w:t>附件1:全省重点渔港升级改造和整治维护名单</w:t>
      </w:r>
    </w:p>
    <w:p>
      <w:pPr>
        <w:spacing w:line="520" w:lineRule="exact"/>
        <w:ind w:firstLine="0" w:firstLineChars="0"/>
        <w:rPr>
          <w:b/>
        </w:rPr>
      </w:pPr>
      <w:r>
        <w:rPr>
          <w:rFonts w:hint="eastAsia"/>
          <w:b/>
        </w:rPr>
        <w:t>附件2:全省沿海二级渔港、避风锚地升级改造和整治维护名单</w:t>
      </w:r>
    </w:p>
    <w:p>
      <w:pPr>
        <w:spacing w:line="520" w:lineRule="exact"/>
        <w:ind w:firstLine="0" w:firstLineChars="0"/>
      </w:pPr>
      <w:r>
        <w:rPr>
          <w:rFonts w:hint="eastAsia"/>
          <w:b/>
        </w:rPr>
        <w:t>附件3:《福建省渔港升级改造和整治维护规划》评审会专家组意见</w:t>
      </w:r>
    </w:p>
    <w:p>
      <w:pPr>
        <w:ind w:firstLine="560"/>
        <w:rPr>
          <w:rFonts w:asciiTheme="minorEastAsia" w:hAnsiTheme="minorEastAsia" w:eastAsiaTheme="minorEastAsia"/>
          <w:color w:val="FF0000"/>
        </w:rPr>
        <w:sectPr>
          <w:footerReference r:id="rId9" w:type="default"/>
          <w:pgSz w:w="11906" w:h="16838"/>
          <w:pgMar w:top="1440" w:right="1800" w:bottom="1440" w:left="1800" w:header="851" w:footer="992" w:gutter="0"/>
          <w:pgNumType w:start="1"/>
          <w:cols w:space="425" w:num="1"/>
          <w:docGrid w:type="lines" w:linePitch="312" w:charSpace="0"/>
        </w:sectPr>
      </w:pPr>
    </w:p>
    <w:p>
      <w:pPr>
        <w:pStyle w:val="2"/>
      </w:pPr>
      <w:bookmarkStart w:id="2" w:name="_Toc527641881"/>
      <w:bookmarkStart w:id="3" w:name="_Toc459376663"/>
      <w:r>
        <w:rPr>
          <w:rFonts w:hint="eastAsia"/>
        </w:rPr>
        <w:t>前  言</w:t>
      </w:r>
      <w:bookmarkEnd w:id="2"/>
    </w:p>
    <w:p>
      <w:pPr>
        <w:spacing w:line="600" w:lineRule="exact"/>
        <w:ind w:firstLine="560"/>
      </w:pPr>
      <w:r>
        <w:rPr>
          <w:rFonts w:hint="eastAsia"/>
        </w:rPr>
        <w:t>为完善渔港布局，加快现代渔业建设，使渔业油价补贴政策与渔业产业相关政策更加协调，依据《财政部 农业部关于调整国内渔业捕捞和养殖业油价补贴政策 促进渔业持续健康的通知》（财建〔2015〕499号）精神、《农业部办公厅关于印发国内渔业捕捞和养殖业油价补贴政策调整相关实施方案的通知》（农办渔〔2015〕65号）、《福建省海洋与渔业厅福建省财政厅关于印发&lt;福建省渔业油价补贴政策调整实施方案&gt;的通知》（闽海渔〔2016〕150号）等精神，从2015年起，对我省国内渔业捕捞和水产养殖业油价补贴政策作出调整。通过渔业油价补贴政策调整，力争到2019年，全省国内海洋捕捞渔船数和功率数进一步压减，渔港防灾减灾能力进一步提高，渔港、渔船、渔民等综合安全管控体系日趋完善，渔业信息化总体水平全面提升。</w:t>
      </w:r>
    </w:p>
    <w:p>
      <w:pPr>
        <w:spacing w:line="600" w:lineRule="exact"/>
        <w:ind w:firstLine="560"/>
      </w:pPr>
      <w:r>
        <w:rPr>
          <w:rFonts w:hint="eastAsia"/>
        </w:rPr>
        <w:t>按照树立创新、协调、绿色、开放、共享的发展理念，为全面贯彻落实省委、省政府对海洋渔业发展的工作部署，全面推进全省重点渔港、沿海二级渔港和避风锚地升级改造和整治维护工作有序开展，本规划编制于2016年年初启动。2016年5月，本规划通过了福建省海洋与渔业厅组织的专家评审，并在修改完善后报送至农业部。2018年2月，农业部印发了《全国渔港升级改造和整治维护规划》；同年5月，国家发展改革委及农业农村部联合印发了《全国沿海渔港建设规划（2018-2025年）；本规划依据前述文件精神进行了进一步的修改和完善。</w:t>
      </w:r>
    </w:p>
    <w:p>
      <w:pPr>
        <w:spacing w:line="600" w:lineRule="exact"/>
        <w:ind w:firstLine="560"/>
      </w:pPr>
      <w:r>
        <w:rPr>
          <w:rFonts w:hint="eastAsia"/>
        </w:rPr>
        <w:t>规划期限：2018—2020年，以2017年数据为规划基础数据。</w:t>
      </w:r>
    </w:p>
    <w:p>
      <w:pPr>
        <w:ind w:firstLine="560"/>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992" w:gutter="0"/>
          <w:pgNumType w:start="1"/>
          <w:cols w:space="425" w:num="1"/>
          <w:docGrid w:type="lines" w:linePitch="312" w:charSpace="0"/>
        </w:sectPr>
      </w:pPr>
    </w:p>
    <w:p>
      <w:pPr>
        <w:pStyle w:val="2"/>
      </w:pPr>
      <w:bookmarkStart w:id="4" w:name="_Toc527641882"/>
      <w:r>
        <w:rPr>
          <w:rFonts w:hint="eastAsia"/>
        </w:rPr>
        <w:t>1  现状及问题</w:t>
      </w:r>
      <w:bookmarkEnd w:id="4"/>
    </w:p>
    <w:p>
      <w:pPr>
        <w:pStyle w:val="3"/>
      </w:pPr>
      <w:bookmarkStart w:id="5" w:name="_Toc527481397"/>
      <w:bookmarkStart w:id="6" w:name="_Toc527641883"/>
      <w:r>
        <w:rPr>
          <w:rFonts w:hint="eastAsia"/>
        </w:rPr>
        <w:t>1.1 渔</w:t>
      </w:r>
      <w:bookmarkEnd w:id="5"/>
      <w:r>
        <w:rPr>
          <w:rFonts w:hint="eastAsia"/>
        </w:rPr>
        <w:t>业生产</w:t>
      </w:r>
      <w:r>
        <w:rPr>
          <w:rFonts w:hint="eastAsia"/>
          <w:szCs w:val="28"/>
        </w:rPr>
        <w:t>现状</w:t>
      </w:r>
      <w:bookmarkEnd w:id="6"/>
    </w:p>
    <w:p>
      <w:pPr>
        <w:ind w:firstLine="560"/>
      </w:pPr>
      <w:r>
        <w:rPr>
          <w:rFonts w:hint="eastAsia"/>
          <w:szCs w:val="28"/>
        </w:rPr>
        <w:t>福建省海岸线绵长曲折，多港湾、岛屿，并有宽阔的浅海滩涂和海域。全省海域面积13.6万平方公里</w:t>
      </w:r>
      <w:r>
        <w:rPr>
          <w:rFonts w:hint="eastAsia" w:ascii="仿宋_GB2312" w:hAnsi="宋体" w:eastAsia="仿宋_GB2312"/>
          <w:sz w:val="30"/>
          <w:szCs w:val="30"/>
        </w:rPr>
        <w:t>，</w:t>
      </w:r>
      <w:r>
        <w:rPr>
          <w:rFonts w:hint="eastAsia"/>
          <w:szCs w:val="28"/>
        </w:rPr>
        <w:t>海岸线总长3752公里，约占全国大陆海岸线总长的</w:t>
      </w:r>
      <w:r>
        <w:rPr>
          <w:szCs w:val="28"/>
        </w:rPr>
        <w:t>1/</w:t>
      </w:r>
      <w:r>
        <w:rPr>
          <w:rFonts w:hint="eastAsia"/>
          <w:szCs w:val="28"/>
        </w:rPr>
        <w:t>5，海岸线曲折率1：6.21，陆地面积500平方米以上的海岛有1374个，绵长曲折的海岸线和众多的岛屿形成了优越的港湾资源，渔港建设具备良好条件</w:t>
      </w:r>
      <w:r>
        <w:rPr>
          <w:rFonts w:hint="eastAsia"/>
        </w:rPr>
        <w:t>。</w:t>
      </w:r>
    </w:p>
    <w:p>
      <w:pPr>
        <w:ind w:firstLine="560"/>
      </w:pPr>
      <w:r>
        <w:rPr>
          <w:rFonts w:hint="eastAsia"/>
        </w:rPr>
        <w:t>福建省自北向南渔业涉及地区分别为宁德市、福州市、平潭综合实验区、莆田市、泉州市、厦门市、漳州市等7个沿海区域。我省海洋经济发展的基础条件好，海洋生产总值总体呈上升趋势，发展势头良好。2017年全省渔业产值1202.05亿元，同比增长4.4%；海水产品总产量662.46万吨，同比增长4.6%；拥有各类海洋捕捞、辅助及养殖渔船52110艘。</w:t>
      </w:r>
    </w:p>
    <w:p>
      <w:pPr>
        <w:pStyle w:val="3"/>
      </w:pPr>
      <w:bookmarkStart w:id="7" w:name="_Toc527481398"/>
      <w:bookmarkStart w:id="8" w:name="_Toc527641884"/>
      <w:r>
        <w:rPr>
          <w:rFonts w:hint="eastAsia"/>
        </w:rPr>
        <w:t>1.2</w:t>
      </w:r>
      <w:bookmarkEnd w:id="7"/>
      <w:r>
        <w:rPr>
          <w:rFonts w:hint="eastAsia"/>
        </w:rPr>
        <w:t>渔港建设现状及存在问题</w:t>
      </w:r>
      <w:bookmarkEnd w:id="8"/>
    </w:p>
    <w:p>
      <w:pPr>
        <w:ind w:firstLine="560"/>
        <w:rPr>
          <w:szCs w:val="28"/>
        </w:rPr>
      </w:pPr>
      <w:r>
        <w:rPr>
          <w:rFonts w:hint="eastAsia"/>
          <w:szCs w:val="28"/>
        </w:rPr>
        <w:t>渔港是集渔船停泊与避风、渔货装卸、物资补给、冷藏加工、流通贸易、船网工具修造为一体的渔业综合生产基地，是渔区人流、物流、资金流、信息流的重要集散地。</w:t>
      </w:r>
    </w:p>
    <w:p>
      <w:pPr>
        <w:ind w:firstLine="560"/>
        <w:rPr>
          <w:szCs w:val="28"/>
        </w:rPr>
      </w:pPr>
      <w:r>
        <w:rPr>
          <w:rFonts w:hint="eastAsia"/>
          <w:szCs w:val="28"/>
        </w:rPr>
        <w:t>我省注重建设渔港始于“九五”期间，自1998年以来，我省出台了《关于进一步加快发展海洋经济的决定》、《福建省人民政府关于加快标准渔港建设的若干意见》、《福建省渔港和渔业船舶管理条例》等一系列惠渔政策，建立了省级渔港建设专项补助资金，加大了渔港基础设施建设力度，我省渔港建设进入稳步发展时期。</w:t>
      </w:r>
    </w:p>
    <w:p>
      <w:pPr>
        <w:ind w:firstLine="560"/>
        <w:rPr>
          <w:szCs w:val="28"/>
        </w:rPr>
      </w:pPr>
      <w:r>
        <w:rPr>
          <w:rFonts w:hint="eastAsia"/>
          <w:szCs w:val="28"/>
        </w:rPr>
        <w:t>我省于2010年正式发布了《福建省沿海渔港布局与建设规划（2009-2018）》，根据规划，2009-2013年拟在全省新建或改扩建167个渔港及16个避风锚地，使沿海渔船就近避风率达到83%的目标，基本形成渔港防灾减灾体系和渔港区域服务体系。截止2013年底，全省已立项建设渔港244个，其中中心渔港10个，一级渔港11个，二级渔港45个，三级渔港178个，已</w:t>
      </w:r>
      <w:r>
        <w:rPr>
          <w:szCs w:val="28"/>
        </w:rPr>
        <w:t>初步形成了覆盖重点</w:t>
      </w:r>
      <w:r>
        <w:rPr>
          <w:rFonts w:hint="eastAsia"/>
          <w:szCs w:val="28"/>
        </w:rPr>
        <w:t>县市</w:t>
      </w:r>
      <w:r>
        <w:rPr>
          <w:szCs w:val="28"/>
        </w:rPr>
        <w:t>、重要渔区沿海渔港</w:t>
      </w:r>
      <w:r>
        <w:rPr>
          <w:rFonts w:hint="eastAsia"/>
          <w:szCs w:val="28"/>
        </w:rPr>
        <w:t>布局体系。</w:t>
      </w:r>
    </w:p>
    <w:p>
      <w:pPr>
        <w:ind w:firstLine="560"/>
        <w:rPr>
          <w:szCs w:val="28"/>
        </w:rPr>
      </w:pPr>
      <w:r>
        <w:rPr>
          <w:rFonts w:hint="eastAsia"/>
          <w:szCs w:val="28"/>
        </w:rPr>
        <w:t>随着《福建省沿海渔港布局与建设规划（2009-2018）》的逐年实施，我省渔港建设进入了新的发展时期，渔港功能逐步多样化，港镇建设逐步一体化，辐射力大幅增强，带动面不断扩大，产业链不断延伸，渔港经济社会面貌发生了重大变化。但由于渔港建设需要的资金投入较大，目前我省渔港建设的扶持政策重点倾向于大型的一级、中心渔港，而部分地区的渔港因地方政府财力薄弱、项目配套资金不足等原因造成项目进展缓慢，建设工期拖延，建设规模与原定的目标也有不小的差距。</w:t>
      </w:r>
    </w:p>
    <w:p>
      <w:pPr>
        <w:ind w:firstLine="560"/>
        <w:rPr>
          <w:color w:val="FF0000"/>
          <w:szCs w:val="28"/>
        </w:rPr>
      </w:pPr>
      <w:r>
        <w:rPr>
          <w:rFonts w:hint="eastAsia"/>
          <w:szCs w:val="28"/>
        </w:rPr>
        <w:t>同时，随着沿海岸线的大量开发，省内天然避风条件较好的港湾大多已被交通、旅游等相关产业占据，而我省沿海地区风浪、地质条件较为复杂，要营造可供渔船安全避风的水域需要的投资更多。从渔港功能来看，二级渔港生产服务型渔港比例偏大，综合型渔港、避风型渔港比例偏小。此外，鉴于我省近年来渔业经济及海洋产业的快速发展，尤其是近海养殖及渔业精深加工、海洋工程装备等海洋新兴产业的崛起，原有的渔港规划已不能满足渔业经济发展的需求。</w:t>
      </w:r>
    </w:p>
    <w:p>
      <w:pPr>
        <w:pStyle w:val="3"/>
      </w:pPr>
      <w:bookmarkStart w:id="9" w:name="_Toc527481399"/>
      <w:bookmarkStart w:id="10" w:name="_Toc527641885"/>
      <w:r>
        <w:rPr>
          <w:rFonts w:hint="eastAsia"/>
        </w:rPr>
        <w:t>1.3 渔港升级改造和整治维护的必要性</w:t>
      </w:r>
      <w:bookmarkEnd w:id="9"/>
      <w:bookmarkEnd w:id="10"/>
    </w:p>
    <w:p>
      <w:pPr>
        <w:ind w:firstLine="560"/>
        <w:rPr>
          <w:rFonts w:asciiTheme="minorEastAsia" w:hAnsiTheme="minorEastAsia" w:eastAsiaTheme="minorEastAsia"/>
          <w:szCs w:val="28"/>
        </w:rPr>
      </w:pPr>
      <w:r>
        <w:rPr>
          <w:rFonts w:hint="eastAsia" w:asciiTheme="minorEastAsia" w:hAnsiTheme="minorEastAsia" w:eastAsiaTheme="minorEastAsia"/>
          <w:szCs w:val="28"/>
        </w:rPr>
        <w:t>福建省渔业经济发达，渔船数量众多，且分布较为零散，故渔港规划建成以中心、一级大型渔港为骨架，二、三级渔港为补充的渔港体系。其中，中心、一级渔港主要解决区域性大中型捕捞渔船的就近安全避风问题，而二级渔港则是我省提高中小型渔船就近避风的重要补充。随着近年来渔港的快速建设，我省渔船就近避风率有了较大提高，但由于我省渔区的作业习惯，部分地区的养殖渔船、辅助船及休闲渔船等大量中小型渔船依然面临避风水域不足，就近避风难的问题。</w:t>
      </w:r>
    </w:p>
    <w:p>
      <w:pPr>
        <w:ind w:firstLine="560"/>
      </w:pPr>
      <w:r>
        <w:rPr>
          <w:rFonts w:asciiTheme="minorEastAsia" w:hAnsiTheme="minorEastAsia" w:eastAsiaTheme="minorEastAsia"/>
          <w:szCs w:val="28"/>
        </w:rPr>
        <w:t>随着近年来</w:t>
      </w:r>
      <w:r>
        <w:rPr>
          <w:rFonts w:hint="eastAsia" w:asciiTheme="minorEastAsia" w:hAnsiTheme="minorEastAsia" w:eastAsiaTheme="minorEastAsia"/>
          <w:szCs w:val="28"/>
        </w:rPr>
        <w:t>渔业生产</w:t>
      </w:r>
      <w:r>
        <w:rPr>
          <w:rFonts w:asciiTheme="minorEastAsia" w:hAnsiTheme="minorEastAsia" w:eastAsiaTheme="minorEastAsia"/>
          <w:szCs w:val="28"/>
        </w:rPr>
        <w:t>转方式、调结构的深入推进，</w:t>
      </w:r>
      <w:r>
        <w:rPr>
          <w:rFonts w:hint="eastAsia" w:asciiTheme="minorEastAsia" w:hAnsiTheme="minorEastAsia" w:eastAsiaTheme="minorEastAsia"/>
          <w:szCs w:val="28"/>
        </w:rPr>
        <w:t>原有部分渔港因资金不足，设计和建设标准比较低，普遍存在航道窄小、港池淤浅、泊位不足等问题越为凸显。渔港资金不足也造成一些渔港通讯、导航、灯塔、消防和照明设施不够完善、功能不全，对渔船生产、进港和作业安全也构成一定的威胁。此外，</w:t>
      </w:r>
      <w:r>
        <w:rPr>
          <w:rFonts w:hint="eastAsia" w:asciiTheme="minorEastAsia" w:hAnsiTheme="minorEastAsia" w:eastAsiaTheme="minorEastAsia"/>
        </w:rPr>
        <w:t>随着沿海渔区经济随之快速</w:t>
      </w:r>
      <w:r>
        <w:rPr>
          <w:rFonts w:hint="eastAsia" w:asciiTheme="minorEastAsia" w:hAnsiTheme="minorEastAsia" w:eastAsiaTheme="minorEastAsia"/>
          <w:szCs w:val="28"/>
        </w:rPr>
        <w:t>发展，新农村建设进程大大加快，但也加大了各渔区发展的不均衡性。本次规划渔港工程的建设将进一步提高渔港建设渔船就近安全避风率，完善渔业基础设施建设，带动社会资金投入渔港关联产业，有效推动渔港功能多样化、港镇一体化和渔业产业现代化，加快项目所在地渔业经济持续健康发展，有助于顺利完成渔区新农村建设任务，促进各渔业生产区平衡、协调发展。</w:t>
      </w:r>
    </w:p>
    <w:p>
      <w:pPr>
        <w:ind w:firstLine="560"/>
        <w:sectPr>
          <w:pgSz w:w="11906" w:h="16838"/>
          <w:pgMar w:top="1440" w:right="1800" w:bottom="1440" w:left="1800" w:header="851" w:footer="992" w:gutter="0"/>
          <w:cols w:space="425" w:num="1"/>
          <w:docGrid w:type="lines" w:linePitch="312" w:charSpace="0"/>
        </w:sectPr>
      </w:pPr>
    </w:p>
    <w:p>
      <w:pPr>
        <w:pStyle w:val="2"/>
      </w:pPr>
      <w:bookmarkStart w:id="11" w:name="_Toc527641886"/>
      <w:r>
        <w:rPr>
          <w:rFonts w:hint="eastAsia"/>
        </w:rPr>
        <w:t>2  总体思路</w:t>
      </w:r>
      <w:bookmarkEnd w:id="11"/>
    </w:p>
    <w:p>
      <w:pPr>
        <w:pStyle w:val="3"/>
      </w:pPr>
      <w:bookmarkStart w:id="12" w:name="_Toc527641887"/>
      <w:r>
        <w:rPr>
          <w:rFonts w:hint="eastAsia"/>
        </w:rPr>
        <w:t>2.1 指导思想</w:t>
      </w:r>
      <w:bookmarkEnd w:id="12"/>
    </w:p>
    <w:p>
      <w:pPr>
        <w:ind w:firstLine="560"/>
      </w:pPr>
      <w:r>
        <w:rPr>
          <w:rFonts w:hint="eastAsia"/>
        </w:rPr>
        <w:t>坚持以科学发展为指导，统筹推进“五位一体”总体布局和协调推进“四个全面”战略布局，认真落实《国务院关于促进海洋渔业持续健康发展的若干意见》，以发展现代渔港为主线，合理统筹规划全省渔港的布局建设，完善各港区的设施条件，以提高渔业防灾减灾能力、提高渔村人民生产生活水平为目标，以服务渔业发展、实现资源集约利用为准则，以提高渔船就近避风率、改善生产条件为工作重点，布局省内重点渔港、沿海二级渔港和避风锚地，加大渔港建设投入，提高渔港建设质量，创新渔港管理和投融资机制，延伸渔港产业链条，建立安全、高效、合理、可持续发展的资源集约型渔港体系，成为构建海洋强省和海峡西岸经济区建设的重要支撑。</w:t>
      </w:r>
    </w:p>
    <w:p>
      <w:pPr>
        <w:pStyle w:val="3"/>
      </w:pPr>
      <w:bookmarkStart w:id="13" w:name="_Toc527641888"/>
      <w:r>
        <w:rPr>
          <w:rFonts w:hint="eastAsia"/>
        </w:rPr>
        <w:t>2.2 基本原则</w:t>
      </w:r>
      <w:bookmarkEnd w:id="13"/>
    </w:p>
    <w:p>
      <w:pPr>
        <w:ind w:firstLine="560"/>
        <w:rPr>
          <w:rFonts w:asciiTheme="minorEastAsia" w:hAnsiTheme="minorEastAsia" w:eastAsiaTheme="minorEastAsia"/>
          <w:szCs w:val="28"/>
        </w:rPr>
      </w:pPr>
      <w:r>
        <w:rPr>
          <w:rFonts w:hint="eastAsia" w:asciiTheme="minorEastAsia" w:hAnsiTheme="minorEastAsia" w:eastAsiaTheme="minorEastAsia"/>
          <w:szCs w:val="28"/>
        </w:rPr>
        <w:t>（1）坚持政府主导，社会参与原则。</w:t>
      </w:r>
    </w:p>
    <w:p>
      <w:pPr>
        <w:ind w:firstLine="560"/>
        <w:rPr>
          <w:rFonts w:asciiTheme="minorEastAsia" w:hAnsiTheme="minorEastAsia" w:eastAsiaTheme="minorEastAsia"/>
          <w:szCs w:val="28"/>
        </w:rPr>
      </w:pPr>
      <w:r>
        <w:rPr>
          <w:rFonts w:hint="eastAsia" w:asciiTheme="minorEastAsia" w:hAnsiTheme="minorEastAsia" w:eastAsiaTheme="minorEastAsia"/>
          <w:szCs w:val="28"/>
        </w:rPr>
        <w:t>充分发挥政府、企业和渔民群众三方面的积极性，加大政府投入，树立政府在渔港投资建设中的主体地位，逐步形成适应渔港建设特点，以公共财政投入为主体的渔港投资机制。公共财政扶持建设的重点是公共基础设施建设；渔需物资供应、船舶维修、水产品加工、批发市场等经营性服务设施应发挥市场调节作用，吸引民间资本投资建设。</w:t>
      </w:r>
    </w:p>
    <w:p>
      <w:pPr>
        <w:ind w:firstLine="560"/>
        <w:rPr>
          <w:rFonts w:asciiTheme="minorEastAsia" w:hAnsiTheme="minorEastAsia" w:eastAsiaTheme="minorEastAsia"/>
          <w:szCs w:val="28"/>
        </w:rPr>
      </w:pPr>
      <w:r>
        <w:rPr>
          <w:rFonts w:hint="eastAsia" w:asciiTheme="minorEastAsia" w:hAnsiTheme="minorEastAsia" w:eastAsiaTheme="minorEastAsia"/>
          <w:szCs w:val="28"/>
        </w:rPr>
        <w:t>（2）坚持科学规划，合理布局原则。</w:t>
      </w:r>
    </w:p>
    <w:p>
      <w:pPr>
        <w:ind w:firstLine="560"/>
        <w:rPr>
          <w:rFonts w:asciiTheme="minorEastAsia" w:hAnsiTheme="minorEastAsia" w:eastAsiaTheme="minorEastAsia"/>
          <w:szCs w:val="28"/>
        </w:rPr>
      </w:pPr>
      <w:r>
        <w:rPr>
          <w:rFonts w:hint="eastAsia" w:asciiTheme="minorEastAsia" w:hAnsiTheme="minorEastAsia" w:eastAsiaTheme="minorEastAsia"/>
          <w:szCs w:val="28"/>
        </w:rPr>
        <w:t>根据我省经济和社会发展需要，综合考虑全省各地渔港的资源条件、渔业经济发展现状和建设需求，并与我省主体功能区规划、当地村镇发展总体规划、海洋功能区划及海洋生态保护红线划定成果等相衔接，坚持科学规划、统筹规划，分类指导。规划渔港以重点解决生产和避风需求为目标，合理并集约利用港湾资源，提高渔港的利用效率，形成渔港功能互补、布局合理的防灾减灾体系，注重人与自然的和谐发展，使渔港功能既满足渔业防灾减灾的需要，又符合当地渔业经济发展和渔区现代化的要求。</w:t>
      </w:r>
    </w:p>
    <w:p>
      <w:pPr>
        <w:ind w:firstLine="560"/>
      </w:pPr>
      <w:r>
        <w:rPr>
          <w:rFonts w:hint="eastAsia"/>
        </w:rPr>
        <w:t>（3）坚持生态优先，绿色发展原则。</w:t>
      </w:r>
    </w:p>
    <w:p>
      <w:pPr>
        <w:ind w:firstLine="560"/>
      </w:pPr>
      <w:r>
        <w:rPr>
          <w:rFonts w:hint="eastAsia"/>
        </w:rPr>
        <w:t>坚持绿色发展理念，积极养护水生生物资源，协调处理好生产发展与资源保护的关系，大力发展循环经济，切实加强制度保障，建立资源节约、环境友好、安全高效的美丽渔港。</w:t>
      </w:r>
    </w:p>
    <w:p>
      <w:pPr>
        <w:ind w:firstLine="560"/>
        <w:rPr>
          <w:rFonts w:asciiTheme="minorEastAsia" w:hAnsiTheme="minorEastAsia" w:eastAsiaTheme="minorEastAsia"/>
          <w:szCs w:val="28"/>
        </w:rPr>
      </w:pPr>
      <w:r>
        <w:rPr>
          <w:rFonts w:hint="eastAsia" w:asciiTheme="minorEastAsia" w:hAnsiTheme="minorEastAsia" w:eastAsiaTheme="minorEastAsia"/>
          <w:szCs w:val="28"/>
        </w:rPr>
        <w:t>（4）坚持主动引导，远近结合原则。</w:t>
      </w:r>
    </w:p>
    <w:p>
      <w:pPr>
        <w:ind w:firstLine="560"/>
        <w:rPr>
          <w:rFonts w:asciiTheme="minorEastAsia" w:hAnsiTheme="minorEastAsia" w:eastAsiaTheme="minorEastAsia"/>
          <w:szCs w:val="28"/>
        </w:rPr>
      </w:pPr>
      <w:r>
        <w:rPr>
          <w:rFonts w:hint="eastAsia" w:asciiTheme="minorEastAsia" w:hAnsiTheme="minorEastAsia" w:eastAsiaTheme="minorEastAsia"/>
          <w:szCs w:val="28"/>
        </w:rPr>
        <w:t>注重渔港建设与现代化渔业产业开发基地建设有机结合，发挥渔港对渔村经济社会和渔业经济的主动引导作用，促进区域生产力的优化布局。近期要以提高渔船就近避风率和改善生产条件为目标，远期要以加强渔港现代化建设为目标。科学谋划，突出布局的指导性和前瞻性，形成远近结合的建设规划大局，为海洋经济强省建设的深入推进提供超前性的支撑。</w:t>
      </w:r>
    </w:p>
    <w:p>
      <w:pPr>
        <w:ind w:firstLine="560"/>
        <w:rPr>
          <w:rFonts w:asciiTheme="minorEastAsia" w:hAnsiTheme="minorEastAsia" w:eastAsiaTheme="minorEastAsia"/>
          <w:szCs w:val="28"/>
        </w:rPr>
      </w:pPr>
      <w:r>
        <w:rPr>
          <w:rFonts w:hint="eastAsia" w:asciiTheme="minorEastAsia" w:hAnsiTheme="minorEastAsia" w:eastAsiaTheme="minorEastAsia"/>
          <w:szCs w:val="28"/>
        </w:rPr>
        <w:t>（5）坚持突出重点，综合开发原则。</w:t>
      </w:r>
    </w:p>
    <w:p>
      <w:pPr>
        <w:ind w:firstLine="560"/>
        <w:rPr>
          <w:rFonts w:asciiTheme="minorEastAsia" w:hAnsiTheme="minorEastAsia" w:eastAsiaTheme="minorEastAsia"/>
          <w:szCs w:val="28"/>
        </w:rPr>
      </w:pPr>
      <w:r>
        <w:rPr>
          <w:rFonts w:hint="eastAsia" w:asciiTheme="minorEastAsia" w:hAnsiTheme="minorEastAsia" w:eastAsiaTheme="minorEastAsia"/>
          <w:szCs w:val="28"/>
        </w:rPr>
        <w:t>突出渔港的防台避风、防灾减灾功能，集中有限财力重点扶持可满足防灾减灾需要、对当地渔业经济有良好拉动作用的标准渔港建设，重点建设防波堤、拦沙堤、码头、护岸、港池航道锚地疏浚等公益性基础设施建设，以及完善渔港航标等公共基础设施建设。统筹渔港建设与乡村建设，实行“港村一体化”综合开发，发挥渔港建设对渔村经济发展的辐射拉动作用，促进渔村经济繁荣。</w:t>
      </w:r>
    </w:p>
    <w:p>
      <w:pPr>
        <w:ind w:firstLine="560"/>
        <w:rPr>
          <w:rFonts w:asciiTheme="minorEastAsia" w:hAnsiTheme="minorEastAsia" w:eastAsiaTheme="minorEastAsia"/>
          <w:szCs w:val="28"/>
        </w:rPr>
      </w:pPr>
      <w:r>
        <w:rPr>
          <w:rFonts w:hint="eastAsia" w:asciiTheme="minorEastAsia" w:hAnsiTheme="minorEastAsia" w:eastAsiaTheme="minorEastAsia"/>
          <w:szCs w:val="28"/>
        </w:rPr>
        <w:t>（6）坚持防灾减灾，造福渔区原则。</w:t>
      </w:r>
    </w:p>
    <w:p>
      <w:pPr>
        <w:ind w:firstLine="560"/>
        <w:rPr>
          <w:rFonts w:asciiTheme="minorEastAsia" w:hAnsiTheme="minorEastAsia" w:eastAsiaTheme="minorEastAsia"/>
          <w:szCs w:val="28"/>
        </w:rPr>
      </w:pPr>
      <w:r>
        <w:rPr>
          <w:rFonts w:hint="eastAsia" w:asciiTheme="minorEastAsia" w:hAnsiTheme="minorEastAsia" w:eastAsiaTheme="minorEastAsia"/>
          <w:szCs w:val="28"/>
        </w:rPr>
        <w:t>渔港是渔民生命财产的保障线，也是渔区生产生活的服务线，各级政府必须把渔港建设作为构筑沿海防灾减灾体系、建设“百千万工程”的重要支撑。同时，积极培育渔港经济新增长点，加快渔业转方式调结构，作为建设现代渔业的重要突破口，纳入渔区社会主义新农村建设，切实提高渔港的防台抗灾能力，服务渔民，造福渔区，推进渔港经济的可持续发展。</w:t>
      </w:r>
    </w:p>
    <w:p>
      <w:pPr>
        <w:pStyle w:val="3"/>
      </w:pPr>
      <w:bookmarkStart w:id="14" w:name="_Toc527641889"/>
      <w:r>
        <w:rPr>
          <w:rFonts w:hint="eastAsia"/>
        </w:rPr>
        <w:t>2.3 总体目标</w:t>
      </w:r>
      <w:bookmarkEnd w:id="14"/>
    </w:p>
    <w:p>
      <w:pPr>
        <w:ind w:firstLine="560"/>
        <w:rPr>
          <w:rFonts w:asciiTheme="minorEastAsia" w:hAnsiTheme="minorEastAsia" w:eastAsiaTheme="minorEastAsia"/>
          <w:szCs w:val="28"/>
        </w:rPr>
      </w:pPr>
      <w:r>
        <w:rPr>
          <w:rFonts w:hint="eastAsia" w:asciiTheme="minorEastAsia" w:hAnsiTheme="minorEastAsia" w:eastAsiaTheme="minorEastAsia"/>
          <w:szCs w:val="28"/>
        </w:rPr>
        <w:t>从全省各地择优选择资源条件良好、辐射范围较广、经济增长较强的传统渔村中，通过选址调研和评审讨论后选取</w:t>
      </w:r>
      <w:r>
        <w:rPr>
          <w:rFonts w:asciiTheme="minorEastAsia" w:hAnsiTheme="minorEastAsia" w:eastAsiaTheme="minorEastAsia"/>
          <w:szCs w:val="28"/>
        </w:rPr>
        <w:t>44</w:t>
      </w:r>
      <w:r>
        <w:rPr>
          <w:rFonts w:hint="eastAsia" w:asciiTheme="minorEastAsia" w:hAnsiTheme="minorEastAsia" w:eastAsiaTheme="minorEastAsia"/>
          <w:szCs w:val="28"/>
        </w:rPr>
        <w:t>个项目作为本阶段重点渔港、沿海二级渔港和避风锚地建设项目，进一步完善布局合理、结构优化、功能互补、设施完备、服务完善、生态良好、可持续发展的标准渔港体系。以提高沿海渔船就近避风率为核心目标，着力改善港内避风泊稳条件，新增避风水域不少于</w:t>
      </w:r>
      <w:r>
        <w:rPr>
          <w:rFonts w:asciiTheme="minorEastAsia" w:hAnsiTheme="minorEastAsia" w:eastAsiaTheme="minorEastAsia"/>
          <w:szCs w:val="28"/>
        </w:rPr>
        <w:t>245</w:t>
      </w:r>
      <w:r>
        <w:rPr>
          <w:rFonts w:hint="eastAsia" w:asciiTheme="minorEastAsia" w:hAnsiTheme="minorEastAsia" w:eastAsiaTheme="minorEastAsia"/>
          <w:szCs w:val="28"/>
        </w:rPr>
        <w:t>万平方米，港区锚泊系缆设施配备率达</w:t>
      </w:r>
      <w:r>
        <w:rPr>
          <w:rFonts w:asciiTheme="minorEastAsia" w:hAnsiTheme="minorEastAsia" w:eastAsiaTheme="minorEastAsia"/>
          <w:szCs w:val="28"/>
        </w:rPr>
        <w:t>90%以上</w:t>
      </w:r>
      <w:r>
        <w:rPr>
          <w:rFonts w:hint="eastAsia" w:asciiTheme="minorEastAsia" w:hAnsiTheme="minorEastAsia" w:eastAsiaTheme="minorEastAsia"/>
          <w:szCs w:val="28"/>
        </w:rPr>
        <w:t>，全省海洋机动渔船就近安全避风保证率达</w:t>
      </w:r>
      <w:r>
        <w:rPr>
          <w:rFonts w:asciiTheme="minorEastAsia" w:hAnsiTheme="minorEastAsia" w:eastAsiaTheme="minorEastAsia"/>
          <w:szCs w:val="28"/>
        </w:rPr>
        <w:t>85%以上</w:t>
      </w:r>
      <w:r>
        <w:rPr>
          <w:rFonts w:hint="eastAsia" w:asciiTheme="minorEastAsia" w:hAnsiTheme="minorEastAsia" w:eastAsiaTheme="minorEastAsia"/>
          <w:szCs w:val="28"/>
        </w:rPr>
        <w:t>；增加不少于</w:t>
      </w:r>
      <w:r>
        <w:rPr>
          <w:rFonts w:asciiTheme="minorEastAsia" w:hAnsiTheme="minorEastAsia" w:eastAsiaTheme="minorEastAsia"/>
          <w:szCs w:val="28"/>
        </w:rPr>
        <w:t>4500m码头岸线</w:t>
      </w:r>
      <w:r>
        <w:rPr>
          <w:rFonts w:hint="eastAsia" w:asciiTheme="minorEastAsia" w:hAnsiTheme="minorEastAsia" w:eastAsiaTheme="minorEastAsia"/>
          <w:szCs w:val="28"/>
        </w:rPr>
        <w:t>，海水产品就近卸港率提升</w:t>
      </w:r>
      <w:r>
        <w:rPr>
          <w:rFonts w:asciiTheme="minorEastAsia" w:hAnsiTheme="minorEastAsia" w:eastAsiaTheme="minorEastAsia"/>
          <w:szCs w:val="28"/>
        </w:rPr>
        <w:t>10%；并</w:t>
      </w:r>
      <w:r>
        <w:rPr>
          <w:rFonts w:hint="eastAsia" w:asciiTheme="minorEastAsia" w:hAnsiTheme="minorEastAsia" w:eastAsiaTheme="minorEastAsia"/>
          <w:szCs w:val="28"/>
        </w:rPr>
        <w:t>进一步完善渔港配套公益性设施。</w:t>
      </w:r>
    </w:p>
    <w:p>
      <w:pPr>
        <w:ind w:firstLine="560"/>
      </w:pPr>
      <w:r>
        <w:rPr>
          <w:rFonts w:hint="eastAsia" w:asciiTheme="minorEastAsia" w:hAnsiTheme="minorEastAsia" w:eastAsiaTheme="minorEastAsia"/>
          <w:szCs w:val="28"/>
        </w:rPr>
        <w:t>力争在“十三·五”期末，形成一批能够在安全避风、经济繁荣方面发挥重要保障作用的区域性渔港；形成以中心、一级渔港为骨干，沿海二级渔港和避风锚地为补充的渔港防灾减灾二级体系，服务渔民，造福渔区；以渔港建设带动乡村建设，促进渔业增效、渔民增收，有效发挥渔港对建设渔村小康社会的促进作用。</w:t>
      </w:r>
    </w:p>
    <w:p>
      <w:pPr>
        <w:ind w:firstLine="560"/>
      </w:pPr>
    </w:p>
    <w:p>
      <w:pPr>
        <w:ind w:firstLine="560"/>
        <w:sectPr>
          <w:pgSz w:w="11906" w:h="16838"/>
          <w:pgMar w:top="1440" w:right="1800" w:bottom="1440" w:left="1800" w:header="851" w:footer="992" w:gutter="0"/>
          <w:cols w:space="425" w:num="1"/>
          <w:docGrid w:type="lines" w:linePitch="312" w:charSpace="0"/>
        </w:sectPr>
      </w:pPr>
    </w:p>
    <w:p>
      <w:pPr>
        <w:pStyle w:val="2"/>
      </w:pPr>
      <w:bookmarkStart w:id="15" w:name="_Toc527641890"/>
      <w:r>
        <w:rPr>
          <w:rFonts w:hint="eastAsia"/>
        </w:rPr>
        <w:t>3  实施范围、目标与补助标准</w:t>
      </w:r>
      <w:bookmarkEnd w:id="15"/>
    </w:p>
    <w:p>
      <w:pPr>
        <w:pStyle w:val="3"/>
      </w:pPr>
      <w:bookmarkStart w:id="16" w:name="_Toc527641891"/>
      <w:r>
        <w:rPr>
          <w:rFonts w:hint="eastAsia"/>
        </w:rPr>
        <w:t>3.1 实施范围</w:t>
      </w:r>
      <w:bookmarkEnd w:id="16"/>
    </w:p>
    <w:p>
      <w:pPr>
        <w:ind w:firstLine="560"/>
      </w:pPr>
      <w:r>
        <w:rPr>
          <w:rFonts w:hint="eastAsia"/>
        </w:rPr>
        <w:t>本规划主要选择一批发展较为成熟的渔港，对其进行标准化升级改造。主要是通过加强其基础设施配套，拓展渔港综合服务功能，结合渔港周边优势条件和资源，对渔港进行全方位的开发和利用，形成渔港产业集群。</w:t>
      </w:r>
    </w:p>
    <w:p>
      <w:pPr>
        <w:ind w:firstLine="560"/>
      </w:pPr>
      <w:r>
        <w:rPr>
          <w:rFonts w:hint="eastAsia"/>
        </w:rPr>
        <w:t>（1）重点渔港标准化升级改造和整治维护</w:t>
      </w:r>
    </w:p>
    <w:p>
      <w:pPr>
        <w:ind w:firstLine="560"/>
        <w:rPr>
          <w:color w:val="FF0000"/>
        </w:rPr>
      </w:pPr>
      <w:r>
        <w:rPr>
          <w:rFonts w:hint="eastAsia"/>
        </w:rPr>
        <w:t>省重点中心、一级渔港项目。主要用于防波堤、拦沙堤、码头、护岸、港池航道锚地疏浚、港区道路和通讯导航、动态管理、系泊、监控、供电、照明、给排水、消防、公共卫生、污水油污处理和垃圾处理等配套设施升级改造。</w:t>
      </w:r>
    </w:p>
    <w:p>
      <w:pPr>
        <w:ind w:firstLine="560"/>
      </w:pPr>
      <w:r>
        <w:rPr>
          <w:rFonts w:hint="eastAsia"/>
        </w:rPr>
        <w:t>（2）沿海渔港标准化升级改造和整治维护</w:t>
      </w:r>
    </w:p>
    <w:p>
      <w:pPr>
        <w:ind w:firstLine="560"/>
      </w:pPr>
      <w:r>
        <w:rPr>
          <w:rFonts w:hint="eastAsia"/>
        </w:rPr>
        <w:t>中央投资并已经竣工验收的中心渔港和一级渔港项目，沿海二级渔港项目。主要用于防波堤、拦沙堤、码头、护岸、港池航道锚地疏浚、港区道路和通讯导航、动态管理、系泊、监控、供电、照明、给排水、消防、公共卫生、污水油污处理和垃圾处理等配套设施升级改造。</w:t>
      </w:r>
    </w:p>
    <w:p>
      <w:pPr>
        <w:ind w:firstLine="560"/>
      </w:pPr>
      <w:r>
        <w:rPr>
          <w:rFonts w:hint="eastAsia"/>
        </w:rPr>
        <w:t>（3）避风锚地（塘）标准化升级改造和整治维护</w:t>
      </w:r>
    </w:p>
    <w:p>
      <w:pPr>
        <w:ind w:firstLine="560"/>
      </w:pPr>
      <w:r>
        <w:rPr>
          <w:rFonts w:hint="eastAsia"/>
        </w:rPr>
        <w:t>包括安全辅助、监控指挥和后勤保障三大系统。主要用于防波堤、系泊岸线、航道锚地疏浚、系泊设施、导助航设施、消防设施、风速观测设施、视频监控设施、信息发布设施、避台指挥中心、上岸码头、进出道路、临时避险用房和水电设施升级改造。</w:t>
      </w:r>
    </w:p>
    <w:p>
      <w:pPr>
        <w:pStyle w:val="3"/>
      </w:pPr>
      <w:bookmarkStart w:id="17" w:name="_Toc527641892"/>
      <w:r>
        <w:rPr>
          <w:rFonts w:hint="eastAsia"/>
        </w:rPr>
        <w:t>3.2 实施目标</w:t>
      </w:r>
      <w:bookmarkEnd w:id="17"/>
    </w:p>
    <w:p>
      <w:pPr>
        <w:ind w:firstLine="560"/>
      </w:pPr>
      <w:r>
        <w:rPr>
          <w:rFonts w:hint="eastAsia"/>
        </w:rPr>
        <w:t>（1）重点渔港</w:t>
      </w:r>
    </w:p>
    <w:p>
      <w:pPr>
        <w:ind w:firstLine="560"/>
      </w:pPr>
      <w:r>
        <w:rPr>
          <w:rFonts w:hint="eastAsia"/>
        </w:rPr>
        <w:t>渔港升级改造后，港内有效掩护水域面积不小于30万平方米，码头泊位长度不少于500米，陆域面积原则上不小于5万平方米，可满足800艘以上各类渔船的停泊和避风需要。</w:t>
      </w:r>
    </w:p>
    <w:p>
      <w:pPr>
        <w:ind w:firstLine="560"/>
      </w:pPr>
      <w:r>
        <w:rPr>
          <w:rFonts w:hint="eastAsia"/>
        </w:rPr>
        <w:t>（2）沿海二级渔港</w:t>
      </w:r>
    </w:p>
    <w:p>
      <w:pPr>
        <w:ind w:firstLine="560"/>
      </w:pPr>
      <w:r>
        <w:rPr>
          <w:rFonts w:hint="eastAsia"/>
        </w:rPr>
        <w:t>渔港升级改造后，港内有效掩护水域面积不小于5万平方米，码头泊位长度不少于150米，陆域面积原则上不小于2万平方米，综合管理中心根据需要建设，可满足200艘以上中、小型渔船的停泊和避风需要。</w:t>
      </w:r>
    </w:p>
    <w:p>
      <w:pPr>
        <w:ind w:firstLine="560"/>
      </w:pPr>
      <w:r>
        <w:rPr>
          <w:rFonts w:hint="eastAsia"/>
        </w:rPr>
        <w:t>（3）沿海避风锚地（塘）</w:t>
      </w:r>
    </w:p>
    <w:p>
      <w:pPr>
        <w:ind w:firstLine="560"/>
      </w:pPr>
      <w:r>
        <w:rPr>
          <w:rFonts w:hint="eastAsia"/>
        </w:rPr>
        <w:t>避风锚地（塘）升级改造后，可满足200艘以上各类渔船在台风期的停泊、避风和管理需要，避风锚地综合防风等级不低于12级。</w:t>
      </w:r>
    </w:p>
    <w:p>
      <w:pPr>
        <w:pStyle w:val="3"/>
      </w:pPr>
      <w:bookmarkStart w:id="18" w:name="_Toc527641893"/>
      <w:r>
        <w:rPr>
          <w:rFonts w:hint="eastAsia"/>
        </w:rPr>
        <w:t>3.3 补助标准</w:t>
      </w:r>
      <w:bookmarkEnd w:id="18"/>
    </w:p>
    <w:p>
      <w:pPr>
        <w:ind w:firstLine="560"/>
      </w:pPr>
      <w:r>
        <w:rPr>
          <w:rFonts w:hint="eastAsia"/>
        </w:rPr>
        <w:t>（1）重点渔港标准化升级改造和整治维护</w:t>
      </w:r>
    </w:p>
    <w:p>
      <w:pPr>
        <w:ind w:firstLine="560"/>
        <w:rPr>
          <w:color w:val="FF0000"/>
        </w:rPr>
      </w:pPr>
      <w:r>
        <w:rPr>
          <w:rFonts w:hint="eastAsia"/>
        </w:rPr>
        <w:t>防波堤、码头、护岸、疏浚财政补助上限分别为12万元/延米、8万元/延米、3万元/延米、25元/立方，其中用于防波堤、拦沙堤、码头、护岸、港池航道锚地疏浚应占总投资的75%以上。省级统筹资金补助上限不超过每个项目概算总投资的60%。</w:t>
      </w:r>
    </w:p>
    <w:p>
      <w:pPr>
        <w:ind w:firstLine="560"/>
      </w:pPr>
      <w:r>
        <w:rPr>
          <w:rFonts w:hint="eastAsia"/>
        </w:rPr>
        <w:t>（2）沿海二级渔港、避风锚地标准化升级改造和整治维护</w:t>
      </w:r>
    </w:p>
    <w:p>
      <w:pPr>
        <w:ind w:firstLine="560"/>
      </w:pPr>
      <w:r>
        <w:rPr>
          <w:rFonts w:hint="eastAsia"/>
        </w:rPr>
        <w:t>对总投资超过5000万元的国家级二级渔港、避风锚地补助标准。</w:t>
      </w:r>
    </w:p>
    <w:p>
      <w:pPr>
        <w:ind w:firstLine="560"/>
      </w:pPr>
      <w:r>
        <w:rPr>
          <w:rFonts w:hint="eastAsia"/>
        </w:rPr>
        <w:t>国家级二级渔港：防波堤、码头、护岸、疏浚财政补助上限分别为12万元/延米、8万元/延米、3万元/延米、25元/立方，其中用于防波堤、拦沙堤、码头、护岸、港池航道锚地疏浚等水工主体的工程投资应占总投资的75%以上。省级统筹资金补助上限不超过2000万元。</w:t>
      </w:r>
    </w:p>
    <w:p>
      <w:pPr>
        <w:ind w:firstLine="560"/>
      </w:pPr>
      <w:r>
        <w:rPr>
          <w:rFonts w:hint="eastAsia"/>
        </w:rPr>
        <w:t>国家级避风锚地：防波堤、上岸码头、系泊岸线、浮筒、疏浚财政补助上限分别为12万元/延米、5万元/延米、5万元/延米、30万/个、25元/立方，其中用于防波堤、系泊岸线、航道锚地疏浚、系泊设施应占总投资的75%以上。省级统筹资金补助上限不超过2000万元。</w:t>
      </w:r>
    </w:p>
    <w:p>
      <w:pPr>
        <w:ind w:firstLine="560"/>
      </w:pPr>
    </w:p>
    <w:p>
      <w:pPr>
        <w:ind w:firstLine="560"/>
        <w:sectPr>
          <w:pgSz w:w="11906" w:h="16838"/>
          <w:pgMar w:top="1440" w:right="1800" w:bottom="1440" w:left="1800" w:header="851" w:footer="992" w:gutter="0"/>
          <w:cols w:space="425" w:num="1"/>
          <w:docGrid w:type="lines" w:linePitch="312" w:charSpace="0"/>
        </w:sectPr>
      </w:pPr>
    </w:p>
    <w:p>
      <w:pPr>
        <w:pStyle w:val="2"/>
      </w:pPr>
      <w:bookmarkStart w:id="19" w:name="_Toc527641894"/>
      <w:r>
        <w:rPr>
          <w:rFonts w:hint="eastAsia"/>
        </w:rPr>
        <w:t>4  规划布局</w:t>
      </w:r>
      <w:bookmarkEnd w:id="19"/>
    </w:p>
    <w:p>
      <w:pPr>
        <w:pStyle w:val="3"/>
      </w:pPr>
      <w:bookmarkStart w:id="20" w:name="_Toc527641895"/>
      <w:r>
        <w:rPr>
          <w:rFonts w:hint="eastAsia"/>
        </w:rPr>
        <w:t>4.1 总体规划布局</w:t>
      </w:r>
      <w:bookmarkEnd w:id="20"/>
    </w:p>
    <w:p>
      <w:pPr>
        <w:pStyle w:val="5"/>
      </w:pPr>
      <w:r>
        <w:rPr>
          <w:rFonts w:hint="eastAsia"/>
        </w:rPr>
        <w:t>4.1.1 宁德市</w:t>
      </w:r>
    </w:p>
    <w:p>
      <w:pPr>
        <w:ind w:firstLine="560"/>
      </w:pPr>
      <w:r>
        <w:rPr>
          <w:rFonts w:hint="eastAsia"/>
        </w:rPr>
        <w:t>宁德市沿海邻近闽东渔场，主要包括福鼎市、霞浦县、福安市、蕉城区等渔业县市，岸线长1046千米，占全省27.88％。该区域的特点是小型渔港数量众多，捕捞渔船多，渔场知名度高，区域辐射面广，渔港建设条件好。2017年全区渔业总产值239.66亿元，海产品产量99.21万吨，占全省的14.98%。本地区渔港建设以有了一定基础，但渔业防灾设施仍有待提高，因此，本区域在布局规划上突出提高防灾减灾能力，综合考虑沿海渔船分布、已建渔业基础设施及沿海各县市就近避风率等因素，拟规划布局三个沿海重点渔港的提升改造和整治维护。</w:t>
      </w:r>
    </w:p>
    <w:p>
      <w:pPr>
        <w:pStyle w:val="5"/>
      </w:pPr>
      <w:r>
        <w:rPr>
          <w:rFonts w:hint="eastAsia"/>
        </w:rPr>
        <w:t>4.1.2 福州市</w:t>
      </w:r>
    </w:p>
    <w:p>
      <w:pPr>
        <w:ind w:firstLine="560"/>
      </w:pPr>
      <w:r>
        <w:rPr>
          <w:rFonts w:hint="eastAsia"/>
        </w:rPr>
        <w:t>福州市沿海邻近闽东渔场和闽中渔场，主要包括连江县、罗源县、长乐区、福清市等渔业县市，岸线长1137千米，占全省30.30％，居全省各设区市之首。该区域的特点是大中小型渔港分布比较均衡，且海洋渔业发达，渔船比较适中。2017年全区渔业产值449.13亿元，海产品产量223.66万吨，占全省的33.76%。本区域规划主要为大中小型渔港兼顾，适当增加布局，建设上以改扩建提升避风能力和综合服务功能为主，并优化渔港产业结构，建设多功能渔港，为渔民提供优质的生产及生活条件，加强闽台渔业交流合作。</w:t>
      </w:r>
    </w:p>
    <w:p>
      <w:pPr>
        <w:pStyle w:val="5"/>
      </w:pPr>
      <w:r>
        <w:rPr>
          <w:rFonts w:hint="eastAsia"/>
        </w:rPr>
        <w:t>4.1.3 莆田市</w:t>
      </w:r>
    </w:p>
    <w:p>
      <w:pPr>
        <w:ind w:firstLine="560"/>
      </w:pPr>
      <w:r>
        <w:rPr>
          <w:rFonts w:hint="eastAsia"/>
        </w:rPr>
        <w:t>莆田市沿海邻近闽中渔场，主要包括秀屿区、涵江区、湄洲湾北岸开发区、湄洲岛等渔业县市，岸线长343.6千米，占全省9.16％。该区域的特点是大中小型渔港分布比较均衡，且海洋渔业发达，渔船比较适中。2017年全区渔业产值146.14亿元，海产品产量97.01万吨，占全省的14.64%。本区域规划方向为加强渔港产业的发展，提高渔业防灾减灾能力和综合服务能力的建设，构建现代渔业产业发展的平台。</w:t>
      </w:r>
    </w:p>
    <w:p>
      <w:pPr>
        <w:pStyle w:val="5"/>
      </w:pPr>
      <w:r>
        <w:rPr>
          <w:rFonts w:hint="eastAsia"/>
        </w:rPr>
        <w:t>4.1.4 泉州市</w:t>
      </w:r>
    </w:p>
    <w:p>
      <w:pPr>
        <w:ind w:firstLine="560"/>
      </w:pPr>
      <w:r>
        <w:rPr>
          <w:rFonts w:hint="eastAsia"/>
        </w:rPr>
        <w:t>泉州市沿海临近闽南渔场，主要包括泉港区、晋江市、石狮市、惠安县等渔业县市，岸线长541千米，占全省14.42％。该区域的特点是大型渔港数量多，分布密集，渔港机制灵活，且海洋渔业发达，渔船吨位马力较大，是我省的主要渔业集散地之一。2017年全区渔业产值133.74亿元，海水产品产量111.65万吨，占全省的16.85%。本区域规划主要以大型渔港为主，建设上以渔港配套功能升级为主，并优化渔港产业结构，充分利用石狮祥芝、惠安崇武、晋江深沪等中心渔港的文化优势，建设多功能渔港，努力打造全国一流的现代化渔业基地和渔港经济强区。</w:t>
      </w:r>
    </w:p>
    <w:p>
      <w:pPr>
        <w:pStyle w:val="5"/>
      </w:pPr>
      <w:r>
        <w:rPr>
          <w:rFonts w:hint="eastAsia"/>
        </w:rPr>
        <w:t>4.1.5 漳州市</w:t>
      </w:r>
    </w:p>
    <w:p>
      <w:pPr>
        <w:ind w:firstLine="560"/>
        <w:rPr>
          <w:rFonts w:hint="eastAsia"/>
        </w:rPr>
      </w:pPr>
      <w:r>
        <w:rPr>
          <w:rFonts w:hint="eastAsia"/>
        </w:rPr>
        <w:t>漳州市沿海临近闽南渔场和台湾浅滩渔场，主要包括龙海市、漳浦县、云霄县、诏安县、东山县等渔业县市，岸线长631千米，占全省16.82％。该区域的特点是大中小型渔港分布比较均衡，且海洋渔业较发达，渔船吨位马力较大。2017年全区渔业产值237.72亿元，海水产品产量156.45万吨，占全省的23.62%。本区域布规划主要以大中小型渔港兼顾，适当增加布局，建设上以改扩建提升避风能力和综合服务功能为主，并优化渔业产业结构，发展二、三产业，实现渔港建设与产业发展互动，构建闽台渔业交流平台基地。</w:t>
      </w:r>
    </w:p>
    <w:p>
      <w:pPr>
        <w:pStyle w:val="5"/>
      </w:pPr>
      <w:r>
        <w:rPr>
          <w:rFonts w:hint="eastAsia"/>
        </w:rPr>
        <w:t>4.1.6 平潭综合实验区</w:t>
      </w:r>
    </w:p>
    <w:p>
      <w:pPr>
        <w:ind w:firstLine="560"/>
      </w:pPr>
      <w:r>
        <w:rPr>
          <w:rFonts w:hint="eastAsia"/>
        </w:rPr>
        <w:t>平潭综合实验区沿海邻近闽中渔场，隶属于福州市，岸线长399.82千米，占全省10.66％，是大陆与台湾交流的“桥头堡”。该区域的特点是海岛众多，受外海风浪影响较大，渔港投入需求较大。2017年全区渔业产值50.51亿元，海产品产量41.06万吨，占全省的7.62%。本区域规划主要为满足中小型渔港需求，并进一步加快发展远洋渔业，建设上以改扩建提升避风能力和综合服务功能为主，形成以远洋捕捞、近海捕捞并举，布局合理、装备优良、配套完善、管理规范、支撑有力的现代海外渔业产业体系，加强闽台渔业交流合作。</w:t>
      </w:r>
    </w:p>
    <w:p>
      <w:pPr>
        <w:pStyle w:val="5"/>
      </w:pPr>
      <w:r>
        <w:rPr>
          <w:rFonts w:hint="eastAsia"/>
        </w:rPr>
        <w:t>4.1.7 厦门市</w:t>
      </w:r>
    </w:p>
    <w:p>
      <w:pPr>
        <w:ind w:firstLine="560"/>
      </w:pPr>
      <w:r>
        <w:rPr>
          <w:rFonts w:hint="eastAsia"/>
        </w:rPr>
        <w:t>厦门市沿海临近闽南渔场，岸线长226千米，占全省6.02％。该区域的特点是大型渔港较多，海洋渔业较发达，渔船吨位马力较大。2017年全区渔业产值6.21亿元，海水产品产量43365吨，占全省的0.65%。本区域规划主要以大型渔港为主，建设上以渔港配套功能升级为主，并优化渔港产业结构，建设多功能渔港，努力打造一流的现代化渔业基地和渔港经济强区。</w:t>
      </w:r>
    </w:p>
    <w:p>
      <w:pPr>
        <w:pStyle w:val="3"/>
      </w:pPr>
      <w:bookmarkStart w:id="21" w:name="_Toc527641896"/>
      <w:r>
        <w:rPr>
          <w:rFonts w:hint="eastAsia"/>
        </w:rPr>
        <w:t>4.2 具体规划布局</w:t>
      </w:r>
      <w:bookmarkEnd w:id="21"/>
    </w:p>
    <w:p>
      <w:pPr>
        <w:pStyle w:val="4"/>
        <w:ind w:firstLine="560"/>
      </w:pPr>
      <w:r>
        <w:rPr>
          <w:rFonts w:hint="eastAsia"/>
        </w:rPr>
        <w:t>综合考虑各地自然条件、渔船数量、作业区域、风暴潮灾害、避风能力和避风习惯、经济和社会发展需要、地方建港积极性等要素，结合对各地已建和待建渔港布局情况和使用现状，提出如下全省渔港升级改造和整治维护规划布局方案。</w:t>
      </w:r>
    </w:p>
    <w:p>
      <w:pPr>
        <w:pStyle w:val="5"/>
      </w:pPr>
      <w:r>
        <w:rPr>
          <w:rFonts w:hint="eastAsia"/>
        </w:rPr>
        <w:t>4.2.1 重点渔港规划布局</w:t>
      </w:r>
    </w:p>
    <w:p>
      <w:pPr>
        <w:pStyle w:val="4"/>
        <w:ind w:firstLine="560"/>
      </w:pPr>
      <w:r>
        <w:rPr>
          <w:rFonts w:hint="eastAsia"/>
        </w:rPr>
        <w:t>2018～2020年全省重点渔港规划布局共计21个，详情见表4-1。</w:t>
      </w:r>
    </w:p>
    <w:p>
      <w:pPr>
        <w:pStyle w:val="4"/>
        <w:ind w:firstLine="560"/>
      </w:pPr>
      <w:r>
        <w:rPr>
          <w:rFonts w:hint="eastAsia"/>
        </w:rPr>
        <w:t>重点渔港21个：宁德市3个；福州市3个；莆田市1个；泉州市6个；漳州市6个，平潭综合实验区1个，厦门市1个。</w:t>
      </w:r>
    </w:p>
    <w:p>
      <w:pPr>
        <w:pStyle w:val="5"/>
      </w:pPr>
      <w:r>
        <w:rPr>
          <w:rFonts w:hint="eastAsia"/>
        </w:rPr>
        <w:t>4.2.2 沿海二级渔港、避风锚地规划布局</w:t>
      </w:r>
    </w:p>
    <w:p>
      <w:pPr>
        <w:pStyle w:val="4"/>
        <w:ind w:firstLine="560"/>
      </w:pPr>
      <w:r>
        <w:rPr>
          <w:rFonts w:hint="eastAsia"/>
        </w:rPr>
        <w:t>2018～2020年全省沿海渔港、避风锚地规划布局共计23个，详情见表4-2。</w:t>
      </w:r>
    </w:p>
    <w:p>
      <w:pPr>
        <w:pStyle w:val="4"/>
        <w:ind w:firstLine="560"/>
      </w:pPr>
      <w:r>
        <w:rPr>
          <w:rFonts w:hint="eastAsia"/>
        </w:rPr>
        <w:t>沿海二级渔港16个：宁德市7个；福州市4个；漳州市5个。</w:t>
      </w:r>
    </w:p>
    <w:p>
      <w:pPr>
        <w:pStyle w:val="4"/>
        <w:ind w:firstLine="560"/>
      </w:pPr>
      <w:r>
        <w:rPr>
          <w:rFonts w:hint="eastAsia"/>
        </w:rPr>
        <w:t>避风锚地7个：宁德市5个；福州市1个；漳州市1个。</w:t>
      </w:r>
    </w:p>
    <w:p>
      <w:pPr>
        <w:pStyle w:val="4"/>
        <w:ind w:firstLine="560"/>
        <w:sectPr>
          <w:pgSz w:w="11906" w:h="16838"/>
          <w:pgMar w:top="1440" w:right="1800" w:bottom="1440" w:left="1800" w:header="851" w:footer="992" w:gutter="0"/>
          <w:cols w:space="425" w:num="1"/>
          <w:docGrid w:type="lines" w:linePitch="312" w:charSpace="0"/>
        </w:sectPr>
      </w:pPr>
    </w:p>
    <w:p>
      <w:pPr>
        <w:pStyle w:val="76"/>
        <w:wordWrap w:val="0"/>
      </w:pPr>
      <w:r>
        <w:rPr>
          <w:rFonts w:hint="eastAsia"/>
        </w:rPr>
        <w:t>表4-1  全省沿海重点渔港升级改造和整治维护规划布局表     单位：个</w:t>
      </w:r>
    </w:p>
    <w:tbl>
      <w:tblPr>
        <w:tblStyle w:val="33"/>
        <w:tblW w:w="8523" w:type="dxa"/>
        <w:tblInd w:w="0" w:type="dxa"/>
        <w:tblLayout w:type="fixed"/>
        <w:tblCellMar>
          <w:top w:w="0" w:type="dxa"/>
          <w:left w:w="108" w:type="dxa"/>
          <w:bottom w:w="0" w:type="dxa"/>
          <w:right w:w="108" w:type="dxa"/>
        </w:tblCellMar>
      </w:tblPr>
      <w:tblGrid>
        <w:gridCol w:w="456"/>
        <w:gridCol w:w="1223"/>
        <w:gridCol w:w="6216"/>
        <w:gridCol w:w="628"/>
      </w:tblGrid>
      <w:tr>
        <w:tblPrEx>
          <w:tblLayout w:type="fixed"/>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序号</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rPr>
                <w:rFonts w:hAnsi="宋体" w:cs="宋体"/>
                <w:kern w:val="0"/>
              </w:rPr>
            </w:pPr>
            <w:r>
              <w:rPr>
                <w:rFonts w:hint="eastAsia" w:hAnsi="宋体" w:cs="宋体"/>
                <w:kern w:val="0"/>
              </w:rPr>
              <w:t>地区</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规划项目名称</w:t>
            </w: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合计</w:t>
            </w:r>
          </w:p>
        </w:tc>
      </w:tr>
      <w:tr>
        <w:tblPrEx>
          <w:tblLayout w:type="fixed"/>
        </w:tblPrEx>
        <w:trPr>
          <w:trHeight w:val="340" w:hRule="atLeast"/>
        </w:trPr>
        <w:tc>
          <w:tcPr>
            <w:tcW w:w="456" w:type="dxa"/>
            <w:tcBorders>
              <w:top w:val="nil"/>
              <w:left w:val="single" w:color="auto" w:sz="4" w:space="0"/>
              <w:bottom w:val="single" w:color="auto" w:sz="4" w:space="0"/>
              <w:right w:val="single" w:color="auto" w:sz="4" w:space="0"/>
            </w:tcBorders>
            <w:vAlign w:val="center"/>
          </w:tcPr>
          <w:p>
            <w:pPr>
              <w:pStyle w:val="75"/>
              <w:spacing w:line="280" w:lineRule="exact"/>
            </w:pPr>
          </w:p>
        </w:tc>
        <w:tc>
          <w:tcPr>
            <w:tcW w:w="1223" w:type="dxa"/>
            <w:tcBorders>
              <w:top w:val="nil"/>
              <w:left w:val="single" w:color="auto" w:sz="4" w:space="0"/>
              <w:bottom w:val="single" w:color="auto" w:sz="4" w:space="0"/>
              <w:right w:val="single" w:color="auto" w:sz="4" w:space="0"/>
            </w:tcBorders>
            <w:vAlign w:val="center"/>
          </w:tcPr>
          <w:p>
            <w:pPr>
              <w:pStyle w:val="75"/>
              <w:spacing w:line="280" w:lineRule="exact"/>
              <w:rPr>
                <w:rFonts w:hAnsi="宋体" w:cs="宋体"/>
              </w:rPr>
            </w:pPr>
            <w:r>
              <w:rPr>
                <w:rFonts w:hint="eastAsia"/>
              </w:rPr>
              <w:t>全省</w:t>
            </w:r>
          </w:p>
        </w:tc>
        <w:tc>
          <w:tcPr>
            <w:tcW w:w="6216" w:type="dxa"/>
            <w:tcBorders>
              <w:top w:val="nil"/>
              <w:left w:val="nil"/>
              <w:bottom w:val="single" w:color="auto" w:sz="4" w:space="0"/>
              <w:right w:val="single" w:color="auto" w:sz="4" w:space="0"/>
            </w:tcBorders>
            <w:vAlign w:val="center"/>
          </w:tcPr>
          <w:p>
            <w:pPr>
              <w:pStyle w:val="75"/>
              <w:spacing w:line="280" w:lineRule="exact"/>
              <w:jc w:val="left"/>
            </w:pPr>
          </w:p>
        </w:tc>
        <w:tc>
          <w:tcPr>
            <w:tcW w:w="628" w:type="dxa"/>
            <w:tcBorders>
              <w:top w:val="nil"/>
              <w:left w:val="nil"/>
              <w:bottom w:val="single" w:color="auto" w:sz="4" w:space="0"/>
              <w:right w:val="single" w:color="auto" w:sz="4" w:space="0"/>
            </w:tcBorders>
            <w:vAlign w:val="center"/>
          </w:tcPr>
          <w:p>
            <w:pPr>
              <w:pStyle w:val="75"/>
              <w:spacing w:line="280" w:lineRule="exact"/>
            </w:pPr>
            <w:r>
              <w:rPr>
                <w:rFonts w:hint="eastAsia"/>
              </w:rPr>
              <w:t>21</w:t>
            </w:r>
          </w:p>
        </w:tc>
      </w:tr>
      <w:tr>
        <w:tblPrEx>
          <w:tblLayout w:type="fixed"/>
          <w:tblCellMar>
            <w:top w:w="0" w:type="dxa"/>
            <w:left w:w="108" w:type="dxa"/>
            <w:bottom w:w="0" w:type="dxa"/>
            <w:right w:w="108" w:type="dxa"/>
          </w:tblCellMar>
        </w:tblPrEx>
        <w:trPr>
          <w:trHeight w:val="340" w:hRule="atLeast"/>
        </w:trPr>
        <w:tc>
          <w:tcPr>
            <w:tcW w:w="456"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一</w:t>
            </w:r>
          </w:p>
        </w:tc>
        <w:tc>
          <w:tcPr>
            <w:tcW w:w="1223"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宁德市</w:t>
            </w:r>
          </w:p>
        </w:tc>
        <w:tc>
          <w:tcPr>
            <w:tcW w:w="6216" w:type="dxa"/>
            <w:tcBorders>
              <w:top w:val="nil"/>
              <w:left w:val="nil"/>
              <w:bottom w:val="single" w:color="auto" w:sz="4" w:space="0"/>
              <w:right w:val="single" w:color="auto" w:sz="4" w:space="0"/>
            </w:tcBorders>
            <w:vAlign w:val="center"/>
          </w:tcPr>
          <w:p>
            <w:pPr>
              <w:pStyle w:val="75"/>
              <w:spacing w:line="280" w:lineRule="exact"/>
              <w:jc w:val="left"/>
            </w:pPr>
          </w:p>
        </w:tc>
        <w:tc>
          <w:tcPr>
            <w:tcW w:w="628" w:type="dxa"/>
            <w:tcBorders>
              <w:top w:val="nil"/>
              <w:left w:val="nil"/>
              <w:bottom w:val="single" w:color="auto" w:sz="4" w:space="0"/>
              <w:right w:val="single" w:color="auto" w:sz="4" w:space="0"/>
            </w:tcBorders>
            <w:vAlign w:val="center"/>
          </w:tcPr>
          <w:p>
            <w:pPr>
              <w:pStyle w:val="75"/>
              <w:spacing w:line="280" w:lineRule="exact"/>
            </w:pPr>
            <w:r>
              <w:rPr>
                <w:rFonts w:hint="eastAsia"/>
              </w:rPr>
              <w:t>3</w:t>
            </w:r>
          </w:p>
        </w:tc>
      </w:tr>
      <w:tr>
        <w:tblPrEx>
          <w:tblLayout w:type="fixed"/>
        </w:tblPrEx>
        <w:trPr>
          <w:trHeight w:val="340" w:hRule="atLeast"/>
        </w:trPr>
        <w:tc>
          <w:tcPr>
            <w:tcW w:w="456"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1</w:t>
            </w:r>
          </w:p>
        </w:tc>
        <w:tc>
          <w:tcPr>
            <w:tcW w:w="1223"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福鼎市</w:t>
            </w:r>
          </w:p>
        </w:tc>
        <w:tc>
          <w:tcPr>
            <w:tcW w:w="6216" w:type="dxa"/>
            <w:tcBorders>
              <w:top w:val="nil"/>
              <w:left w:val="nil"/>
              <w:bottom w:val="single" w:color="auto" w:sz="4" w:space="0"/>
              <w:right w:val="single" w:color="auto" w:sz="4" w:space="0"/>
            </w:tcBorders>
            <w:vAlign w:val="center"/>
          </w:tcPr>
          <w:p>
            <w:pPr>
              <w:pStyle w:val="75"/>
              <w:spacing w:line="280" w:lineRule="exact"/>
              <w:jc w:val="left"/>
            </w:pPr>
            <w:r>
              <w:rPr>
                <w:rFonts w:hint="eastAsia"/>
              </w:rPr>
              <w:t>福鼎沙埕中心渔港</w:t>
            </w:r>
          </w:p>
        </w:tc>
        <w:tc>
          <w:tcPr>
            <w:tcW w:w="628" w:type="dxa"/>
            <w:tcBorders>
              <w:top w:val="nil"/>
              <w:left w:val="nil"/>
              <w:bottom w:val="single" w:color="auto" w:sz="4" w:space="0"/>
              <w:right w:val="single" w:color="auto" w:sz="4" w:space="0"/>
            </w:tcBorders>
            <w:vAlign w:val="center"/>
          </w:tcPr>
          <w:p>
            <w:pPr>
              <w:pStyle w:val="75"/>
              <w:spacing w:line="280" w:lineRule="exact"/>
            </w:pPr>
            <w:r>
              <w:rPr>
                <w:rFonts w:hint="eastAsia"/>
              </w:rPr>
              <w:t>1</w:t>
            </w:r>
          </w:p>
        </w:tc>
      </w:tr>
      <w:tr>
        <w:tblPrEx>
          <w:tblLayout w:type="fixed"/>
        </w:tblPrEx>
        <w:trPr>
          <w:trHeight w:val="340" w:hRule="atLeast"/>
        </w:trPr>
        <w:tc>
          <w:tcPr>
            <w:tcW w:w="456"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2</w:t>
            </w:r>
          </w:p>
        </w:tc>
        <w:tc>
          <w:tcPr>
            <w:tcW w:w="1223"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霞浦县</w:t>
            </w:r>
          </w:p>
        </w:tc>
        <w:tc>
          <w:tcPr>
            <w:tcW w:w="6216" w:type="dxa"/>
            <w:tcBorders>
              <w:top w:val="nil"/>
              <w:left w:val="nil"/>
              <w:bottom w:val="single" w:color="auto" w:sz="4" w:space="0"/>
              <w:right w:val="single" w:color="auto" w:sz="4" w:space="0"/>
            </w:tcBorders>
            <w:vAlign w:val="center"/>
          </w:tcPr>
          <w:p>
            <w:pPr>
              <w:pStyle w:val="75"/>
              <w:spacing w:line="280" w:lineRule="exact"/>
              <w:jc w:val="left"/>
            </w:pPr>
            <w:r>
              <w:rPr>
                <w:rFonts w:hint="eastAsia"/>
              </w:rPr>
              <w:t>霞浦三沙中心渔港、霞浦石湖渔港（石湖、西洋、闾峡）</w:t>
            </w:r>
          </w:p>
        </w:tc>
        <w:tc>
          <w:tcPr>
            <w:tcW w:w="628" w:type="dxa"/>
            <w:tcBorders>
              <w:top w:val="nil"/>
              <w:left w:val="nil"/>
              <w:bottom w:val="single" w:color="auto" w:sz="4" w:space="0"/>
              <w:right w:val="single" w:color="auto" w:sz="4" w:space="0"/>
            </w:tcBorders>
            <w:vAlign w:val="center"/>
          </w:tcPr>
          <w:p>
            <w:pPr>
              <w:pStyle w:val="75"/>
              <w:spacing w:line="280" w:lineRule="exact"/>
            </w:pPr>
            <w:r>
              <w:rPr>
                <w:rFonts w:hint="eastAsia"/>
              </w:rPr>
              <w:t>2</w:t>
            </w:r>
          </w:p>
        </w:tc>
      </w:tr>
      <w:tr>
        <w:tblPrEx>
          <w:tblLayout w:type="fixed"/>
          <w:tblCellMar>
            <w:top w:w="0" w:type="dxa"/>
            <w:left w:w="108" w:type="dxa"/>
            <w:bottom w:w="0" w:type="dxa"/>
            <w:right w:w="108" w:type="dxa"/>
          </w:tblCellMar>
        </w:tblPrEx>
        <w:trPr>
          <w:trHeight w:val="340" w:hRule="atLeast"/>
        </w:trPr>
        <w:tc>
          <w:tcPr>
            <w:tcW w:w="456"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3</w:t>
            </w:r>
          </w:p>
        </w:tc>
        <w:tc>
          <w:tcPr>
            <w:tcW w:w="1223"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福安市</w:t>
            </w:r>
          </w:p>
        </w:tc>
        <w:tc>
          <w:tcPr>
            <w:tcW w:w="6216" w:type="dxa"/>
            <w:tcBorders>
              <w:top w:val="nil"/>
              <w:left w:val="nil"/>
              <w:bottom w:val="single" w:color="auto" w:sz="4" w:space="0"/>
              <w:right w:val="single" w:color="auto" w:sz="4" w:space="0"/>
            </w:tcBorders>
            <w:vAlign w:val="center"/>
          </w:tcPr>
          <w:p>
            <w:pPr>
              <w:pStyle w:val="75"/>
              <w:spacing w:line="280" w:lineRule="exact"/>
              <w:jc w:val="left"/>
            </w:pPr>
          </w:p>
        </w:tc>
        <w:tc>
          <w:tcPr>
            <w:tcW w:w="628" w:type="dxa"/>
            <w:tcBorders>
              <w:top w:val="nil"/>
              <w:left w:val="nil"/>
              <w:bottom w:val="single" w:color="auto" w:sz="4" w:space="0"/>
              <w:right w:val="single" w:color="auto" w:sz="4" w:space="0"/>
            </w:tcBorders>
            <w:vAlign w:val="center"/>
          </w:tcPr>
          <w:p>
            <w:pPr>
              <w:pStyle w:val="75"/>
              <w:spacing w:line="280" w:lineRule="exact"/>
            </w:pPr>
            <w:r>
              <w:rPr>
                <w:rFonts w:hint="eastAsia"/>
              </w:rPr>
              <w:t>0</w:t>
            </w:r>
          </w:p>
        </w:tc>
      </w:tr>
      <w:tr>
        <w:tblPrEx>
          <w:tblLayout w:type="fixed"/>
          <w:tblCellMar>
            <w:top w:w="0" w:type="dxa"/>
            <w:left w:w="108" w:type="dxa"/>
            <w:bottom w:w="0" w:type="dxa"/>
            <w:right w:w="108" w:type="dxa"/>
          </w:tblCellMar>
        </w:tblPrEx>
        <w:trPr>
          <w:trHeight w:val="340" w:hRule="atLeast"/>
        </w:trPr>
        <w:tc>
          <w:tcPr>
            <w:tcW w:w="456"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4</w:t>
            </w:r>
          </w:p>
        </w:tc>
        <w:tc>
          <w:tcPr>
            <w:tcW w:w="1223"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蕉城区</w:t>
            </w:r>
          </w:p>
        </w:tc>
        <w:tc>
          <w:tcPr>
            <w:tcW w:w="6216" w:type="dxa"/>
            <w:tcBorders>
              <w:top w:val="nil"/>
              <w:left w:val="nil"/>
              <w:bottom w:val="single" w:color="auto" w:sz="4" w:space="0"/>
              <w:right w:val="single" w:color="auto" w:sz="4" w:space="0"/>
            </w:tcBorders>
            <w:vAlign w:val="center"/>
          </w:tcPr>
          <w:p>
            <w:pPr>
              <w:pStyle w:val="75"/>
              <w:spacing w:line="280" w:lineRule="exact"/>
              <w:jc w:val="left"/>
            </w:pPr>
          </w:p>
        </w:tc>
        <w:tc>
          <w:tcPr>
            <w:tcW w:w="628" w:type="dxa"/>
            <w:tcBorders>
              <w:top w:val="nil"/>
              <w:left w:val="nil"/>
              <w:bottom w:val="single" w:color="auto" w:sz="4" w:space="0"/>
              <w:right w:val="single" w:color="auto" w:sz="4" w:space="0"/>
            </w:tcBorders>
            <w:vAlign w:val="center"/>
          </w:tcPr>
          <w:p>
            <w:pPr>
              <w:pStyle w:val="75"/>
              <w:spacing w:line="280" w:lineRule="exact"/>
            </w:pPr>
            <w:r>
              <w:rPr>
                <w:rFonts w:hint="eastAsia"/>
              </w:rPr>
              <w:t>0</w:t>
            </w:r>
          </w:p>
        </w:tc>
      </w:tr>
      <w:tr>
        <w:tblPrEx>
          <w:tblLayout w:type="fixed"/>
        </w:tblPrEx>
        <w:trPr>
          <w:trHeight w:val="340" w:hRule="atLeast"/>
        </w:trPr>
        <w:tc>
          <w:tcPr>
            <w:tcW w:w="456"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二</w:t>
            </w:r>
          </w:p>
        </w:tc>
        <w:tc>
          <w:tcPr>
            <w:tcW w:w="1223"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福州市</w:t>
            </w:r>
          </w:p>
        </w:tc>
        <w:tc>
          <w:tcPr>
            <w:tcW w:w="6216" w:type="dxa"/>
            <w:tcBorders>
              <w:top w:val="nil"/>
              <w:left w:val="nil"/>
              <w:bottom w:val="single" w:color="auto" w:sz="4" w:space="0"/>
              <w:right w:val="single" w:color="auto" w:sz="4" w:space="0"/>
            </w:tcBorders>
            <w:vAlign w:val="center"/>
          </w:tcPr>
          <w:p>
            <w:pPr>
              <w:pStyle w:val="75"/>
              <w:spacing w:line="280" w:lineRule="exact"/>
              <w:jc w:val="left"/>
            </w:pPr>
          </w:p>
        </w:tc>
        <w:tc>
          <w:tcPr>
            <w:tcW w:w="628" w:type="dxa"/>
            <w:tcBorders>
              <w:top w:val="nil"/>
              <w:left w:val="nil"/>
              <w:bottom w:val="single" w:color="auto" w:sz="4" w:space="0"/>
              <w:right w:val="single" w:color="auto" w:sz="4" w:space="0"/>
            </w:tcBorders>
            <w:vAlign w:val="center"/>
          </w:tcPr>
          <w:p>
            <w:pPr>
              <w:pStyle w:val="75"/>
              <w:spacing w:line="280" w:lineRule="exact"/>
            </w:pPr>
            <w:r>
              <w:rPr>
                <w:rFonts w:hint="eastAsia"/>
              </w:rPr>
              <w:t>3</w:t>
            </w:r>
          </w:p>
        </w:tc>
      </w:tr>
      <w:tr>
        <w:tblPrEx>
          <w:tblLayout w:type="fixed"/>
          <w:tblCellMar>
            <w:top w:w="0" w:type="dxa"/>
            <w:left w:w="108" w:type="dxa"/>
            <w:bottom w:w="0" w:type="dxa"/>
            <w:right w:w="108" w:type="dxa"/>
          </w:tblCellMar>
        </w:tblPrEx>
        <w:trPr>
          <w:trHeight w:val="340" w:hRule="atLeast"/>
        </w:trPr>
        <w:tc>
          <w:tcPr>
            <w:tcW w:w="456"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1</w:t>
            </w:r>
          </w:p>
        </w:tc>
        <w:tc>
          <w:tcPr>
            <w:tcW w:w="1223"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罗源县</w:t>
            </w:r>
          </w:p>
        </w:tc>
        <w:tc>
          <w:tcPr>
            <w:tcW w:w="6216" w:type="dxa"/>
            <w:tcBorders>
              <w:top w:val="nil"/>
              <w:left w:val="nil"/>
              <w:bottom w:val="single" w:color="auto" w:sz="4" w:space="0"/>
              <w:right w:val="single" w:color="auto" w:sz="4" w:space="0"/>
            </w:tcBorders>
            <w:vAlign w:val="center"/>
          </w:tcPr>
          <w:p>
            <w:pPr>
              <w:pStyle w:val="75"/>
              <w:spacing w:line="280" w:lineRule="exact"/>
              <w:jc w:val="left"/>
            </w:pPr>
          </w:p>
        </w:tc>
        <w:tc>
          <w:tcPr>
            <w:tcW w:w="628" w:type="dxa"/>
            <w:tcBorders>
              <w:top w:val="nil"/>
              <w:left w:val="nil"/>
              <w:bottom w:val="single" w:color="auto" w:sz="4" w:space="0"/>
              <w:right w:val="single" w:color="auto" w:sz="4" w:space="0"/>
            </w:tcBorders>
            <w:vAlign w:val="center"/>
          </w:tcPr>
          <w:p>
            <w:pPr>
              <w:pStyle w:val="75"/>
              <w:spacing w:line="280" w:lineRule="exact"/>
            </w:pPr>
            <w:r>
              <w:rPr>
                <w:rFonts w:hint="eastAsia"/>
              </w:rPr>
              <w:t>0</w:t>
            </w:r>
          </w:p>
        </w:tc>
      </w:tr>
      <w:tr>
        <w:tblPrEx>
          <w:tblLayout w:type="fixed"/>
        </w:tblPrEx>
        <w:trPr>
          <w:trHeight w:val="340" w:hRule="atLeast"/>
        </w:trPr>
        <w:tc>
          <w:tcPr>
            <w:tcW w:w="456"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2</w:t>
            </w:r>
          </w:p>
        </w:tc>
        <w:tc>
          <w:tcPr>
            <w:tcW w:w="1223"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连江县</w:t>
            </w:r>
          </w:p>
        </w:tc>
        <w:tc>
          <w:tcPr>
            <w:tcW w:w="6216" w:type="dxa"/>
            <w:tcBorders>
              <w:top w:val="nil"/>
              <w:left w:val="nil"/>
              <w:bottom w:val="single" w:color="auto" w:sz="4" w:space="0"/>
              <w:right w:val="single" w:color="auto" w:sz="4" w:space="0"/>
            </w:tcBorders>
            <w:vAlign w:val="center"/>
          </w:tcPr>
          <w:p>
            <w:pPr>
              <w:pStyle w:val="75"/>
              <w:spacing w:line="280" w:lineRule="exact"/>
              <w:jc w:val="left"/>
            </w:pPr>
            <w:r>
              <w:rPr>
                <w:rFonts w:hint="eastAsia"/>
              </w:rPr>
              <w:t>连江黄岐中心渔港、连江苔菉中心渔港</w:t>
            </w:r>
          </w:p>
        </w:tc>
        <w:tc>
          <w:tcPr>
            <w:tcW w:w="628" w:type="dxa"/>
            <w:tcBorders>
              <w:top w:val="nil"/>
              <w:left w:val="nil"/>
              <w:bottom w:val="single" w:color="auto" w:sz="4" w:space="0"/>
              <w:right w:val="single" w:color="auto" w:sz="4" w:space="0"/>
            </w:tcBorders>
            <w:vAlign w:val="center"/>
          </w:tcPr>
          <w:p>
            <w:pPr>
              <w:pStyle w:val="75"/>
              <w:spacing w:line="280" w:lineRule="exact"/>
            </w:pPr>
            <w:r>
              <w:rPr>
                <w:rFonts w:hint="eastAsia"/>
              </w:rPr>
              <w:t>2</w:t>
            </w:r>
          </w:p>
        </w:tc>
      </w:tr>
      <w:tr>
        <w:tblPrEx>
          <w:tblLayout w:type="fixed"/>
        </w:tblPrEx>
        <w:trPr>
          <w:trHeight w:val="340" w:hRule="atLeast"/>
        </w:trPr>
        <w:tc>
          <w:tcPr>
            <w:tcW w:w="456"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3</w:t>
            </w:r>
          </w:p>
        </w:tc>
        <w:tc>
          <w:tcPr>
            <w:tcW w:w="1223"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长乐市</w:t>
            </w:r>
          </w:p>
        </w:tc>
        <w:tc>
          <w:tcPr>
            <w:tcW w:w="6216" w:type="dxa"/>
            <w:tcBorders>
              <w:top w:val="nil"/>
              <w:left w:val="nil"/>
              <w:bottom w:val="single" w:color="auto" w:sz="4" w:space="0"/>
              <w:right w:val="single" w:color="auto" w:sz="4" w:space="0"/>
            </w:tcBorders>
            <w:vAlign w:val="center"/>
          </w:tcPr>
          <w:p>
            <w:pPr>
              <w:pStyle w:val="75"/>
              <w:spacing w:line="280" w:lineRule="exact"/>
              <w:jc w:val="left"/>
            </w:pPr>
          </w:p>
        </w:tc>
        <w:tc>
          <w:tcPr>
            <w:tcW w:w="628" w:type="dxa"/>
            <w:tcBorders>
              <w:top w:val="nil"/>
              <w:left w:val="nil"/>
              <w:bottom w:val="single" w:color="auto" w:sz="4" w:space="0"/>
              <w:right w:val="single" w:color="auto" w:sz="4" w:space="0"/>
            </w:tcBorders>
            <w:vAlign w:val="center"/>
          </w:tcPr>
          <w:p>
            <w:pPr>
              <w:pStyle w:val="75"/>
              <w:spacing w:line="280" w:lineRule="exact"/>
            </w:pPr>
            <w:r>
              <w:rPr>
                <w:rFonts w:hint="eastAsia"/>
              </w:rPr>
              <w:t>0</w:t>
            </w:r>
          </w:p>
        </w:tc>
      </w:tr>
      <w:tr>
        <w:tblPrEx>
          <w:tblLayout w:type="fixed"/>
          <w:tblCellMar>
            <w:top w:w="0" w:type="dxa"/>
            <w:left w:w="108" w:type="dxa"/>
            <w:bottom w:w="0" w:type="dxa"/>
            <w:right w:w="108" w:type="dxa"/>
          </w:tblCellMar>
        </w:tblPrEx>
        <w:trPr>
          <w:trHeight w:val="340" w:hRule="atLeast"/>
        </w:trPr>
        <w:tc>
          <w:tcPr>
            <w:tcW w:w="456"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4</w:t>
            </w:r>
          </w:p>
        </w:tc>
        <w:tc>
          <w:tcPr>
            <w:tcW w:w="1223"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马尾区</w:t>
            </w:r>
          </w:p>
        </w:tc>
        <w:tc>
          <w:tcPr>
            <w:tcW w:w="6216" w:type="dxa"/>
            <w:tcBorders>
              <w:top w:val="nil"/>
              <w:left w:val="nil"/>
              <w:bottom w:val="single" w:color="auto" w:sz="4" w:space="0"/>
              <w:right w:val="single" w:color="auto" w:sz="4" w:space="0"/>
            </w:tcBorders>
            <w:vAlign w:val="center"/>
          </w:tcPr>
          <w:p>
            <w:pPr>
              <w:pStyle w:val="75"/>
              <w:spacing w:line="280" w:lineRule="exact"/>
              <w:jc w:val="left"/>
            </w:pPr>
          </w:p>
        </w:tc>
        <w:tc>
          <w:tcPr>
            <w:tcW w:w="628" w:type="dxa"/>
            <w:tcBorders>
              <w:top w:val="nil"/>
              <w:left w:val="nil"/>
              <w:bottom w:val="single" w:color="auto" w:sz="4" w:space="0"/>
              <w:right w:val="single" w:color="auto" w:sz="4" w:space="0"/>
            </w:tcBorders>
            <w:vAlign w:val="center"/>
          </w:tcPr>
          <w:p>
            <w:pPr>
              <w:pStyle w:val="75"/>
              <w:spacing w:line="280" w:lineRule="exact"/>
            </w:pPr>
            <w:r>
              <w:rPr>
                <w:rFonts w:hint="eastAsia"/>
              </w:rPr>
              <w:t>0</w:t>
            </w:r>
          </w:p>
        </w:tc>
      </w:tr>
      <w:tr>
        <w:tblPrEx>
          <w:tblLayout w:type="fixed"/>
          <w:tblCellMar>
            <w:top w:w="0" w:type="dxa"/>
            <w:left w:w="108" w:type="dxa"/>
            <w:bottom w:w="0" w:type="dxa"/>
            <w:right w:w="108" w:type="dxa"/>
          </w:tblCellMar>
        </w:tblPrEx>
        <w:trPr>
          <w:trHeight w:val="340" w:hRule="atLeast"/>
        </w:trPr>
        <w:tc>
          <w:tcPr>
            <w:tcW w:w="456"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5</w:t>
            </w:r>
          </w:p>
        </w:tc>
        <w:tc>
          <w:tcPr>
            <w:tcW w:w="1223" w:type="dxa"/>
            <w:tcBorders>
              <w:top w:val="nil"/>
              <w:left w:val="single" w:color="auto" w:sz="4" w:space="0"/>
              <w:bottom w:val="single" w:color="auto" w:sz="4" w:space="0"/>
              <w:right w:val="single" w:color="auto" w:sz="4" w:space="0"/>
            </w:tcBorders>
            <w:vAlign w:val="center"/>
          </w:tcPr>
          <w:p>
            <w:pPr>
              <w:pStyle w:val="75"/>
              <w:spacing w:line="280" w:lineRule="exact"/>
            </w:pPr>
            <w:r>
              <w:rPr>
                <w:rFonts w:hint="eastAsia"/>
              </w:rPr>
              <w:t>福清市</w:t>
            </w:r>
          </w:p>
        </w:tc>
        <w:tc>
          <w:tcPr>
            <w:tcW w:w="6216" w:type="dxa"/>
            <w:tcBorders>
              <w:top w:val="nil"/>
              <w:left w:val="nil"/>
              <w:bottom w:val="single" w:color="auto" w:sz="4" w:space="0"/>
              <w:right w:val="single" w:color="auto" w:sz="4" w:space="0"/>
            </w:tcBorders>
            <w:vAlign w:val="center"/>
          </w:tcPr>
          <w:p>
            <w:pPr>
              <w:pStyle w:val="75"/>
              <w:spacing w:line="280" w:lineRule="exact"/>
              <w:jc w:val="left"/>
            </w:pPr>
            <w:r>
              <w:rPr>
                <w:rFonts w:hint="eastAsia"/>
              </w:rPr>
              <w:t>福清东瀚渔港（海亮、莲峰）</w:t>
            </w:r>
          </w:p>
        </w:tc>
        <w:tc>
          <w:tcPr>
            <w:tcW w:w="628" w:type="dxa"/>
            <w:tcBorders>
              <w:top w:val="nil"/>
              <w:left w:val="nil"/>
              <w:bottom w:val="single" w:color="auto" w:sz="4" w:space="0"/>
              <w:right w:val="single" w:color="auto" w:sz="4" w:space="0"/>
            </w:tcBorders>
            <w:vAlign w:val="center"/>
          </w:tcPr>
          <w:p>
            <w:pPr>
              <w:pStyle w:val="75"/>
              <w:spacing w:line="280" w:lineRule="exact"/>
            </w:pPr>
            <w:r>
              <w:rPr>
                <w:rFonts w:hint="eastAsia"/>
              </w:rPr>
              <w:t>1</w:t>
            </w:r>
          </w:p>
        </w:tc>
      </w:tr>
      <w:tr>
        <w:tblPrEx>
          <w:tblLayout w:type="fixed"/>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三</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莆田市</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1</w:t>
            </w:r>
          </w:p>
        </w:tc>
      </w:tr>
      <w:tr>
        <w:tblPrEx>
          <w:tblLayout w:type="fixed"/>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1</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秀屿区</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r>
              <w:rPr>
                <w:rFonts w:hint="eastAsia"/>
              </w:rPr>
              <w:t>莆田</w:t>
            </w:r>
            <w:r>
              <w:t>秀屿</w:t>
            </w:r>
            <w:r>
              <w:rPr>
                <w:rFonts w:hint="eastAsia"/>
              </w:rPr>
              <w:t>浮叶</w:t>
            </w:r>
            <w:r>
              <w:t>一级渔港</w:t>
            </w: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1</w:t>
            </w:r>
          </w:p>
        </w:tc>
      </w:tr>
      <w:tr>
        <w:tblPrEx>
          <w:tblLayout w:type="fixed"/>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2</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荔城区</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0</w:t>
            </w:r>
          </w:p>
        </w:tc>
      </w:tr>
      <w:tr>
        <w:tblPrEx>
          <w:tblLayout w:type="fixed"/>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3</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湄洲岛</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0</w:t>
            </w:r>
          </w:p>
        </w:tc>
      </w:tr>
      <w:tr>
        <w:tblPrEx>
          <w:tblLayout w:type="fixed"/>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4</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城厢区</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0</w:t>
            </w:r>
          </w:p>
        </w:tc>
      </w:tr>
      <w:tr>
        <w:tblPrEx>
          <w:tblLayout w:type="fixed"/>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5</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北岸管委会</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0</w:t>
            </w:r>
          </w:p>
        </w:tc>
      </w:tr>
      <w:tr>
        <w:tblPrEx>
          <w:tblLayout w:type="fixed"/>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四</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泉州市</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6</w:t>
            </w:r>
          </w:p>
        </w:tc>
      </w:tr>
      <w:tr>
        <w:tblPrEx>
          <w:tblLayout w:type="fixed"/>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1</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泉港区</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r>
              <w:rPr>
                <w:rFonts w:hint="eastAsia"/>
              </w:rPr>
              <w:t>泉港</w:t>
            </w:r>
            <w:r>
              <w:t>诚峰一级渔港</w:t>
            </w: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1</w:t>
            </w:r>
          </w:p>
        </w:tc>
      </w:tr>
      <w:tr>
        <w:tblPrEx>
          <w:tblLayout w:type="fixed"/>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2</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惠安县</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r>
              <w:t>惠安崇武中心渔港</w:t>
            </w: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1</w:t>
            </w:r>
          </w:p>
        </w:tc>
      </w:tr>
      <w:tr>
        <w:tblPrEx>
          <w:tblLayout w:type="fixed"/>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3</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石狮市</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r>
              <w:t>石狮祥芝中心渔港</w:t>
            </w:r>
            <w:r>
              <w:rPr>
                <w:rFonts w:hint="eastAsia"/>
              </w:rPr>
              <w:t>、</w:t>
            </w:r>
            <w:r>
              <w:t>石狮</w:t>
            </w:r>
            <w:r>
              <w:rPr>
                <w:rFonts w:hint="eastAsia"/>
              </w:rPr>
              <w:t>梅林</w:t>
            </w:r>
            <w:r>
              <w:t>一级渔港</w:t>
            </w:r>
            <w:r>
              <w:rPr>
                <w:rFonts w:hint="eastAsia"/>
              </w:rPr>
              <w:t>、</w:t>
            </w:r>
          </w:p>
          <w:p>
            <w:pPr>
              <w:pStyle w:val="75"/>
              <w:spacing w:line="280" w:lineRule="exact"/>
              <w:jc w:val="left"/>
            </w:pPr>
            <w:r>
              <w:t>石狮</w:t>
            </w:r>
            <w:r>
              <w:rPr>
                <w:rFonts w:hint="eastAsia"/>
              </w:rPr>
              <w:t>东埔</w:t>
            </w:r>
            <w:r>
              <w:t>一级渔港</w:t>
            </w: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3</w:t>
            </w:r>
          </w:p>
        </w:tc>
      </w:tr>
      <w:tr>
        <w:tblPrEx>
          <w:tblLayout w:type="fixed"/>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4</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晋江市</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r>
              <w:t>晋江深沪中心渔港</w:t>
            </w: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1</w:t>
            </w:r>
          </w:p>
        </w:tc>
      </w:tr>
      <w:tr>
        <w:tblPrEx>
          <w:tblLayout w:type="fixed"/>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5</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南安市</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0</w:t>
            </w:r>
          </w:p>
        </w:tc>
      </w:tr>
      <w:tr>
        <w:tblPrEx>
          <w:tblLayout w:type="fixed"/>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6</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丰泽区</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0</w:t>
            </w:r>
          </w:p>
        </w:tc>
      </w:tr>
      <w:tr>
        <w:tblPrEx>
          <w:tblLayout w:type="fixed"/>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五</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漳州市</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7</w:t>
            </w:r>
          </w:p>
        </w:tc>
      </w:tr>
      <w:tr>
        <w:tblPrEx>
          <w:tblLayout w:type="fixed"/>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1</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龙海市</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r>
              <w:t>龙海港尾一级渔港</w:t>
            </w: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1</w:t>
            </w:r>
          </w:p>
        </w:tc>
      </w:tr>
      <w:tr>
        <w:tblPrEx>
          <w:tblLayout w:type="fixed"/>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2</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漳浦县</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r>
              <w:rPr>
                <w:rFonts w:hint="eastAsia"/>
              </w:rPr>
              <w:t>漳浦岱嵩一级渔港</w:t>
            </w: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1</w:t>
            </w:r>
          </w:p>
        </w:tc>
      </w:tr>
      <w:tr>
        <w:tblPrEx>
          <w:tblLayout w:type="fixed"/>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3</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云霄县</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r>
              <w:rPr>
                <w:rFonts w:hint="eastAsia"/>
              </w:rPr>
              <w:t>云霄山前一级渔港</w:t>
            </w: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1</w:t>
            </w:r>
          </w:p>
        </w:tc>
      </w:tr>
      <w:tr>
        <w:tblPrEx>
          <w:tblLayout w:type="fixed"/>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4</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诏安县</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r>
              <w:rPr>
                <w:rFonts w:hint="eastAsia"/>
              </w:rPr>
              <w:t>诏安梅岭渔港（田厝、赤石湾）</w:t>
            </w: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1</w:t>
            </w:r>
          </w:p>
        </w:tc>
      </w:tr>
      <w:tr>
        <w:tblPrEx>
          <w:tblLayout w:type="fixed"/>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5</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东山县</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r>
              <w:rPr>
                <w:rFonts w:hint="eastAsia"/>
              </w:rPr>
              <w:t>东山大澳中心渔港、东山陈城渔港（澳角、宫前）</w:t>
            </w: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3</w:t>
            </w:r>
          </w:p>
        </w:tc>
      </w:tr>
      <w:tr>
        <w:tblPrEx>
          <w:tblLayout w:type="fixed"/>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六</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平潭综合实验区</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r>
              <w:rPr>
                <w:rFonts w:hint="eastAsia"/>
              </w:rPr>
              <w:t>平潭东澳中心渔港</w:t>
            </w: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1</w:t>
            </w:r>
          </w:p>
        </w:tc>
      </w:tr>
      <w:tr>
        <w:tblPrEx>
          <w:tblLayout w:type="fixed"/>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七</w:t>
            </w:r>
          </w:p>
        </w:tc>
        <w:tc>
          <w:tcPr>
            <w:tcW w:w="1223" w:type="dxa"/>
            <w:tcBorders>
              <w:top w:val="single" w:color="auto" w:sz="4" w:space="0"/>
              <w:left w:val="single" w:color="auto" w:sz="4" w:space="0"/>
              <w:bottom w:val="single" w:color="auto" w:sz="4" w:space="0"/>
              <w:right w:val="single" w:color="auto" w:sz="4" w:space="0"/>
            </w:tcBorders>
            <w:vAlign w:val="center"/>
          </w:tcPr>
          <w:p>
            <w:pPr>
              <w:pStyle w:val="75"/>
              <w:spacing w:line="280" w:lineRule="exact"/>
            </w:pPr>
            <w:r>
              <w:rPr>
                <w:rFonts w:hint="eastAsia"/>
              </w:rPr>
              <w:t>厦门市</w:t>
            </w:r>
          </w:p>
        </w:tc>
        <w:tc>
          <w:tcPr>
            <w:tcW w:w="6216" w:type="dxa"/>
            <w:tcBorders>
              <w:top w:val="single" w:color="auto" w:sz="4" w:space="0"/>
              <w:left w:val="nil"/>
              <w:bottom w:val="single" w:color="auto" w:sz="4" w:space="0"/>
              <w:right w:val="single" w:color="auto" w:sz="4" w:space="0"/>
            </w:tcBorders>
            <w:vAlign w:val="center"/>
          </w:tcPr>
          <w:p>
            <w:pPr>
              <w:pStyle w:val="75"/>
              <w:spacing w:line="280" w:lineRule="exact"/>
              <w:jc w:val="left"/>
            </w:pPr>
            <w:r>
              <w:rPr>
                <w:rFonts w:hint="eastAsia"/>
              </w:rPr>
              <w:t>厦门高崎中心渔港</w:t>
            </w:r>
          </w:p>
        </w:tc>
        <w:tc>
          <w:tcPr>
            <w:tcW w:w="628" w:type="dxa"/>
            <w:tcBorders>
              <w:top w:val="single" w:color="auto" w:sz="4" w:space="0"/>
              <w:left w:val="nil"/>
              <w:bottom w:val="single" w:color="auto" w:sz="4" w:space="0"/>
              <w:right w:val="single" w:color="auto" w:sz="4" w:space="0"/>
            </w:tcBorders>
            <w:vAlign w:val="center"/>
          </w:tcPr>
          <w:p>
            <w:pPr>
              <w:pStyle w:val="75"/>
              <w:spacing w:line="280" w:lineRule="exact"/>
            </w:pPr>
            <w:r>
              <w:rPr>
                <w:rFonts w:hint="eastAsia"/>
              </w:rPr>
              <w:t>1</w:t>
            </w:r>
          </w:p>
        </w:tc>
      </w:tr>
    </w:tbl>
    <w:p>
      <w:pPr>
        <w:pStyle w:val="4"/>
        <w:ind w:firstLine="560"/>
        <w:sectPr>
          <w:pgSz w:w="11907" w:h="16839"/>
          <w:pgMar w:top="1440" w:right="1800" w:bottom="1440" w:left="1800" w:header="851" w:footer="992" w:gutter="0"/>
          <w:cols w:space="425" w:num="1"/>
          <w:docGrid w:type="lines" w:linePitch="381" w:charSpace="0"/>
        </w:sectPr>
      </w:pPr>
    </w:p>
    <w:p>
      <w:pPr>
        <w:pStyle w:val="76"/>
        <w:wordWrap w:val="0"/>
      </w:pPr>
      <w:r>
        <w:rPr>
          <w:rFonts w:hint="eastAsia"/>
        </w:rPr>
        <w:t>表4-2  全省沿海二级渔港、避风锚地升级改造整治维护规划布局表  单位：个</w:t>
      </w:r>
    </w:p>
    <w:tbl>
      <w:tblPr>
        <w:tblStyle w:val="33"/>
        <w:tblW w:w="9357" w:type="dxa"/>
        <w:tblInd w:w="-459" w:type="dxa"/>
        <w:tblLayout w:type="fixed"/>
        <w:tblCellMar>
          <w:top w:w="0" w:type="dxa"/>
          <w:left w:w="108" w:type="dxa"/>
          <w:bottom w:w="0" w:type="dxa"/>
          <w:right w:w="108" w:type="dxa"/>
        </w:tblCellMar>
      </w:tblPr>
      <w:tblGrid>
        <w:gridCol w:w="502"/>
        <w:gridCol w:w="1368"/>
        <w:gridCol w:w="685"/>
        <w:gridCol w:w="758"/>
        <w:gridCol w:w="3078"/>
        <w:gridCol w:w="2410"/>
        <w:gridCol w:w="556"/>
      </w:tblGrid>
      <w:tr>
        <w:tblPrEx>
          <w:tblLayout w:type="fixed"/>
          <w:tblCellMar>
            <w:top w:w="0" w:type="dxa"/>
            <w:left w:w="108" w:type="dxa"/>
            <w:bottom w:w="0" w:type="dxa"/>
            <w:right w:w="108" w:type="dxa"/>
          </w:tblCellMar>
        </w:tblPrEx>
        <w:trPr>
          <w:trHeight w:val="408" w:hRule="atLeast"/>
        </w:trPr>
        <w:tc>
          <w:tcPr>
            <w:tcW w:w="502" w:type="dxa"/>
            <w:vMerge w:val="restart"/>
            <w:tcBorders>
              <w:top w:val="single" w:color="auto" w:sz="4" w:space="0"/>
              <w:left w:val="single" w:color="auto" w:sz="4" w:space="0"/>
              <w:right w:val="single" w:color="auto" w:sz="4" w:space="0"/>
            </w:tcBorders>
            <w:vAlign w:val="center"/>
          </w:tcPr>
          <w:p>
            <w:pPr>
              <w:pStyle w:val="75"/>
              <w:spacing w:line="270" w:lineRule="exact"/>
              <w:rPr>
                <w:sz w:val="22"/>
              </w:rPr>
            </w:pPr>
            <w:r>
              <w:rPr>
                <w:rFonts w:hint="eastAsia"/>
                <w:sz w:val="22"/>
              </w:rPr>
              <w:t>序号</w:t>
            </w:r>
          </w:p>
        </w:tc>
        <w:tc>
          <w:tcPr>
            <w:tcW w:w="1368" w:type="dxa"/>
            <w:vMerge w:val="restart"/>
            <w:tcBorders>
              <w:top w:val="single" w:color="auto" w:sz="4" w:space="0"/>
              <w:left w:val="single" w:color="auto" w:sz="4" w:space="0"/>
              <w:right w:val="single" w:color="auto" w:sz="4" w:space="0"/>
            </w:tcBorders>
            <w:vAlign w:val="center"/>
          </w:tcPr>
          <w:p>
            <w:pPr>
              <w:pStyle w:val="75"/>
              <w:spacing w:line="270" w:lineRule="exact"/>
              <w:rPr>
                <w:rFonts w:hAnsi="宋体" w:cs="宋体"/>
                <w:kern w:val="0"/>
                <w:sz w:val="22"/>
              </w:rPr>
            </w:pPr>
            <w:r>
              <w:rPr>
                <w:rFonts w:hint="eastAsia" w:hAnsi="宋体" w:cs="宋体"/>
                <w:kern w:val="0"/>
                <w:sz w:val="22"/>
              </w:rPr>
              <w:t>地区</w:t>
            </w:r>
          </w:p>
        </w:tc>
        <w:tc>
          <w:tcPr>
            <w:tcW w:w="685" w:type="dxa"/>
            <w:vMerge w:val="restart"/>
            <w:tcBorders>
              <w:top w:val="single" w:color="auto" w:sz="4" w:space="0"/>
              <w:left w:val="single" w:color="auto" w:sz="4" w:space="0"/>
              <w:right w:val="single" w:color="auto" w:sz="4" w:space="0"/>
            </w:tcBorders>
            <w:vAlign w:val="center"/>
          </w:tcPr>
          <w:p>
            <w:pPr>
              <w:pStyle w:val="75"/>
              <w:spacing w:line="270" w:lineRule="exact"/>
              <w:rPr>
                <w:sz w:val="22"/>
              </w:rPr>
            </w:pPr>
            <w:r>
              <w:rPr>
                <w:rFonts w:hint="eastAsia"/>
                <w:sz w:val="22"/>
              </w:rPr>
              <w:t>沿海二级渔港</w:t>
            </w:r>
          </w:p>
        </w:tc>
        <w:tc>
          <w:tcPr>
            <w:tcW w:w="758" w:type="dxa"/>
            <w:vMerge w:val="restart"/>
            <w:tcBorders>
              <w:top w:val="single" w:color="auto" w:sz="4" w:space="0"/>
              <w:left w:val="nil"/>
              <w:right w:val="single" w:color="auto" w:sz="4" w:space="0"/>
            </w:tcBorders>
            <w:vAlign w:val="center"/>
          </w:tcPr>
          <w:p>
            <w:pPr>
              <w:pStyle w:val="75"/>
              <w:spacing w:line="270" w:lineRule="exact"/>
              <w:rPr>
                <w:sz w:val="22"/>
              </w:rPr>
            </w:pPr>
            <w:r>
              <w:rPr>
                <w:rFonts w:hint="eastAsia"/>
                <w:sz w:val="22"/>
              </w:rPr>
              <w:t>避风锚地</w:t>
            </w:r>
          </w:p>
        </w:tc>
        <w:tc>
          <w:tcPr>
            <w:tcW w:w="5488" w:type="dxa"/>
            <w:gridSpan w:val="2"/>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 xml:space="preserve">   规划项目名称</w:t>
            </w:r>
          </w:p>
        </w:tc>
        <w:tc>
          <w:tcPr>
            <w:tcW w:w="556" w:type="dxa"/>
            <w:vMerge w:val="restart"/>
            <w:tcBorders>
              <w:top w:val="single" w:color="auto" w:sz="4" w:space="0"/>
              <w:left w:val="nil"/>
              <w:right w:val="single" w:color="auto" w:sz="4" w:space="0"/>
            </w:tcBorders>
            <w:vAlign w:val="center"/>
          </w:tcPr>
          <w:p>
            <w:pPr>
              <w:pStyle w:val="75"/>
              <w:spacing w:line="270" w:lineRule="exact"/>
              <w:rPr>
                <w:sz w:val="22"/>
              </w:rPr>
            </w:pPr>
            <w:r>
              <w:rPr>
                <w:rFonts w:hint="eastAsia"/>
                <w:sz w:val="22"/>
              </w:rPr>
              <w:t>合计</w:t>
            </w:r>
          </w:p>
        </w:tc>
      </w:tr>
      <w:tr>
        <w:tblPrEx>
          <w:tblLayout w:type="fixed"/>
          <w:tblCellMar>
            <w:top w:w="0" w:type="dxa"/>
            <w:left w:w="108" w:type="dxa"/>
            <w:bottom w:w="0" w:type="dxa"/>
            <w:right w:w="108" w:type="dxa"/>
          </w:tblCellMar>
        </w:tblPrEx>
        <w:trPr>
          <w:trHeight w:val="408" w:hRule="atLeast"/>
        </w:trPr>
        <w:tc>
          <w:tcPr>
            <w:tcW w:w="502" w:type="dxa"/>
            <w:vMerge w:val="continue"/>
            <w:tcBorders>
              <w:left w:val="single" w:color="auto" w:sz="4" w:space="0"/>
              <w:bottom w:val="single" w:color="auto" w:sz="4" w:space="0"/>
              <w:right w:val="single" w:color="auto" w:sz="4" w:space="0"/>
            </w:tcBorders>
            <w:vAlign w:val="center"/>
          </w:tcPr>
          <w:p>
            <w:pPr>
              <w:pStyle w:val="75"/>
              <w:spacing w:line="270" w:lineRule="exact"/>
              <w:rPr>
                <w:rFonts w:hint="eastAsia"/>
                <w:sz w:val="22"/>
              </w:rPr>
            </w:pPr>
          </w:p>
        </w:tc>
        <w:tc>
          <w:tcPr>
            <w:tcW w:w="1368" w:type="dxa"/>
            <w:vMerge w:val="continue"/>
            <w:tcBorders>
              <w:left w:val="single" w:color="auto" w:sz="4" w:space="0"/>
              <w:bottom w:val="single" w:color="auto" w:sz="4" w:space="0"/>
              <w:right w:val="single" w:color="auto" w:sz="4" w:space="0"/>
            </w:tcBorders>
            <w:vAlign w:val="center"/>
          </w:tcPr>
          <w:p>
            <w:pPr>
              <w:pStyle w:val="75"/>
              <w:spacing w:line="270" w:lineRule="exact"/>
              <w:rPr>
                <w:rFonts w:hint="eastAsia" w:hAnsi="宋体" w:cs="宋体"/>
                <w:kern w:val="0"/>
                <w:sz w:val="22"/>
              </w:rPr>
            </w:pPr>
          </w:p>
        </w:tc>
        <w:tc>
          <w:tcPr>
            <w:tcW w:w="685" w:type="dxa"/>
            <w:vMerge w:val="continue"/>
            <w:tcBorders>
              <w:left w:val="single" w:color="auto" w:sz="4" w:space="0"/>
              <w:bottom w:val="single" w:color="auto" w:sz="4" w:space="0"/>
              <w:right w:val="single" w:color="auto" w:sz="4" w:space="0"/>
            </w:tcBorders>
            <w:vAlign w:val="center"/>
          </w:tcPr>
          <w:p>
            <w:pPr>
              <w:pStyle w:val="75"/>
              <w:spacing w:line="270" w:lineRule="exact"/>
              <w:rPr>
                <w:rFonts w:hint="eastAsia"/>
                <w:sz w:val="22"/>
              </w:rPr>
            </w:pPr>
          </w:p>
        </w:tc>
        <w:tc>
          <w:tcPr>
            <w:tcW w:w="758" w:type="dxa"/>
            <w:vMerge w:val="continue"/>
            <w:tcBorders>
              <w:left w:val="nil"/>
              <w:bottom w:val="single" w:color="auto" w:sz="4" w:space="0"/>
              <w:right w:val="single" w:color="auto" w:sz="4" w:space="0"/>
            </w:tcBorders>
            <w:vAlign w:val="center"/>
          </w:tcPr>
          <w:p>
            <w:pPr>
              <w:pStyle w:val="75"/>
              <w:spacing w:line="270" w:lineRule="exact"/>
              <w:rPr>
                <w:rFonts w:hint="eastAsia"/>
                <w:sz w:val="22"/>
              </w:rPr>
            </w:pP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rPr>
                <w:rFonts w:hint="eastAsia"/>
                <w:sz w:val="22"/>
              </w:rPr>
            </w:pPr>
            <w:r>
              <w:rPr>
                <w:rFonts w:hAnsi="宋体" w:cs="宋体"/>
                <w:kern w:val="0"/>
                <w:sz w:val="22"/>
              </w:rPr>
              <w:t>沿海二级渔港</w:t>
            </w: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rPr>
                <w:rFonts w:hint="eastAsia"/>
                <w:sz w:val="22"/>
              </w:rPr>
            </w:pPr>
            <w:r>
              <w:rPr>
                <w:rFonts w:hAnsi="宋体" w:cs="宋体"/>
                <w:kern w:val="0"/>
                <w:sz w:val="22"/>
              </w:rPr>
              <w:t>避风锚地</w:t>
            </w:r>
          </w:p>
        </w:tc>
        <w:tc>
          <w:tcPr>
            <w:tcW w:w="556" w:type="dxa"/>
            <w:vMerge w:val="continue"/>
            <w:tcBorders>
              <w:left w:val="nil"/>
              <w:bottom w:val="single" w:color="auto" w:sz="4" w:space="0"/>
              <w:right w:val="single" w:color="auto" w:sz="4" w:space="0"/>
            </w:tcBorders>
            <w:vAlign w:val="center"/>
          </w:tcPr>
          <w:p>
            <w:pPr>
              <w:pStyle w:val="75"/>
              <w:spacing w:line="270" w:lineRule="exact"/>
              <w:rPr>
                <w:rFonts w:hint="eastAsia"/>
                <w:sz w:val="22"/>
              </w:rPr>
            </w:pPr>
          </w:p>
        </w:tc>
      </w:tr>
      <w:tr>
        <w:tblPrEx>
          <w:tblLayout w:type="fixed"/>
          <w:tblCellMar>
            <w:top w:w="0" w:type="dxa"/>
            <w:left w:w="108" w:type="dxa"/>
            <w:bottom w:w="0" w:type="dxa"/>
            <w:right w:w="108" w:type="dxa"/>
          </w:tblCellMar>
        </w:tblPrEx>
        <w:trPr>
          <w:trHeight w:val="227" w:hRule="atLeast"/>
        </w:trPr>
        <w:tc>
          <w:tcPr>
            <w:tcW w:w="502" w:type="dxa"/>
            <w:tcBorders>
              <w:top w:val="nil"/>
              <w:left w:val="single" w:color="auto" w:sz="4" w:space="0"/>
              <w:bottom w:val="single" w:color="auto" w:sz="4" w:space="0"/>
              <w:right w:val="single" w:color="auto" w:sz="4" w:space="0"/>
            </w:tcBorders>
            <w:vAlign w:val="center"/>
          </w:tcPr>
          <w:p>
            <w:pPr>
              <w:pStyle w:val="75"/>
              <w:spacing w:line="270" w:lineRule="exact"/>
              <w:rPr>
                <w:sz w:val="22"/>
              </w:rPr>
            </w:pPr>
          </w:p>
        </w:tc>
        <w:tc>
          <w:tcPr>
            <w:tcW w:w="1368" w:type="dxa"/>
            <w:tcBorders>
              <w:top w:val="nil"/>
              <w:left w:val="single" w:color="auto" w:sz="4" w:space="0"/>
              <w:bottom w:val="single" w:color="auto" w:sz="4" w:space="0"/>
              <w:right w:val="single" w:color="auto" w:sz="4" w:space="0"/>
            </w:tcBorders>
            <w:vAlign w:val="center"/>
          </w:tcPr>
          <w:p>
            <w:pPr>
              <w:pStyle w:val="75"/>
              <w:spacing w:line="270" w:lineRule="exact"/>
              <w:rPr>
                <w:rFonts w:hAnsi="宋体" w:cs="宋体"/>
                <w:sz w:val="22"/>
              </w:rPr>
            </w:pPr>
            <w:r>
              <w:rPr>
                <w:rFonts w:hint="eastAsia"/>
                <w:sz w:val="22"/>
              </w:rPr>
              <w:t>全省</w:t>
            </w:r>
          </w:p>
        </w:tc>
        <w:tc>
          <w:tcPr>
            <w:tcW w:w="685"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16</w:t>
            </w:r>
          </w:p>
        </w:tc>
        <w:tc>
          <w:tcPr>
            <w:tcW w:w="758"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7</w:t>
            </w:r>
          </w:p>
        </w:tc>
        <w:tc>
          <w:tcPr>
            <w:tcW w:w="3078" w:type="dxa"/>
            <w:tcBorders>
              <w:top w:val="nil"/>
              <w:left w:val="nil"/>
              <w:bottom w:val="single" w:color="auto" w:sz="4" w:space="0"/>
              <w:right w:val="single" w:color="auto" w:sz="4" w:space="0"/>
            </w:tcBorders>
            <w:vAlign w:val="center"/>
          </w:tcPr>
          <w:p>
            <w:pPr>
              <w:pStyle w:val="75"/>
              <w:spacing w:line="270" w:lineRule="exact"/>
              <w:rPr>
                <w:rFonts w:hAnsi="宋体" w:cs="宋体"/>
                <w:kern w:val="0"/>
                <w:sz w:val="22"/>
              </w:rPr>
            </w:pPr>
          </w:p>
        </w:tc>
        <w:tc>
          <w:tcPr>
            <w:tcW w:w="2410" w:type="dxa"/>
            <w:tcBorders>
              <w:top w:val="nil"/>
              <w:left w:val="nil"/>
              <w:bottom w:val="single" w:color="auto" w:sz="4" w:space="0"/>
              <w:right w:val="single" w:color="auto" w:sz="4" w:space="0"/>
            </w:tcBorders>
            <w:vAlign w:val="center"/>
          </w:tcPr>
          <w:p>
            <w:pPr>
              <w:pStyle w:val="75"/>
              <w:spacing w:line="270" w:lineRule="exact"/>
              <w:rPr>
                <w:rFonts w:hAnsi="宋体" w:cs="宋体"/>
                <w:kern w:val="0"/>
                <w:sz w:val="22"/>
              </w:rPr>
            </w:pPr>
          </w:p>
        </w:tc>
        <w:tc>
          <w:tcPr>
            <w:tcW w:w="556"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23</w:t>
            </w:r>
          </w:p>
        </w:tc>
      </w:tr>
      <w:tr>
        <w:tblPrEx>
          <w:tblLayout w:type="fixed"/>
          <w:tblCellMar>
            <w:top w:w="0" w:type="dxa"/>
            <w:left w:w="108" w:type="dxa"/>
            <w:bottom w:w="0" w:type="dxa"/>
            <w:right w:w="108" w:type="dxa"/>
          </w:tblCellMar>
        </w:tblPrEx>
        <w:trPr>
          <w:trHeight w:val="227" w:hRule="atLeast"/>
        </w:trPr>
        <w:tc>
          <w:tcPr>
            <w:tcW w:w="502"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一</w:t>
            </w:r>
          </w:p>
        </w:tc>
        <w:tc>
          <w:tcPr>
            <w:tcW w:w="1368"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宁德市</w:t>
            </w:r>
          </w:p>
        </w:tc>
        <w:tc>
          <w:tcPr>
            <w:tcW w:w="685"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7</w:t>
            </w:r>
          </w:p>
        </w:tc>
        <w:tc>
          <w:tcPr>
            <w:tcW w:w="758"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5</w:t>
            </w:r>
          </w:p>
        </w:tc>
        <w:tc>
          <w:tcPr>
            <w:tcW w:w="3078" w:type="dxa"/>
            <w:tcBorders>
              <w:top w:val="nil"/>
              <w:left w:val="nil"/>
              <w:bottom w:val="single" w:color="auto" w:sz="4" w:space="0"/>
              <w:right w:val="single" w:color="auto" w:sz="4" w:space="0"/>
            </w:tcBorders>
            <w:vAlign w:val="center"/>
          </w:tcPr>
          <w:p>
            <w:pPr>
              <w:pStyle w:val="75"/>
              <w:spacing w:line="270" w:lineRule="exact"/>
              <w:jc w:val="left"/>
              <w:rPr>
                <w:rFonts w:hAnsi="宋体" w:cs="宋体"/>
                <w:kern w:val="0"/>
                <w:sz w:val="22"/>
              </w:rPr>
            </w:pPr>
          </w:p>
        </w:tc>
        <w:tc>
          <w:tcPr>
            <w:tcW w:w="2410" w:type="dxa"/>
            <w:tcBorders>
              <w:top w:val="nil"/>
              <w:left w:val="nil"/>
              <w:bottom w:val="single" w:color="auto" w:sz="4" w:space="0"/>
              <w:right w:val="single" w:color="auto" w:sz="4" w:space="0"/>
            </w:tcBorders>
            <w:vAlign w:val="center"/>
          </w:tcPr>
          <w:p>
            <w:pPr>
              <w:pStyle w:val="75"/>
              <w:spacing w:line="270" w:lineRule="exact"/>
              <w:jc w:val="left"/>
              <w:rPr>
                <w:rFonts w:hAnsi="宋体" w:cs="宋体"/>
                <w:kern w:val="0"/>
                <w:sz w:val="22"/>
              </w:rPr>
            </w:pPr>
          </w:p>
        </w:tc>
        <w:tc>
          <w:tcPr>
            <w:tcW w:w="556"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12</w:t>
            </w:r>
          </w:p>
        </w:tc>
      </w:tr>
      <w:tr>
        <w:tblPrEx>
          <w:tblLayout w:type="fixed"/>
          <w:tblCellMar>
            <w:top w:w="0" w:type="dxa"/>
            <w:left w:w="108" w:type="dxa"/>
            <w:bottom w:w="0" w:type="dxa"/>
            <w:right w:w="108" w:type="dxa"/>
          </w:tblCellMar>
        </w:tblPrEx>
        <w:trPr>
          <w:trHeight w:val="227" w:hRule="atLeast"/>
        </w:trPr>
        <w:tc>
          <w:tcPr>
            <w:tcW w:w="502"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1</w:t>
            </w:r>
          </w:p>
        </w:tc>
        <w:tc>
          <w:tcPr>
            <w:tcW w:w="1368"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福鼎市</w:t>
            </w:r>
          </w:p>
        </w:tc>
        <w:tc>
          <w:tcPr>
            <w:tcW w:w="685"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1</w:t>
            </w:r>
          </w:p>
        </w:tc>
        <w:tc>
          <w:tcPr>
            <w:tcW w:w="758"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2</w:t>
            </w:r>
          </w:p>
        </w:tc>
        <w:tc>
          <w:tcPr>
            <w:tcW w:w="3078" w:type="dxa"/>
            <w:tcBorders>
              <w:top w:val="nil"/>
              <w:left w:val="nil"/>
              <w:bottom w:val="single" w:color="auto" w:sz="4" w:space="0"/>
              <w:right w:val="single" w:color="auto" w:sz="4" w:space="0"/>
            </w:tcBorders>
            <w:vAlign w:val="center"/>
          </w:tcPr>
          <w:p>
            <w:pPr>
              <w:pStyle w:val="75"/>
              <w:spacing w:line="270" w:lineRule="exact"/>
              <w:jc w:val="left"/>
              <w:rPr>
                <w:rFonts w:hAnsi="宋体" w:cs="宋体"/>
                <w:kern w:val="0"/>
                <w:sz w:val="22"/>
              </w:rPr>
            </w:pPr>
            <w:r>
              <w:rPr>
                <w:rFonts w:hint="eastAsia" w:hAnsi="宋体" w:cs="宋体"/>
                <w:kern w:val="0"/>
                <w:sz w:val="22"/>
              </w:rPr>
              <w:t>福鼎市龙安二级渔港</w:t>
            </w:r>
          </w:p>
        </w:tc>
        <w:tc>
          <w:tcPr>
            <w:tcW w:w="2410" w:type="dxa"/>
            <w:tcBorders>
              <w:top w:val="nil"/>
              <w:left w:val="nil"/>
              <w:bottom w:val="single" w:color="auto" w:sz="4" w:space="0"/>
              <w:right w:val="single" w:color="auto" w:sz="4" w:space="0"/>
            </w:tcBorders>
            <w:vAlign w:val="center"/>
          </w:tcPr>
          <w:p>
            <w:pPr>
              <w:pStyle w:val="75"/>
              <w:spacing w:line="270" w:lineRule="exact"/>
              <w:jc w:val="left"/>
              <w:rPr>
                <w:sz w:val="22"/>
              </w:rPr>
            </w:pPr>
            <w:r>
              <w:rPr>
                <w:rFonts w:hint="eastAsia"/>
                <w:sz w:val="22"/>
              </w:rPr>
              <w:t>福鼎市沙埕镇岙底避风锚地、福鼎市台山岛避风锚地</w:t>
            </w:r>
          </w:p>
        </w:tc>
        <w:tc>
          <w:tcPr>
            <w:tcW w:w="556"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3</w:t>
            </w:r>
          </w:p>
        </w:tc>
      </w:tr>
      <w:tr>
        <w:tblPrEx>
          <w:tblLayout w:type="fixed"/>
          <w:tblCellMar>
            <w:top w:w="0" w:type="dxa"/>
            <w:left w:w="108" w:type="dxa"/>
            <w:bottom w:w="0" w:type="dxa"/>
            <w:right w:w="108" w:type="dxa"/>
          </w:tblCellMar>
        </w:tblPrEx>
        <w:trPr>
          <w:trHeight w:val="227" w:hRule="atLeast"/>
        </w:trPr>
        <w:tc>
          <w:tcPr>
            <w:tcW w:w="502"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2</w:t>
            </w:r>
          </w:p>
        </w:tc>
        <w:tc>
          <w:tcPr>
            <w:tcW w:w="1368"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霞浦县</w:t>
            </w:r>
          </w:p>
        </w:tc>
        <w:tc>
          <w:tcPr>
            <w:tcW w:w="685"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4</w:t>
            </w:r>
          </w:p>
        </w:tc>
        <w:tc>
          <w:tcPr>
            <w:tcW w:w="758"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1</w:t>
            </w:r>
          </w:p>
        </w:tc>
        <w:tc>
          <w:tcPr>
            <w:tcW w:w="3078" w:type="dxa"/>
            <w:tcBorders>
              <w:top w:val="nil"/>
              <w:left w:val="nil"/>
              <w:bottom w:val="single" w:color="auto" w:sz="4" w:space="0"/>
              <w:right w:val="single" w:color="auto" w:sz="4" w:space="0"/>
            </w:tcBorders>
            <w:vAlign w:val="center"/>
          </w:tcPr>
          <w:p>
            <w:pPr>
              <w:pStyle w:val="75"/>
              <w:spacing w:line="270" w:lineRule="exact"/>
              <w:jc w:val="left"/>
              <w:rPr>
                <w:sz w:val="22"/>
              </w:rPr>
            </w:pPr>
            <w:r>
              <w:rPr>
                <w:rFonts w:hint="eastAsia"/>
                <w:sz w:val="22"/>
              </w:rPr>
              <w:t>霞浦县溪南镇七星二级渔港、</w:t>
            </w:r>
          </w:p>
          <w:p>
            <w:pPr>
              <w:pStyle w:val="75"/>
              <w:spacing w:line="270" w:lineRule="exact"/>
              <w:jc w:val="left"/>
              <w:rPr>
                <w:sz w:val="22"/>
              </w:rPr>
            </w:pPr>
            <w:r>
              <w:rPr>
                <w:rFonts w:hint="eastAsia"/>
                <w:sz w:val="22"/>
              </w:rPr>
              <w:t>霞浦县长春镇界石二级渔港、</w:t>
            </w:r>
          </w:p>
          <w:p>
            <w:pPr>
              <w:pStyle w:val="75"/>
              <w:spacing w:line="270" w:lineRule="exact"/>
              <w:jc w:val="left"/>
              <w:rPr>
                <w:sz w:val="22"/>
              </w:rPr>
            </w:pPr>
            <w:r>
              <w:rPr>
                <w:rFonts w:hint="eastAsia"/>
                <w:sz w:val="22"/>
              </w:rPr>
              <w:t>霞浦县赤沙二级渔港、</w:t>
            </w:r>
          </w:p>
          <w:p>
            <w:pPr>
              <w:pStyle w:val="75"/>
              <w:spacing w:line="270" w:lineRule="exact"/>
              <w:jc w:val="left"/>
              <w:rPr>
                <w:sz w:val="22"/>
              </w:rPr>
            </w:pPr>
            <w:r>
              <w:rPr>
                <w:rFonts w:hint="eastAsia"/>
                <w:sz w:val="22"/>
              </w:rPr>
              <w:t>霞浦四门桥二级渔港</w:t>
            </w:r>
          </w:p>
        </w:tc>
        <w:tc>
          <w:tcPr>
            <w:tcW w:w="2410" w:type="dxa"/>
            <w:tcBorders>
              <w:top w:val="nil"/>
              <w:left w:val="nil"/>
              <w:bottom w:val="single" w:color="auto" w:sz="4" w:space="0"/>
              <w:right w:val="single" w:color="auto" w:sz="4" w:space="0"/>
            </w:tcBorders>
            <w:vAlign w:val="center"/>
          </w:tcPr>
          <w:p>
            <w:pPr>
              <w:pStyle w:val="75"/>
              <w:spacing w:line="270" w:lineRule="exact"/>
              <w:jc w:val="left"/>
              <w:rPr>
                <w:sz w:val="22"/>
              </w:rPr>
            </w:pPr>
            <w:r>
              <w:rPr>
                <w:rFonts w:hint="eastAsia"/>
                <w:sz w:val="22"/>
              </w:rPr>
              <w:t>霞浦外浒避风锚地</w:t>
            </w:r>
          </w:p>
        </w:tc>
        <w:tc>
          <w:tcPr>
            <w:tcW w:w="556"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5</w:t>
            </w:r>
          </w:p>
        </w:tc>
      </w:tr>
      <w:tr>
        <w:tblPrEx>
          <w:tblLayout w:type="fixed"/>
          <w:tblCellMar>
            <w:top w:w="0" w:type="dxa"/>
            <w:left w:w="108" w:type="dxa"/>
            <w:bottom w:w="0" w:type="dxa"/>
            <w:right w:w="108" w:type="dxa"/>
          </w:tblCellMar>
        </w:tblPrEx>
        <w:trPr>
          <w:trHeight w:val="227" w:hRule="atLeast"/>
        </w:trPr>
        <w:tc>
          <w:tcPr>
            <w:tcW w:w="502"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3</w:t>
            </w:r>
          </w:p>
        </w:tc>
        <w:tc>
          <w:tcPr>
            <w:tcW w:w="1368"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福安市</w:t>
            </w:r>
          </w:p>
        </w:tc>
        <w:tc>
          <w:tcPr>
            <w:tcW w:w="685"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2</w:t>
            </w:r>
          </w:p>
        </w:tc>
        <w:tc>
          <w:tcPr>
            <w:tcW w:w="758"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nil"/>
              <w:left w:val="nil"/>
              <w:bottom w:val="single" w:color="auto" w:sz="4" w:space="0"/>
              <w:right w:val="single" w:color="auto" w:sz="4" w:space="0"/>
            </w:tcBorders>
            <w:vAlign w:val="center"/>
          </w:tcPr>
          <w:p>
            <w:pPr>
              <w:pStyle w:val="75"/>
              <w:spacing w:line="270" w:lineRule="exact"/>
              <w:jc w:val="left"/>
              <w:rPr>
                <w:sz w:val="22"/>
              </w:rPr>
            </w:pPr>
            <w:r>
              <w:rPr>
                <w:rFonts w:hint="eastAsia"/>
                <w:sz w:val="22"/>
              </w:rPr>
              <w:t>福安市下白石镇宁海渔港、</w:t>
            </w:r>
          </w:p>
          <w:p>
            <w:pPr>
              <w:pStyle w:val="75"/>
              <w:spacing w:line="270" w:lineRule="exact"/>
              <w:jc w:val="left"/>
              <w:rPr>
                <w:sz w:val="22"/>
              </w:rPr>
            </w:pPr>
            <w:r>
              <w:rPr>
                <w:rFonts w:hint="eastAsia"/>
                <w:sz w:val="22"/>
              </w:rPr>
              <w:t>福安市下白石镇东岐二级渔港</w:t>
            </w:r>
          </w:p>
        </w:tc>
        <w:tc>
          <w:tcPr>
            <w:tcW w:w="2410" w:type="dxa"/>
            <w:tcBorders>
              <w:top w:val="nil"/>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2</w:t>
            </w:r>
          </w:p>
        </w:tc>
      </w:tr>
      <w:tr>
        <w:tblPrEx>
          <w:tblLayout w:type="fixed"/>
          <w:tblCellMar>
            <w:top w:w="0" w:type="dxa"/>
            <w:left w:w="108" w:type="dxa"/>
            <w:bottom w:w="0" w:type="dxa"/>
            <w:right w:w="108" w:type="dxa"/>
          </w:tblCellMar>
        </w:tblPrEx>
        <w:trPr>
          <w:trHeight w:val="227" w:hRule="atLeast"/>
        </w:trPr>
        <w:tc>
          <w:tcPr>
            <w:tcW w:w="502"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4</w:t>
            </w:r>
          </w:p>
        </w:tc>
        <w:tc>
          <w:tcPr>
            <w:tcW w:w="1368"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蕉城区</w:t>
            </w:r>
          </w:p>
        </w:tc>
        <w:tc>
          <w:tcPr>
            <w:tcW w:w="685"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2</w:t>
            </w:r>
          </w:p>
        </w:tc>
        <w:tc>
          <w:tcPr>
            <w:tcW w:w="3078" w:type="dxa"/>
            <w:tcBorders>
              <w:top w:val="nil"/>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nil"/>
              <w:left w:val="nil"/>
              <w:bottom w:val="single" w:color="auto" w:sz="4" w:space="0"/>
              <w:right w:val="single" w:color="auto" w:sz="4" w:space="0"/>
            </w:tcBorders>
            <w:vAlign w:val="center"/>
          </w:tcPr>
          <w:p>
            <w:pPr>
              <w:pStyle w:val="75"/>
              <w:spacing w:line="270" w:lineRule="exact"/>
              <w:jc w:val="left"/>
              <w:rPr>
                <w:sz w:val="22"/>
              </w:rPr>
            </w:pPr>
            <w:r>
              <w:rPr>
                <w:rFonts w:hint="eastAsia"/>
                <w:sz w:val="22"/>
              </w:rPr>
              <w:t>蕉城区三都镇坪岗避风锚地、蕉城区八都镇下汐避风锚地</w:t>
            </w:r>
          </w:p>
        </w:tc>
        <w:tc>
          <w:tcPr>
            <w:tcW w:w="556"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2</w:t>
            </w:r>
          </w:p>
        </w:tc>
      </w:tr>
      <w:tr>
        <w:tblPrEx>
          <w:tblLayout w:type="fixed"/>
          <w:tblCellMar>
            <w:top w:w="0" w:type="dxa"/>
            <w:left w:w="108" w:type="dxa"/>
            <w:bottom w:w="0" w:type="dxa"/>
            <w:right w:w="108" w:type="dxa"/>
          </w:tblCellMar>
        </w:tblPrEx>
        <w:trPr>
          <w:trHeight w:val="227" w:hRule="atLeast"/>
        </w:trPr>
        <w:tc>
          <w:tcPr>
            <w:tcW w:w="502"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二</w:t>
            </w:r>
          </w:p>
        </w:tc>
        <w:tc>
          <w:tcPr>
            <w:tcW w:w="1368"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福州市</w:t>
            </w:r>
          </w:p>
        </w:tc>
        <w:tc>
          <w:tcPr>
            <w:tcW w:w="685"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4</w:t>
            </w:r>
          </w:p>
        </w:tc>
        <w:tc>
          <w:tcPr>
            <w:tcW w:w="758"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1</w:t>
            </w:r>
          </w:p>
        </w:tc>
        <w:tc>
          <w:tcPr>
            <w:tcW w:w="3078" w:type="dxa"/>
            <w:tcBorders>
              <w:top w:val="nil"/>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nil"/>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5</w:t>
            </w:r>
          </w:p>
        </w:tc>
      </w:tr>
      <w:tr>
        <w:tblPrEx>
          <w:tblLayout w:type="fixed"/>
          <w:tblCellMar>
            <w:top w:w="0" w:type="dxa"/>
            <w:left w:w="108" w:type="dxa"/>
            <w:bottom w:w="0" w:type="dxa"/>
            <w:right w:w="108" w:type="dxa"/>
          </w:tblCellMar>
        </w:tblPrEx>
        <w:trPr>
          <w:trHeight w:val="227" w:hRule="atLeast"/>
        </w:trPr>
        <w:tc>
          <w:tcPr>
            <w:tcW w:w="502"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1</w:t>
            </w:r>
          </w:p>
        </w:tc>
        <w:tc>
          <w:tcPr>
            <w:tcW w:w="1368"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罗源县</w:t>
            </w:r>
          </w:p>
        </w:tc>
        <w:tc>
          <w:tcPr>
            <w:tcW w:w="685"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1</w:t>
            </w:r>
          </w:p>
        </w:tc>
        <w:tc>
          <w:tcPr>
            <w:tcW w:w="758"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nil"/>
              <w:left w:val="nil"/>
              <w:bottom w:val="single" w:color="auto" w:sz="4" w:space="0"/>
              <w:right w:val="single" w:color="auto" w:sz="4" w:space="0"/>
            </w:tcBorders>
            <w:vAlign w:val="center"/>
          </w:tcPr>
          <w:p>
            <w:pPr>
              <w:pStyle w:val="75"/>
              <w:spacing w:line="270" w:lineRule="exact"/>
              <w:jc w:val="left"/>
              <w:rPr>
                <w:sz w:val="22"/>
              </w:rPr>
            </w:pPr>
            <w:r>
              <w:rPr>
                <w:rFonts w:hint="eastAsia"/>
                <w:sz w:val="22"/>
              </w:rPr>
              <w:t>罗源县鉴江镇圣塘二级渔港</w:t>
            </w:r>
          </w:p>
        </w:tc>
        <w:tc>
          <w:tcPr>
            <w:tcW w:w="2410" w:type="dxa"/>
            <w:tcBorders>
              <w:top w:val="nil"/>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1</w:t>
            </w:r>
          </w:p>
        </w:tc>
      </w:tr>
      <w:tr>
        <w:tblPrEx>
          <w:tblLayout w:type="fixed"/>
          <w:tblCellMar>
            <w:top w:w="0" w:type="dxa"/>
            <w:left w:w="108" w:type="dxa"/>
            <w:bottom w:w="0" w:type="dxa"/>
            <w:right w:w="108" w:type="dxa"/>
          </w:tblCellMar>
        </w:tblPrEx>
        <w:trPr>
          <w:trHeight w:val="227" w:hRule="atLeast"/>
        </w:trPr>
        <w:tc>
          <w:tcPr>
            <w:tcW w:w="502"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2</w:t>
            </w:r>
          </w:p>
        </w:tc>
        <w:tc>
          <w:tcPr>
            <w:tcW w:w="1368"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连江县</w:t>
            </w:r>
          </w:p>
        </w:tc>
        <w:tc>
          <w:tcPr>
            <w:tcW w:w="685"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1</w:t>
            </w:r>
          </w:p>
        </w:tc>
        <w:tc>
          <w:tcPr>
            <w:tcW w:w="758"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1</w:t>
            </w:r>
          </w:p>
        </w:tc>
        <w:tc>
          <w:tcPr>
            <w:tcW w:w="3078" w:type="dxa"/>
            <w:tcBorders>
              <w:top w:val="nil"/>
              <w:left w:val="nil"/>
              <w:bottom w:val="single" w:color="auto" w:sz="4" w:space="0"/>
              <w:right w:val="single" w:color="auto" w:sz="4" w:space="0"/>
            </w:tcBorders>
            <w:vAlign w:val="center"/>
          </w:tcPr>
          <w:p>
            <w:pPr>
              <w:pStyle w:val="75"/>
              <w:spacing w:line="270" w:lineRule="exact"/>
              <w:jc w:val="left"/>
              <w:rPr>
                <w:sz w:val="22"/>
              </w:rPr>
            </w:pPr>
            <w:r>
              <w:rPr>
                <w:rFonts w:hint="eastAsia"/>
                <w:sz w:val="22"/>
              </w:rPr>
              <w:t>连江县下宫乡上澳渔港</w:t>
            </w:r>
          </w:p>
        </w:tc>
        <w:tc>
          <w:tcPr>
            <w:tcW w:w="2410" w:type="dxa"/>
            <w:tcBorders>
              <w:top w:val="nil"/>
              <w:left w:val="nil"/>
              <w:bottom w:val="single" w:color="auto" w:sz="4" w:space="0"/>
              <w:right w:val="single" w:color="auto" w:sz="4" w:space="0"/>
            </w:tcBorders>
            <w:vAlign w:val="center"/>
          </w:tcPr>
          <w:p>
            <w:pPr>
              <w:pStyle w:val="75"/>
              <w:spacing w:line="270" w:lineRule="exact"/>
              <w:jc w:val="left"/>
              <w:rPr>
                <w:sz w:val="22"/>
              </w:rPr>
            </w:pPr>
            <w:r>
              <w:rPr>
                <w:rFonts w:hint="eastAsia"/>
                <w:sz w:val="22"/>
              </w:rPr>
              <w:t>连江沙澳避风锚地</w:t>
            </w:r>
          </w:p>
        </w:tc>
        <w:tc>
          <w:tcPr>
            <w:tcW w:w="556"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2</w:t>
            </w:r>
          </w:p>
        </w:tc>
      </w:tr>
      <w:tr>
        <w:tblPrEx>
          <w:tblLayout w:type="fixed"/>
          <w:tblCellMar>
            <w:top w:w="0" w:type="dxa"/>
            <w:left w:w="108" w:type="dxa"/>
            <w:bottom w:w="0" w:type="dxa"/>
            <w:right w:w="108" w:type="dxa"/>
          </w:tblCellMar>
        </w:tblPrEx>
        <w:trPr>
          <w:trHeight w:val="227" w:hRule="atLeast"/>
        </w:trPr>
        <w:tc>
          <w:tcPr>
            <w:tcW w:w="502"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3</w:t>
            </w:r>
          </w:p>
        </w:tc>
        <w:tc>
          <w:tcPr>
            <w:tcW w:w="1368"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长乐市</w:t>
            </w:r>
          </w:p>
        </w:tc>
        <w:tc>
          <w:tcPr>
            <w:tcW w:w="685"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nil"/>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nil"/>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r>
      <w:tr>
        <w:tblPrEx>
          <w:tblLayout w:type="fixed"/>
          <w:tblCellMar>
            <w:top w:w="0" w:type="dxa"/>
            <w:left w:w="108" w:type="dxa"/>
            <w:bottom w:w="0" w:type="dxa"/>
            <w:right w:w="108" w:type="dxa"/>
          </w:tblCellMar>
        </w:tblPrEx>
        <w:trPr>
          <w:trHeight w:val="227" w:hRule="atLeast"/>
        </w:trPr>
        <w:tc>
          <w:tcPr>
            <w:tcW w:w="502"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4</w:t>
            </w:r>
          </w:p>
        </w:tc>
        <w:tc>
          <w:tcPr>
            <w:tcW w:w="1368"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马尾区</w:t>
            </w:r>
          </w:p>
        </w:tc>
        <w:tc>
          <w:tcPr>
            <w:tcW w:w="685"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nil"/>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nil"/>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r>
      <w:tr>
        <w:tblPrEx>
          <w:tblLayout w:type="fixed"/>
          <w:tblCellMar>
            <w:top w:w="0" w:type="dxa"/>
            <w:left w:w="108" w:type="dxa"/>
            <w:bottom w:w="0" w:type="dxa"/>
            <w:right w:w="108" w:type="dxa"/>
          </w:tblCellMar>
        </w:tblPrEx>
        <w:trPr>
          <w:trHeight w:val="227" w:hRule="atLeast"/>
        </w:trPr>
        <w:tc>
          <w:tcPr>
            <w:tcW w:w="502"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5</w:t>
            </w:r>
          </w:p>
        </w:tc>
        <w:tc>
          <w:tcPr>
            <w:tcW w:w="1368"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福清市</w:t>
            </w:r>
          </w:p>
        </w:tc>
        <w:tc>
          <w:tcPr>
            <w:tcW w:w="685" w:type="dxa"/>
            <w:tcBorders>
              <w:top w:val="nil"/>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2</w:t>
            </w:r>
          </w:p>
        </w:tc>
        <w:tc>
          <w:tcPr>
            <w:tcW w:w="758"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nil"/>
              <w:left w:val="nil"/>
              <w:bottom w:val="single" w:color="auto" w:sz="4" w:space="0"/>
              <w:right w:val="single" w:color="auto" w:sz="4" w:space="0"/>
            </w:tcBorders>
            <w:vAlign w:val="center"/>
          </w:tcPr>
          <w:p>
            <w:pPr>
              <w:pStyle w:val="75"/>
              <w:spacing w:line="270" w:lineRule="exact"/>
              <w:jc w:val="left"/>
              <w:rPr>
                <w:sz w:val="22"/>
              </w:rPr>
            </w:pPr>
            <w:r>
              <w:rPr>
                <w:rFonts w:hint="eastAsia"/>
                <w:sz w:val="22"/>
              </w:rPr>
              <w:t>福清市东翰镇莲峰二级渔港、</w:t>
            </w:r>
          </w:p>
          <w:p>
            <w:pPr>
              <w:pStyle w:val="75"/>
              <w:spacing w:line="270" w:lineRule="exact"/>
              <w:jc w:val="left"/>
              <w:rPr>
                <w:sz w:val="22"/>
              </w:rPr>
            </w:pPr>
            <w:r>
              <w:rPr>
                <w:rFonts w:hint="eastAsia"/>
                <w:sz w:val="22"/>
              </w:rPr>
              <w:t>福清市沙埔镇牛头尾二级渔港</w:t>
            </w:r>
          </w:p>
        </w:tc>
        <w:tc>
          <w:tcPr>
            <w:tcW w:w="2410" w:type="dxa"/>
            <w:tcBorders>
              <w:top w:val="nil"/>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nil"/>
              <w:left w:val="nil"/>
              <w:bottom w:val="single" w:color="auto" w:sz="4" w:space="0"/>
              <w:right w:val="single" w:color="auto" w:sz="4" w:space="0"/>
            </w:tcBorders>
            <w:vAlign w:val="center"/>
          </w:tcPr>
          <w:p>
            <w:pPr>
              <w:pStyle w:val="75"/>
              <w:spacing w:line="270" w:lineRule="exact"/>
              <w:rPr>
                <w:sz w:val="22"/>
              </w:rPr>
            </w:pPr>
            <w:r>
              <w:rPr>
                <w:rFonts w:hint="eastAsia"/>
                <w:sz w:val="22"/>
              </w:rPr>
              <w:t>2</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三</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莆田市</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1</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秀屿区</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2</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荔城区</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3</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湄洲岛</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4</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城厢区</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5</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北岸管委会</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四</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泉州市</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1</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惠安县</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2</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石狮市</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3</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晋江市</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4</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南安市</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5</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丰泽区</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五</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漳州市</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5</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1</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6</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1</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龙海市</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1</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r>
              <w:rPr>
                <w:rFonts w:hint="eastAsia"/>
                <w:sz w:val="22"/>
              </w:rPr>
              <w:t>龙海浯屿二级渔港</w:t>
            </w: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1</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2</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漳浦县</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2</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r>
              <w:rPr>
                <w:rFonts w:hint="eastAsia"/>
                <w:sz w:val="22"/>
              </w:rPr>
              <w:t>漳浦县霞美镇白石渔港、</w:t>
            </w:r>
          </w:p>
          <w:p>
            <w:pPr>
              <w:pStyle w:val="75"/>
              <w:spacing w:line="270" w:lineRule="exact"/>
              <w:jc w:val="left"/>
              <w:rPr>
                <w:sz w:val="22"/>
              </w:rPr>
            </w:pPr>
            <w:r>
              <w:rPr>
                <w:rFonts w:hint="eastAsia"/>
                <w:sz w:val="22"/>
              </w:rPr>
              <w:t>漳浦县沙西镇下寨渔港</w:t>
            </w: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2</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3</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云霄县</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1</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r>
              <w:rPr>
                <w:rFonts w:hint="eastAsia"/>
                <w:sz w:val="22"/>
              </w:rPr>
              <w:t>云霄县东厦镇长洋二级渔港</w:t>
            </w: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1</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4</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诏安县</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1</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r>
              <w:rPr>
                <w:rFonts w:hint="eastAsia"/>
                <w:sz w:val="22"/>
              </w:rPr>
              <w:t>诏安县四都镇西梧二级渔港</w:t>
            </w: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1</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5</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东山县</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1</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r>
              <w:rPr>
                <w:rFonts w:hint="eastAsia"/>
                <w:sz w:val="22"/>
              </w:rPr>
              <w:t>东山县杏陈镇大产避风锚地</w:t>
            </w: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1</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六</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平潭综合实验区</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r>
      <w:tr>
        <w:tblPrEx>
          <w:tblLayout w:type="fixed"/>
          <w:tblCellMar>
            <w:top w:w="0" w:type="dxa"/>
            <w:left w:w="108" w:type="dxa"/>
            <w:bottom w:w="0" w:type="dxa"/>
            <w:right w:w="108" w:type="dxa"/>
          </w:tblCellMar>
        </w:tblPrEx>
        <w:trPr>
          <w:trHeight w:val="227" w:hRule="atLeast"/>
        </w:trPr>
        <w:tc>
          <w:tcPr>
            <w:tcW w:w="502"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七</w:t>
            </w:r>
          </w:p>
        </w:tc>
        <w:tc>
          <w:tcPr>
            <w:tcW w:w="1368"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厦门市</w:t>
            </w:r>
          </w:p>
        </w:tc>
        <w:tc>
          <w:tcPr>
            <w:tcW w:w="685" w:type="dxa"/>
            <w:tcBorders>
              <w:top w:val="single" w:color="auto" w:sz="4" w:space="0"/>
              <w:left w:val="single" w:color="auto" w:sz="4" w:space="0"/>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758"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c>
          <w:tcPr>
            <w:tcW w:w="3078"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2410" w:type="dxa"/>
            <w:tcBorders>
              <w:top w:val="single" w:color="auto" w:sz="4" w:space="0"/>
              <w:left w:val="nil"/>
              <w:bottom w:val="single" w:color="auto" w:sz="4" w:space="0"/>
              <w:right w:val="single" w:color="auto" w:sz="4" w:space="0"/>
            </w:tcBorders>
            <w:vAlign w:val="center"/>
          </w:tcPr>
          <w:p>
            <w:pPr>
              <w:pStyle w:val="75"/>
              <w:spacing w:line="270" w:lineRule="exact"/>
              <w:jc w:val="left"/>
              <w:rPr>
                <w:sz w:val="22"/>
              </w:rPr>
            </w:pPr>
          </w:p>
        </w:tc>
        <w:tc>
          <w:tcPr>
            <w:tcW w:w="556" w:type="dxa"/>
            <w:tcBorders>
              <w:top w:val="single" w:color="auto" w:sz="4" w:space="0"/>
              <w:left w:val="nil"/>
              <w:bottom w:val="single" w:color="auto" w:sz="4" w:space="0"/>
              <w:right w:val="single" w:color="auto" w:sz="4" w:space="0"/>
            </w:tcBorders>
            <w:vAlign w:val="center"/>
          </w:tcPr>
          <w:p>
            <w:pPr>
              <w:pStyle w:val="75"/>
              <w:spacing w:line="270" w:lineRule="exact"/>
              <w:rPr>
                <w:sz w:val="22"/>
              </w:rPr>
            </w:pPr>
            <w:r>
              <w:rPr>
                <w:rFonts w:hint="eastAsia"/>
                <w:sz w:val="22"/>
              </w:rPr>
              <w:t>0</w:t>
            </w:r>
          </w:p>
        </w:tc>
      </w:tr>
    </w:tbl>
    <w:p>
      <w:pPr>
        <w:ind w:firstLine="560"/>
        <w:sectPr>
          <w:pgSz w:w="11907" w:h="16839"/>
          <w:pgMar w:top="1440" w:right="1800" w:bottom="1440" w:left="1800" w:header="851" w:footer="992" w:gutter="0"/>
          <w:cols w:space="425" w:num="1"/>
          <w:docGrid w:type="lines" w:linePitch="381" w:charSpace="0"/>
        </w:sectPr>
      </w:pPr>
    </w:p>
    <w:p>
      <w:pPr>
        <w:pStyle w:val="2"/>
      </w:pPr>
      <w:bookmarkStart w:id="22" w:name="_Toc527641897"/>
      <w:r>
        <w:rPr>
          <w:rFonts w:hint="eastAsia"/>
        </w:rPr>
        <w:t>5  环境影响与减缓措施</w:t>
      </w:r>
      <w:bookmarkEnd w:id="22"/>
    </w:p>
    <w:p>
      <w:pPr>
        <w:pStyle w:val="3"/>
      </w:pPr>
      <w:bookmarkStart w:id="23" w:name="_Toc527641898"/>
      <w:r>
        <w:rPr>
          <w:rFonts w:hint="eastAsia"/>
        </w:rPr>
        <w:t>5.1 环境影响</w:t>
      </w:r>
      <w:bookmarkEnd w:id="23"/>
    </w:p>
    <w:p>
      <w:pPr>
        <w:ind w:firstLine="560"/>
        <w:rPr>
          <w:szCs w:val="28"/>
        </w:rPr>
      </w:pPr>
      <w:r>
        <w:rPr>
          <w:rFonts w:hint="eastAsia"/>
          <w:szCs w:val="28"/>
        </w:rPr>
        <w:t>（1）水文动力环境影响：渔港水工部分工程的建设将直接改变岸线形状、水底地形、潮流运动特征，影响潮差、水流和波浪，使得原有的水文动力环境发生改变，可能破坏了原有的泥沙冲淤动态平衡，造成冲淤环境的改变。</w:t>
      </w:r>
    </w:p>
    <w:p>
      <w:pPr>
        <w:ind w:firstLine="560"/>
        <w:rPr>
          <w:szCs w:val="28"/>
        </w:rPr>
      </w:pPr>
      <w:r>
        <w:rPr>
          <w:rFonts w:hint="eastAsia"/>
          <w:szCs w:val="28"/>
        </w:rPr>
        <w:t>（2）水环境影响：施工期港池开挖、码头、护岸的建设和陆域形成等过程产生悬浮泥沙入海，生产废水、生活污水直接排海，将影响海域的水环境质量。若营运期含大量有机污染物污水不经处理或未处理达标而直接排海，将会使原本富营养化的海域环境压力增大。到港船舶舱底油污水和船舶生活污水按海事部门的要求进行处理和排放。</w:t>
      </w:r>
    </w:p>
    <w:p>
      <w:pPr>
        <w:ind w:firstLine="560"/>
        <w:rPr>
          <w:szCs w:val="28"/>
        </w:rPr>
      </w:pPr>
      <w:r>
        <w:rPr>
          <w:rFonts w:hint="eastAsia"/>
          <w:szCs w:val="28"/>
        </w:rPr>
        <w:t>（3）空气环境影响：筑堤、灌浆、运输等施工活动产生的扬尘，运输车辆和施工器械排放的燃油废气，到港船舶尾气对大气环境将产生一定的影响。此外，渔港鱼产品废弃物散发出恶臭，也将影响周围环境。</w:t>
      </w:r>
    </w:p>
    <w:p>
      <w:pPr>
        <w:ind w:firstLine="560"/>
        <w:rPr>
          <w:szCs w:val="28"/>
        </w:rPr>
      </w:pPr>
      <w:r>
        <w:rPr>
          <w:rFonts w:hint="eastAsia"/>
          <w:szCs w:val="28"/>
        </w:rPr>
        <w:t>（4）声环境影响：施工期机械噪声、施工作业噪声和施工车辆噪声，营运期码头装卸渔船的噪声和运输车辆噪声等对周围的声环境产生一定的影响。</w:t>
      </w:r>
    </w:p>
    <w:p>
      <w:pPr>
        <w:ind w:firstLine="560"/>
        <w:rPr>
          <w:szCs w:val="28"/>
        </w:rPr>
      </w:pPr>
      <w:r>
        <w:rPr>
          <w:rFonts w:hint="eastAsia"/>
          <w:szCs w:val="28"/>
        </w:rPr>
        <w:t>（5）固体废物影响：施工人员的生活垃圾、基槽、港池开挖过程产生的疏浚物和施工废料，营运期港区生活垃圾、到港渔船产生的垃圾、港区维修废物及污水处理污泥等，处理不当，对局部环境会造成污染。</w:t>
      </w:r>
    </w:p>
    <w:p>
      <w:pPr>
        <w:ind w:firstLine="560"/>
        <w:rPr>
          <w:szCs w:val="28"/>
        </w:rPr>
      </w:pPr>
      <w:r>
        <w:rPr>
          <w:rFonts w:hint="eastAsia"/>
          <w:szCs w:val="28"/>
        </w:rPr>
        <w:t>（6）生态环境影响：施工期开山取石、挖方取土等施工作业会永久地改变陆域景观，可能会加重水土流失。悬浮泥沙入海将影响海洋浮游植物及藻类的光合作用及海洋动物的摄食活动，影响水生生物的正常活动和生长繁殖。施工期废水若直接排入水体，也将影响海洋生态环境。渔港实施占地将对土地利用格局产生影响。围填海域及护岸对海洋滩涂湿地的占用，将造成围填区底栖生物的不可逆地破坏，滩涂湿地功能和海洋资源损害。</w:t>
      </w:r>
    </w:p>
    <w:p>
      <w:pPr>
        <w:ind w:firstLine="560"/>
        <w:rPr>
          <w:szCs w:val="28"/>
        </w:rPr>
      </w:pPr>
      <w:r>
        <w:rPr>
          <w:rFonts w:hint="eastAsia"/>
          <w:szCs w:val="28"/>
        </w:rPr>
        <w:t>（7）环境敏感目标影响：规划将占用部分滩涂湿地；施工期、营运期的排污，特别是事故排污和溢油事故可能会对保护区水环境和生态资源造成不利影响；船舶航行会对水环境产生一定的扰动及噪声干扰；来往船只的增多也使外来海洋物种通过压载水入侵的风险成倍增加。</w:t>
      </w:r>
    </w:p>
    <w:p>
      <w:pPr>
        <w:ind w:firstLine="560"/>
        <w:rPr>
          <w:szCs w:val="28"/>
        </w:rPr>
      </w:pPr>
      <w:r>
        <w:rPr>
          <w:rFonts w:hint="eastAsia"/>
          <w:szCs w:val="28"/>
        </w:rPr>
        <w:t>（8）社会环境影响：规划的实施具有巨大的社会效益，是福建沿海渔船停泊、避风和补给，构建平安渔业的需要，对项目所在区域的社会经济发展起着有力推动作用，对渔民增收，渔业增效，渔区小康社会的建设有促进作用。另外，渔港的建设也可以提供更多的停靠点供台湾渔船使用，为闽台经济交流提供一定的平台，对两岸经贸关系的发展与和平统一具有重要的意义。</w:t>
      </w:r>
    </w:p>
    <w:p>
      <w:pPr>
        <w:ind w:firstLine="560"/>
        <w:rPr>
          <w:szCs w:val="28"/>
        </w:rPr>
      </w:pPr>
      <w:r>
        <w:rPr>
          <w:rFonts w:hint="eastAsia"/>
          <w:szCs w:val="28"/>
        </w:rPr>
        <w:t>但是渔港开发建设海域的永久占用、征地赔偿、失地渔民的安置以及渔港开发施工过程可能出现社会不稳定因素等，也会给区域社会环境带来较大的负面影响。</w:t>
      </w:r>
    </w:p>
    <w:p>
      <w:pPr>
        <w:ind w:firstLine="560"/>
        <w:rPr>
          <w:szCs w:val="28"/>
        </w:rPr>
      </w:pPr>
      <w:r>
        <w:rPr>
          <w:rFonts w:hint="eastAsia"/>
          <w:szCs w:val="28"/>
        </w:rPr>
        <w:t>（9）环境风险：施工期营运期渔船可能发生溢油事故，水下炸礁、爆破等危害性较大的施工方式，台风、风暴潮等海洋灾害来临时工程可能被破坏引起泥沙流失等对海洋环境的影响。</w:t>
      </w:r>
    </w:p>
    <w:p>
      <w:pPr>
        <w:pStyle w:val="3"/>
      </w:pPr>
      <w:bookmarkStart w:id="24" w:name="_Toc527641899"/>
      <w:r>
        <w:rPr>
          <w:rFonts w:hint="eastAsia"/>
        </w:rPr>
        <w:t>5.2 减缓措施</w:t>
      </w:r>
      <w:bookmarkEnd w:id="24"/>
    </w:p>
    <w:p>
      <w:pPr>
        <w:pStyle w:val="5"/>
      </w:pPr>
      <w:r>
        <w:rPr>
          <w:rFonts w:hint="eastAsia"/>
        </w:rPr>
        <w:t>5.2.1 预防或减轻环境影响的政策、管理措施</w:t>
      </w:r>
    </w:p>
    <w:p>
      <w:pPr>
        <w:ind w:firstLine="560"/>
        <w:rPr>
          <w:szCs w:val="28"/>
        </w:rPr>
      </w:pPr>
      <w:r>
        <w:rPr>
          <w:rFonts w:hint="eastAsia"/>
          <w:szCs w:val="28"/>
        </w:rPr>
        <w:t>（1）规划环保原则性意见</w:t>
      </w:r>
    </w:p>
    <w:p>
      <w:pPr>
        <w:ind w:firstLine="560"/>
        <w:rPr>
          <w:szCs w:val="28"/>
        </w:rPr>
      </w:pPr>
      <w:r>
        <w:rPr>
          <w:rFonts w:hint="eastAsia"/>
          <w:szCs w:val="28"/>
        </w:rPr>
        <w:t>将环境保护原则贯穿规划编制过程，提出重点开发、限制开发和禁止开发的指导性原则。法律已经批准的国家或地方自然保护区的区域，具有典型性、代表性的海洋生态系统等视为渔港规划布局的禁地，不得开发利用；自然保护区和环境敏感区的毗邻区域，在渔港规划布局时需慎重考虑环保问题，尽可能避免开发或限制开发；符合海洋功能区划，且周边无重大环境敏感目标的区域，可作为渔港布局规划的重点区域。</w:t>
      </w:r>
    </w:p>
    <w:p>
      <w:pPr>
        <w:ind w:firstLine="560"/>
        <w:rPr>
          <w:szCs w:val="28"/>
        </w:rPr>
      </w:pPr>
      <w:r>
        <w:rPr>
          <w:rFonts w:hint="eastAsia"/>
          <w:szCs w:val="28"/>
        </w:rPr>
        <w:t>（2）重视景观协调性</w:t>
      </w:r>
    </w:p>
    <w:p>
      <w:pPr>
        <w:ind w:firstLine="560"/>
        <w:rPr>
          <w:szCs w:val="28"/>
        </w:rPr>
      </w:pPr>
      <w:r>
        <w:rPr>
          <w:rFonts w:hint="eastAsia"/>
          <w:szCs w:val="28"/>
        </w:rPr>
        <w:t>尽可能保护原有岸线的自然风光，特别当渔港地处或濒临旅游风景区及其周边时，在工程的规划设计和建设中，港区周围建筑要讲究造型、艺术风格和个性，与周围景致相协调。</w:t>
      </w:r>
    </w:p>
    <w:p>
      <w:pPr>
        <w:ind w:firstLine="560"/>
        <w:rPr>
          <w:szCs w:val="28"/>
        </w:rPr>
      </w:pPr>
      <w:r>
        <w:rPr>
          <w:rFonts w:hint="eastAsia"/>
          <w:szCs w:val="28"/>
        </w:rPr>
        <w:t>（3）加强环境保护管理和监督机制</w:t>
      </w:r>
    </w:p>
    <w:p>
      <w:pPr>
        <w:ind w:firstLine="560"/>
        <w:rPr>
          <w:szCs w:val="28"/>
        </w:rPr>
      </w:pPr>
      <w:r>
        <w:rPr>
          <w:rFonts w:hint="eastAsia"/>
          <w:szCs w:val="28"/>
        </w:rPr>
        <w:t>严格执行“三同时”制度，渔港建设项目和配套的环保工程必须与主体工程同时设计、同时施工、同时投入使用。落实环保工作责任制，强化监督管理机制，加大环境监理监督工作力度。</w:t>
      </w:r>
    </w:p>
    <w:p>
      <w:pPr>
        <w:pStyle w:val="5"/>
      </w:pPr>
      <w:r>
        <w:rPr>
          <w:rFonts w:hint="eastAsia"/>
        </w:rPr>
        <w:t>5.2.2 预防或减轻环境影响的工程技术措施</w:t>
      </w:r>
    </w:p>
    <w:p>
      <w:pPr>
        <w:ind w:firstLine="560"/>
        <w:rPr>
          <w:szCs w:val="28"/>
        </w:rPr>
      </w:pPr>
      <w:r>
        <w:rPr>
          <w:rFonts w:hint="eastAsia"/>
          <w:szCs w:val="28"/>
        </w:rPr>
        <w:t>（1）环境污染控制措施</w:t>
      </w:r>
    </w:p>
    <w:p>
      <w:pPr>
        <w:ind w:firstLine="560"/>
        <w:rPr>
          <w:szCs w:val="28"/>
        </w:rPr>
      </w:pPr>
      <w:r>
        <w:rPr>
          <w:rFonts w:hint="eastAsia"/>
          <w:szCs w:val="28"/>
        </w:rPr>
        <w:t>施工期：避开暴雨、大风等不利施工天气。陆域形成采用“先围堰后回填”的施工工艺。施工废水预处理达标后排放。施工船舶含油污水执行《船舶污染物排放标准》规定或集中到岸上统一处理。</w:t>
      </w:r>
    </w:p>
    <w:p>
      <w:pPr>
        <w:ind w:firstLine="560"/>
        <w:rPr>
          <w:szCs w:val="28"/>
        </w:rPr>
      </w:pPr>
      <w:r>
        <w:rPr>
          <w:rFonts w:hint="eastAsia"/>
          <w:szCs w:val="28"/>
        </w:rPr>
        <w:t>营运期：港区污水和生活污水经处理达标后排放，渔船污水按规定排放或集中接收处置。加强车辆尾气净化，减少扬尘，实施港区绿化。采取减振、隔声等降噪措施。一般固废尽量资源化利用或统一清运，危废必须交有资质的单位处置。</w:t>
      </w:r>
    </w:p>
    <w:p>
      <w:pPr>
        <w:ind w:firstLine="560"/>
        <w:rPr>
          <w:szCs w:val="28"/>
        </w:rPr>
      </w:pPr>
      <w:r>
        <w:rPr>
          <w:rFonts w:hint="eastAsia"/>
          <w:szCs w:val="28"/>
        </w:rPr>
        <w:t>（2）生态环境保护措施</w:t>
      </w:r>
    </w:p>
    <w:p>
      <w:pPr>
        <w:ind w:firstLine="560"/>
        <w:rPr>
          <w:szCs w:val="28"/>
        </w:rPr>
      </w:pPr>
      <w:r>
        <w:rPr>
          <w:rFonts w:hint="eastAsia"/>
          <w:szCs w:val="28"/>
        </w:rPr>
        <w:t>避开鱼虾类产卵、索饵期施工。避免对滨海滩涂湿地资源和湿地景观的破坏。制定并实施生态修复、生态补偿和环境整治方案，严格保护生态敏感岸线和滨海湿地保护区，做好水土保持工作。加强对船舶压舱水的管理，防止外来物种入侵等。</w:t>
      </w:r>
    </w:p>
    <w:p>
      <w:pPr>
        <w:ind w:firstLine="560"/>
        <w:rPr>
          <w:szCs w:val="28"/>
        </w:rPr>
      </w:pPr>
      <w:r>
        <w:rPr>
          <w:rFonts w:hint="eastAsia"/>
          <w:szCs w:val="28"/>
        </w:rPr>
        <w:t>（3）环境风险防范措施</w:t>
      </w:r>
    </w:p>
    <w:p>
      <w:pPr>
        <w:ind w:firstLine="560"/>
        <w:rPr>
          <w:szCs w:val="28"/>
        </w:rPr>
      </w:pPr>
      <w:r>
        <w:rPr>
          <w:rFonts w:hint="eastAsia"/>
          <w:szCs w:val="28"/>
        </w:rPr>
        <w:t>建立严格的安全生产操作规章制度，编制溢油事故应急预案，编制台风或风暴潮事故应急预案，并纳入渔港所在地市的应急计划和应急反应体系中，建立事故应急反应的组织指挥系统和通畅有效的应急指挥通讯网络，积极配合海事局和海洋与渔业、环保等管理部门做好相关应急工作。</w:t>
      </w:r>
    </w:p>
    <w:p>
      <w:pPr>
        <w:pStyle w:val="5"/>
      </w:pPr>
      <w:r>
        <w:rPr>
          <w:rFonts w:hint="eastAsia"/>
        </w:rPr>
        <w:t>5.2.3 污水和固废的分级处置措施要求</w:t>
      </w:r>
    </w:p>
    <w:p>
      <w:pPr>
        <w:ind w:firstLine="560"/>
        <w:rPr>
          <w:szCs w:val="28"/>
        </w:rPr>
      </w:pPr>
      <w:r>
        <w:rPr>
          <w:rFonts w:hint="eastAsia"/>
          <w:szCs w:val="28"/>
        </w:rPr>
        <w:t>污水和固废是渔港营运期的两大主要污染源，不同等级渔港应根据工程所在地的环境条件并结合渔港的实际情况制定技术可行，经济合理处置措施。</w:t>
      </w:r>
    </w:p>
    <w:p>
      <w:pPr>
        <w:ind w:firstLine="560"/>
        <w:rPr>
          <w:szCs w:val="28"/>
        </w:rPr>
      </w:pPr>
      <w:r>
        <w:rPr>
          <w:rFonts w:hint="eastAsia"/>
          <w:szCs w:val="28"/>
        </w:rPr>
        <w:t>由于福建近岸海域无机氮和活性磷酸盐超标，因此要求所有渔港生产废水、生活污水和鱼货贮藏舱污水都要处理。若市政污水管网有覆盖或港区后方规划有污水处理厂，这部分污水经污水处理站处理达《污水综合排放标准》表4中的三级排放标准后，接入市政污水管网或港区后方的污水处理厂统一处理。否则均应单独设置污水处理和排放系统，排放口设置应按规定得到有关主管部门的同意和批准。</w:t>
      </w:r>
    </w:p>
    <w:p>
      <w:pPr>
        <w:ind w:firstLine="560"/>
        <w:rPr>
          <w:szCs w:val="28"/>
        </w:rPr>
      </w:pPr>
      <w:r>
        <w:rPr>
          <w:rFonts w:hint="eastAsia"/>
          <w:szCs w:val="28"/>
        </w:rPr>
        <w:t>港区生活垃圾和鱼产品废弃物比较肮脏，处理不好既影响人们生活，也影响码头形象。因此要求港区每日将固体废弃物分类收集，能利用的尽量资源化利用，其余的由当地垃圾处理系统统一处理；而到港渔船的残油及含油抹布等废弃物属危险废物，必须交由有资质的单位进行处置。</w:t>
      </w:r>
    </w:p>
    <w:p>
      <w:pPr>
        <w:ind w:firstLine="560"/>
      </w:pPr>
    </w:p>
    <w:p>
      <w:pPr>
        <w:ind w:firstLine="560"/>
        <w:sectPr>
          <w:pgSz w:w="11906" w:h="16838"/>
          <w:pgMar w:top="1440" w:right="1800" w:bottom="1440" w:left="1800" w:header="851" w:footer="992" w:gutter="0"/>
          <w:cols w:space="425" w:num="1"/>
          <w:docGrid w:type="lines" w:linePitch="312" w:charSpace="0"/>
        </w:sectPr>
      </w:pPr>
    </w:p>
    <w:p>
      <w:pPr>
        <w:pStyle w:val="2"/>
      </w:pPr>
      <w:bookmarkStart w:id="25" w:name="_Toc527641900"/>
      <w:r>
        <w:rPr>
          <w:rFonts w:hint="eastAsia"/>
        </w:rPr>
        <w:t>6  投资匡算</w:t>
      </w:r>
      <w:bookmarkEnd w:id="25"/>
    </w:p>
    <w:p>
      <w:pPr>
        <w:ind w:firstLine="560"/>
        <w:rPr>
          <w:rFonts w:asciiTheme="minorEastAsia" w:hAnsiTheme="minorEastAsia" w:eastAsiaTheme="minorEastAsia"/>
        </w:rPr>
      </w:pPr>
      <w:r>
        <w:rPr>
          <w:rFonts w:hint="eastAsia"/>
        </w:rPr>
        <w:t>本规划重点对重点渔港、沿海二级渔港、避风锚地</w:t>
      </w:r>
      <w:bookmarkStart w:id="32" w:name="_GoBack"/>
      <w:bookmarkEnd w:id="32"/>
      <w:r>
        <w:rPr>
          <w:rFonts w:hint="eastAsia"/>
        </w:rPr>
        <w:t>进行升级改造和整治维护，其中重点渔港</w:t>
      </w:r>
      <w:r>
        <w:t>2</w:t>
      </w:r>
      <w:r>
        <w:rPr>
          <w:rFonts w:hint="eastAsia"/>
        </w:rPr>
        <w:t>0个，沿海二级渔港和避风锚地</w:t>
      </w:r>
      <w:r>
        <w:t>2</w:t>
      </w:r>
      <w:r>
        <w:rPr>
          <w:rFonts w:hint="eastAsia"/>
        </w:rPr>
        <w:t>0个。根据各地需求，结合各地渔港建设的实际情况测算，每个重点渔港公益性设施省级补助资金上限约2亿元；沿海二级渔港、避风锚地公益性设施省级补助资金约2000万元。规划公益性设施内容省级补助资金共计44亿元，其中重点渔港40亿元，占90.91%，沿海二级渔港和避风锚地4亿元，占9.09%。</w:t>
      </w:r>
    </w:p>
    <w:p>
      <w:pPr>
        <w:ind w:firstLine="560"/>
        <w:rPr>
          <w:color w:val="0070C0"/>
        </w:rPr>
      </w:pPr>
    </w:p>
    <w:p>
      <w:pPr>
        <w:ind w:firstLine="560"/>
        <w:sectPr>
          <w:pgSz w:w="11906" w:h="16838"/>
          <w:pgMar w:top="1440" w:right="1800" w:bottom="1440" w:left="1800" w:header="851" w:footer="992" w:gutter="0"/>
          <w:cols w:space="425" w:num="1"/>
          <w:docGrid w:type="lines" w:linePitch="312" w:charSpace="0"/>
        </w:sectPr>
      </w:pPr>
    </w:p>
    <w:p>
      <w:pPr>
        <w:pStyle w:val="2"/>
      </w:pPr>
      <w:bookmarkStart w:id="26" w:name="_Toc527641901"/>
      <w:r>
        <w:rPr>
          <w:rFonts w:hint="eastAsia"/>
        </w:rPr>
        <w:t>7  效益分析</w:t>
      </w:r>
      <w:bookmarkEnd w:id="26"/>
    </w:p>
    <w:p>
      <w:pPr>
        <w:ind w:firstLine="560"/>
      </w:pPr>
      <w:r>
        <w:rPr>
          <w:rFonts w:hint="eastAsia"/>
        </w:rPr>
        <w:t>（1）规划的实施有利于提升渔业防灾减灾能力</w:t>
      </w:r>
    </w:p>
    <w:p>
      <w:pPr>
        <w:ind w:firstLine="560"/>
      </w:pPr>
      <w:r>
        <w:rPr>
          <w:rFonts w:hint="eastAsia"/>
        </w:rPr>
        <w:t>通过规划的实施，对受台风损坏严重和基础设施落后的渔港和避风锚地进行升级改造和整治维护，对防波堤、护岸、码头等基础设施进行维护和改造，提高建设标准，增强其抗风浪能力，可有效改善渔港基础设施水平，改善渔船装卸与停泊条件，大幅提高渔业防灾减灾能力，保障渔民生命财产安全。</w:t>
      </w:r>
    </w:p>
    <w:p>
      <w:pPr>
        <w:ind w:firstLine="560"/>
      </w:pPr>
      <w:r>
        <w:rPr>
          <w:rFonts w:hint="eastAsia"/>
        </w:rPr>
        <w:t>（2）规划的实施有利于提升渔港综合监管服务能力</w:t>
      </w:r>
    </w:p>
    <w:p>
      <w:pPr>
        <w:ind w:firstLine="560"/>
      </w:pPr>
      <w:r>
        <w:rPr>
          <w:rFonts w:hint="eastAsia"/>
        </w:rPr>
        <w:t>通过规划的实施，升级改造渔港码头及指挥监控设施，加强渔船登记和管理，可以有力的改善渔港生产服务水平和效率，强化海洋捕捞渔船监管，提升渔港生产服务能力和渔船综合管理能力，推进渔业资源的可持续利用。</w:t>
      </w:r>
    </w:p>
    <w:p>
      <w:pPr>
        <w:ind w:firstLine="560"/>
      </w:pPr>
      <w:r>
        <w:rPr>
          <w:rFonts w:hint="eastAsia"/>
        </w:rPr>
        <w:t>（3）规划的实施有利于促进渔民增收和渔区稳定</w:t>
      </w:r>
    </w:p>
    <w:p>
      <w:pPr>
        <w:ind w:firstLine="560"/>
      </w:pPr>
      <w:r>
        <w:rPr>
          <w:rFonts w:hint="eastAsia"/>
        </w:rPr>
        <w:t>通过本规划的实施，升级改造和整治维护渔港设施，增加港区执法、道路、绿化建设，配置公共卫生和污水处理设施，对生活污水、生活垃圾、船舶油污水等进行无害处理，及时掌握周边水域资源环境质量变动情况，并采取有效措施，将可以有效的改善各县市渔港“脏乱差”的环境状况。稳步提高渔业生产的安全系数，把剩余劳动力转向发展与渔业相关商业、服务业、娱乐业、旅游业等第二、三产业的发展，不断增加渔民收入，提升渔民的生活水平，确保渔区的长治久安。</w:t>
      </w:r>
    </w:p>
    <w:p>
      <w:pPr>
        <w:ind w:firstLine="560"/>
        <w:sectPr>
          <w:pgSz w:w="11906" w:h="16838"/>
          <w:pgMar w:top="1440" w:right="1800" w:bottom="1440" w:left="1800" w:header="851" w:footer="992" w:gutter="0"/>
          <w:cols w:space="425" w:num="1"/>
          <w:docGrid w:type="lines" w:linePitch="312" w:charSpace="0"/>
        </w:sectPr>
      </w:pPr>
    </w:p>
    <w:p>
      <w:pPr>
        <w:pStyle w:val="2"/>
      </w:pPr>
      <w:bookmarkStart w:id="27" w:name="_Toc527641902"/>
      <w:r>
        <w:rPr>
          <w:rFonts w:hint="eastAsia"/>
        </w:rPr>
        <w:t>8  保障措施</w:t>
      </w:r>
      <w:bookmarkEnd w:id="27"/>
    </w:p>
    <w:p>
      <w:pPr>
        <w:ind w:firstLine="560"/>
        <w:rPr>
          <w:rFonts w:asciiTheme="minorEastAsia" w:hAnsiTheme="minorEastAsia" w:eastAsiaTheme="minorEastAsia"/>
        </w:rPr>
      </w:pPr>
      <w:r>
        <w:rPr>
          <w:rFonts w:hint="eastAsia" w:asciiTheme="minorEastAsia" w:hAnsiTheme="minorEastAsia" w:eastAsiaTheme="minorEastAsia"/>
        </w:rPr>
        <w:t>本次规划的重点渔港、沿海二级渔港和避风锚地是海洋渔业发展的重要载体，对海洋渔业发展起着关键性作用，是海洋经防灾减灾建设的重要组成部分。为保证规划建设目标的实现，必须加强组织领导和规划指导，健全管理协调机制，完善项目建设管理程序，为规划实施提供有力的支撑和保障。</w:t>
      </w:r>
    </w:p>
    <w:p>
      <w:pPr>
        <w:pStyle w:val="3"/>
      </w:pPr>
      <w:bookmarkStart w:id="28" w:name="_Toc527641903"/>
      <w:r>
        <w:rPr>
          <w:rFonts w:hint="eastAsia"/>
        </w:rPr>
        <w:t>8.1 加强宏观指导，</w:t>
      </w:r>
      <w:r>
        <w:rPr>
          <w:rFonts w:hint="eastAsia" w:asciiTheme="minorEastAsia" w:hAnsiTheme="minorEastAsia" w:eastAsiaTheme="minorEastAsia"/>
        </w:rPr>
        <w:t>落实健全考核机制</w:t>
      </w:r>
      <w:bookmarkEnd w:id="28"/>
    </w:p>
    <w:p>
      <w:pPr>
        <w:ind w:firstLine="560"/>
        <w:rPr>
          <w:rFonts w:asciiTheme="minorEastAsia" w:hAnsiTheme="minorEastAsia" w:eastAsiaTheme="minorEastAsia"/>
        </w:rPr>
      </w:pPr>
      <w:r>
        <w:rPr>
          <w:rFonts w:hint="eastAsia" w:asciiTheme="minorEastAsia" w:hAnsiTheme="minorEastAsia" w:eastAsiaTheme="minorEastAsia"/>
        </w:rPr>
        <w:t>由省政府、省财政厅和省海洋与渔业厅</w:t>
      </w:r>
      <w:r>
        <w:rPr>
          <w:rFonts w:asciiTheme="minorEastAsia" w:hAnsiTheme="minorEastAsia" w:eastAsiaTheme="minorEastAsia"/>
        </w:rPr>
        <w:t>统筹负责</w:t>
      </w:r>
      <w:r>
        <w:rPr>
          <w:rFonts w:hint="eastAsia" w:asciiTheme="minorEastAsia" w:hAnsiTheme="minorEastAsia" w:eastAsiaTheme="minorEastAsia"/>
        </w:rPr>
        <w:t>全省重点渔港、沿海二级渔港和避风锚地</w:t>
      </w:r>
      <w:r>
        <w:rPr>
          <w:rFonts w:asciiTheme="minorEastAsia" w:hAnsiTheme="minorEastAsia" w:eastAsiaTheme="minorEastAsia"/>
        </w:rPr>
        <w:t>的规划、</w:t>
      </w:r>
      <w:r>
        <w:rPr>
          <w:rFonts w:hint="eastAsia" w:asciiTheme="minorEastAsia" w:hAnsiTheme="minorEastAsia" w:eastAsiaTheme="minorEastAsia"/>
        </w:rPr>
        <w:t>实施，</w:t>
      </w:r>
      <w:r>
        <w:rPr>
          <w:rFonts w:asciiTheme="minorEastAsia" w:hAnsiTheme="minorEastAsia" w:eastAsiaTheme="minorEastAsia"/>
        </w:rPr>
        <w:t>加大省级协调力度，统筹解决有关地区之间的基础设施布局</w:t>
      </w:r>
      <w:r>
        <w:rPr>
          <w:rFonts w:hint="eastAsia" w:asciiTheme="minorEastAsia" w:hAnsiTheme="minorEastAsia" w:eastAsiaTheme="minorEastAsia"/>
        </w:rPr>
        <w:t>。各级海洋与渔业部门要统一思想、高度重视，切实执行好本区域的规划。规划实施过程中，</w:t>
      </w:r>
      <w:r>
        <w:rPr>
          <w:rFonts w:asciiTheme="minorEastAsia" w:hAnsiTheme="minorEastAsia" w:eastAsiaTheme="minorEastAsia"/>
        </w:rPr>
        <w:t>各</w:t>
      </w:r>
      <w:r>
        <w:rPr>
          <w:rFonts w:hint="eastAsia" w:asciiTheme="minorEastAsia" w:hAnsiTheme="minorEastAsia" w:eastAsiaTheme="minorEastAsia"/>
        </w:rPr>
        <w:t>地</w:t>
      </w:r>
      <w:r>
        <w:rPr>
          <w:rFonts w:asciiTheme="minorEastAsia" w:hAnsiTheme="minorEastAsia" w:eastAsiaTheme="minorEastAsia"/>
        </w:rPr>
        <w:t>要设立统一的管理组织机构，负责有关具体事项的</w:t>
      </w:r>
      <w:r>
        <w:rPr>
          <w:rFonts w:hint="eastAsia" w:asciiTheme="minorEastAsia" w:hAnsiTheme="minorEastAsia" w:eastAsiaTheme="minorEastAsia"/>
        </w:rPr>
        <w:t>实施、协调；</w:t>
      </w:r>
      <w:r>
        <w:rPr>
          <w:rFonts w:asciiTheme="minorEastAsia" w:hAnsiTheme="minorEastAsia" w:eastAsiaTheme="minorEastAsia"/>
        </w:rPr>
        <w:t>制定年度工作计划，确定目标，明确任务，落实责任。</w:t>
      </w:r>
      <w:r>
        <w:rPr>
          <w:rFonts w:hint="eastAsia" w:asciiTheme="minorEastAsia" w:hAnsiTheme="minorEastAsia" w:eastAsiaTheme="minorEastAsia"/>
        </w:rPr>
        <w:t>建立项目推进责任制，确定项目推进主要负责人，分管负责人和具体负责人，并建立健全相应的规划落实考核机制，以此推荐本规划有序、高效的实施。</w:t>
      </w:r>
    </w:p>
    <w:p>
      <w:pPr>
        <w:pStyle w:val="3"/>
      </w:pPr>
      <w:bookmarkStart w:id="29" w:name="_Toc527641904"/>
      <w:r>
        <w:rPr>
          <w:rFonts w:hint="eastAsia"/>
        </w:rPr>
        <w:t>8.2 重视沟通协调，保障规划有效实施</w:t>
      </w:r>
      <w:bookmarkEnd w:id="29"/>
    </w:p>
    <w:p>
      <w:pPr>
        <w:ind w:firstLine="560"/>
        <w:rPr>
          <w:rFonts w:asciiTheme="minorEastAsia" w:hAnsiTheme="minorEastAsia" w:eastAsiaTheme="minorEastAsia"/>
        </w:rPr>
      </w:pPr>
      <w:r>
        <w:rPr>
          <w:rFonts w:hint="eastAsia" w:asciiTheme="minorEastAsia" w:hAnsiTheme="minorEastAsia" w:eastAsiaTheme="minorEastAsia"/>
        </w:rPr>
        <w:t>由于渔港的建设情况复杂、牵涉面广，在实施过程中必须得到各级政府的重视和支持，因此项目审批过程中，应积极主动同发改、国土、林业、规划、环保、水利等部门沟通协调，及早处理项目报批过程中存在的问题，简化渔港经济区内具体项目在规划、立项、招投标、建设、经营等环节的审批程序，提高项目报批工作的效率，加强指导服务，共同推进全省渔港的开发建设进程。</w:t>
      </w:r>
    </w:p>
    <w:p>
      <w:pPr>
        <w:pStyle w:val="3"/>
      </w:pPr>
      <w:bookmarkStart w:id="30" w:name="_Toc527641905"/>
      <w:r>
        <w:rPr>
          <w:rFonts w:hint="eastAsia"/>
        </w:rPr>
        <w:t>8.3 规范建设程序，严格把控工程质量</w:t>
      </w:r>
      <w:bookmarkEnd w:id="30"/>
    </w:p>
    <w:p>
      <w:pPr>
        <w:ind w:firstLine="560"/>
        <w:rPr>
          <w:rFonts w:asciiTheme="minorEastAsia" w:hAnsiTheme="minorEastAsia" w:eastAsiaTheme="minorEastAsia"/>
        </w:rPr>
      </w:pPr>
      <w:r>
        <w:rPr>
          <w:rFonts w:hint="eastAsia" w:asciiTheme="minorEastAsia" w:hAnsiTheme="minorEastAsia" w:eastAsiaTheme="minorEastAsia"/>
        </w:rPr>
        <w:t>规划建设过程中应按照政府投资项目管理要求，严格基本建设程序，切实做好渔港建设工程实施方案报批、施工图设计和审查、工程实施管理等工作，严把项目工程全阶段工程质量。省、设区市海洋渔业行政主管部门要切实加强对渔港建设工程质量的监管，加大抽检力度，对发现的工程质量问题，必须严格按要求返工，并严肃追究相关责任人的责任。</w:t>
      </w:r>
    </w:p>
    <w:p>
      <w:pPr>
        <w:pStyle w:val="3"/>
      </w:pPr>
      <w:bookmarkStart w:id="31" w:name="_Toc527641906"/>
      <w:r>
        <w:rPr>
          <w:rFonts w:hint="eastAsia"/>
        </w:rPr>
        <w:t>8.4 落实资金保障，拓宽资金筹措渠道</w:t>
      </w:r>
      <w:bookmarkEnd w:id="31"/>
    </w:p>
    <w:p>
      <w:pPr>
        <w:ind w:firstLine="560"/>
        <w:rPr>
          <w:rFonts w:asciiTheme="minorEastAsia" w:hAnsiTheme="minorEastAsia" w:eastAsiaTheme="minorEastAsia"/>
        </w:rPr>
      </w:pPr>
      <w:r>
        <w:rPr>
          <w:rFonts w:hint="eastAsia" w:asciiTheme="minorEastAsia" w:hAnsiTheme="minorEastAsia" w:eastAsiaTheme="minorEastAsia"/>
        </w:rPr>
        <w:t>本项目建设应积极争取农业部及各级政府的政策扶持和财政支持，将渔港基础设施建设投入纳入同级政府财政预算，扩大资金筹措渠道，构建来源稳定、渠道畅通的经费保障机制，为渔港升级改造和整治维护建设提供资金支持。强化经费管理和使用的监督检查，建立有效、完善的监督机制，确保专款专用，提高基地建设经费的使用效益。</w:t>
      </w:r>
      <w:bookmarkEnd w:id="0"/>
      <w:bookmarkEnd w:id="1"/>
      <w:bookmarkEnd w:id="3"/>
    </w:p>
    <w:p>
      <w:pPr>
        <w:ind w:firstLine="560"/>
        <w:sectPr>
          <w:headerReference r:id="rId18" w:type="first"/>
          <w:footerReference r:id="rId20" w:type="first"/>
          <w:headerReference r:id="rId16" w:type="default"/>
          <w:headerReference r:id="rId17" w:type="even"/>
          <w:footerReference r:id="rId19" w:type="even"/>
          <w:pgSz w:w="11906" w:h="16838"/>
          <w:pgMar w:top="1440" w:right="1800" w:bottom="1440" w:left="1800" w:header="851" w:footer="992" w:gutter="0"/>
          <w:cols w:space="425" w:num="1"/>
          <w:docGrid w:type="lines" w:linePitch="312" w:charSpace="0"/>
        </w:sectPr>
      </w:pPr>
    </w:p>
    <w:p>
      <w:pPr>
        <w:ind w:firstLine="0" w:firstLineChars="0"/>
        <w:rPr>
          <w:b/>
        </w:rPr>
      </w:pPr>
      <w:r>
        <w:rPr>
          <w:rFonts w:hint="eastAsia"/>
          <w:b/>
        </w:rPr>
        <w:t>附件1:全省重点渔港升级改造和整治维护名单</w:t>
      </w:r>
    </w:p>
    <w:tbl>
      <w:tblPr>
        <w:tblStyle w:val="33"/>
        <w:tblW w:w="14174" w:type="dxa"/>
        <w:tblInd w:w="0" w:type="dxa"/>
        <w:tblLayout w:type="fixed"/>
        <w:tblCellMar>
          <w:top w:w="0" w:type="dxa"/>
          <w:left w:w="108" w:type="dxa"/>
          <w:bottom w:w="0" w:type="dxa"/>
          <w:right w:w="108" w:type="dxa"/>
        </w:tblCellMar>
      </w:tblPr>
      <w:tblGrid>
        <w:gridCol w:w="1950"/>
        <w:gridCol w:w="1276"/>
        <w:gridCol w:w="10948"/>
      </w:tblGrid>
      <w:tr>
        <w:tblPrEx>
          <w:tblLayout w:type="fixed"/>
          <w:tblCellMar>
            <w:top w:w="0" w:type="dxa"/>
            <w:left w:w="108" w:type="dxa"/>
            <w:bottom w:w="0" w:type="dxa"/>
            <w:right w:w="108" w:type="dxa"/>
          </w:tblCellMar>
        </w:tblPrEx>
        <w:trPr>
          <w:trHeight w:val="397" w:hRule="atLeast"/>
        </w:trPr>
        <w:tc>
          <w:tcPr>
            <w:tcW w:w="1950" w:type="dxa"/>
            <w:tcBorders>
              <w:top w:val="single" w:color="auto" w:sz="4" w:space="0"/>
              <w:left w:val="single" w:color="auto" w:sz="4" w:space="0"/>
              <w:bottom w:val="single" w:color="auto" w:sz="4" w:space="0"/>
              <w:right w:val="single" w:color="auto" w:sz="4" w:space="0"/>
            </w:tcBorders>
            <w:vAlign w:val="center"/>
          </w:tcPr>
          <w:p>
            <w:pPr>
              <w:pStyle w:val="75"/>
              <w:spacing w:line="336" w:lineRule="auto"/>
              <w:rPr>
                <w:rFonts w:hAnsi="宋体" w:cs="宋体"/>
                <w:b/>
                <w:kern w:val="0"/>
              </w:rPr>
            </w:pPr>
            <w:r>
              <w:rPr>
                <w:rFonts w:hint="eastAsia" w:hAnsi="宋体" w:cs="宋体"/>
                <w:b/>
                <w:kern w:val="0"/>
              </w:rPr>
              <w:t>地区</w:t>
            </w:r>
          </w:p>
        </w:tc>
        <w:tc>
          <w:tcPr>
            <w:tcW w:w="1276" w:type="dxa"/>
            <w:tcBorders>
              <w:top w:val="single" w:color="auto" w:sz="4" w:space="0"/>
              <w:left w:val="single" w:color="auto" w:sz="4" w:space="0"/>
              <w:bottom w:val="single" w:color="auto" w:sz="4" w:space="0"/>
              <w:right w:val="single" w:color="auto" w:sz="4" w:space="0"/>
            </w:tcBorders>
            <w:vAlign w:val="center"/>
          </w:tcPr>
          <w:p>
            <w:pPr>
              <w:pStyle w:val="75"/>
              <w:spacing w:line="336" w:lineRule="auto"/>
              <w:rPr>
                <w:b/>
              </w:rPr>
            </w:pPr>
            <w:r>
              <w:rPr>
                <w:rFonts w:hint="eastAsia"/>
                <w:b/>
              </w:rPr>
              <w:t>合计</w:t>
            </w:r>
          </w:p>
        </w:tc>
        <w:tc>
          <w:tcPr>
            <w:tcW w:w="10948" w:type="dxa"/>
            <w:tcBorders>
              <w:top w:val="single" w:color="auto" w:sz="4" w:space="0"/>
              <w:left w:val="nil"/>
              <w:bottom w:val="single" w:color="auto" w:sz="4" w:space="0"/>
              <w:right w:val="single" w:color="auto" w:sz="4" w:space="0"/>
            </w:tcBorders>
            <w:vAlign w:val="center"/>
          </w:tcPr>
          <w:p>
            <w:pPr>
              <w:pStyle w:val="75"/>
              <w:spacing w:line="336" w:lineRule="auto"/>
              <w:rPr>
                <w:b/>
              </w:rPr>
            </w:pPr>
            <w:r>
              <w:rPr>
                <w:rFonts w:hint="eastAsia"/>
                <w:b/>
              </w:rPr>
              <w:t>规划项目名称</w:t>
            </w:r>
          </w:p>
        </w:tc>
      </w:tr>
      <w:tr>
        <w:tblPrEx>
          <w:tblLayout w:type="fixed"/>
          <w:tblCellMar>
            <w:top w:w="0" w:type="dxa"/>
            <w:left w:w="108" w:type="dxa"/>
            <w:bottom w:w="0" w:type="dxa"/>
            <w:right w:w="108" w:type="dxa"/>
          </w:tblCellMar>
        </w:tblPrEx>
        <w:trPr>
          <w:trHeight w:val="397" w:hRule="atLeast"/>
        </w:trPr>
        <w:tc>
          <w:tcPr>
            <w:tcW w:w="1950" w:type="dxa"/>
            <w:tcBorders>
              <w:top w:val="nil"/>
              <w:left w:val="single" w:color="auto" w:sz="4" w:space="0"/>
              <w:bottom w:val="single" w:color="auto" w:sz="4" w:space="0"/>
              <w:right w:val="single" w:color="auto" w:sz="4" w:space="0"/>
            </w:tcBorders>
            <w:vAlign w:val="center"/>
          </w:tcPr>
          <w:p>
            <w:pPr>
              <w:pStyle w:val="75"/>
              <w:spacing w:line="336" w:lineRule="auto"/>
              <w:rPr>
                <w:rFonts w:hAnsi="宋体" w:cs="宋体"/>
                <w:b/>
              </w:rPr>
            </w:pPr>
            <w:r>
              <w:rPr>
                <w:rFonts w:hint="eastAsia"/>
                <w:b/>
              </w:rPr>
              <w:t>全省</w:t>
            </w:r>
          </w:p>
        </w:tc>
        <w:tc>
          <w:tcPr>
            <w:tcW w:w="1276" w:type="dxa"/>
            <w:tcBorders>
              <w:top w:val="nil"/>
              <w:left w:val="single" w:color="auto" w:sz="4" w:space="0"/>
              <w:bottom w:val="single" w:color="auto" w:sz="4" w:space="0"/>
              <w:right w:val="single" w:color="auto" w:sz="4" w:space="0"/>
            </w:tcBorders>
            <w:vAlign w:val="center"/>
          </w:tcPr>
          <w:p>
            <w:pPr>
              <w:pStyle w:val="75"/>
              <w:spacing w:line="336" w:lineRule="auto"/>
              <w:rPr>
                <w:b/>
              </w:rPr>
            </w:pPr>
            <w:r>
              <w:rPr>
                <w:rFonts w:hint="eastAsia"/>
                <w:b/>
              </w:rPr>
              <w:t>21</w:t>
            </w:r>
          </w:p>
        </w:tc>
        <w:tc>
          <w:tcPr>
            <w:tcW w:w="10948" w:type="dxa"/>
            <w:tcBorders>
              <w:top w:val="nil"/>
              <w:left w:val="nil"/>
              <w:bottom w:val="single" w:color="auto" w:sz="4" w:space="0"/>
              <w:right w:val="single" w:color="auto" w:sz="4" w:space="0"/>
            </w:tcBorders>
            <w:vAlign w:val="center"/>
          </w:tcPr>
          <w:p>
            <w:pPr>
              <w:pStyle w:val="75"/>
              <w:spacing w:line="336" w:lineRule="auto"/>
              <w:jc w:val="left"/>
            </w:pPr>
          </w:p>
        </w:tc>
      </w:tr>
      <w:tr>
        <w:tblPrEx>
          <w:tblLayout w:type="fixed"/>
          <w:tblCellMar>
            <w:top w:w="0" w:type="dxa"/>
            <w:left w:w="108" w:type="dxa"/>
            <w:bottom w:w="0" w:type="dxa"/>
            <w:right w:w="108" w:type="dxa"/>
          </w:tblCellMar>
        </w:tblPrEx>
        <w:trPr>
          <w:trHeight w:val="397" w:hRule="atLeast"/>
        </w:trPr>
        <w:tc>
          <w:tcPr>
            <w:tcW w:w="1950" w:type="dxa"/>
            <w:tcBorders>
              <w:top w:val="nil"/>
              <w:left w:val="single" w:color="auto" w:sz="4" w:space="0"/>
              <w:bottom w:val="single" w:color="auto" w:sz="4" w:space="0"/>
              <w:right w:val="single" w:color="auto" w:sz="4" w:space="0"/>
            </w:tcBorders>
            <w:vAlign w:val="center"/>
          </w:tcPr>
          <w:p>
            <w:pPr>
              <w:pStyle w:val="75"/>
              <w:spacing w:line="336" w:lineRule="auto"/>
            </w:pPr>
            <w:r>
              <w:rPr>
                <w:rFonts w:hint="eastAsia"/>
              </w:rPr>
              <w:t>宁德市</w:t>
            </w:r>
          </w:p>
        </w:tc>
        <w:tc>
          <w:tcPr>
            <w:tcW w:w="1276" w:type="dxa"/>
            <w:tcBorders>
              <w:top w:val="nil"/>
              <w:left w:val="single" w:color="auto" w:sz="4" w:space="0"/>
              <w:bottom w:val="single" w:color="auto" w:sz="4" w:space="0"/>
              <w:right w:val="single" w:color="auto" w:sz="4" w:space="0"/>
            </w:tcBorders>
            <w:vAlign w:val="center"/>
          </w:tcPr>
          <w:p>
            <w:pPr>
              <w:pStyle w:val="75"/>
              <w:spacing w:line="336" w:lineRule="auto"/>
            </w:pPr>
            <w:r>
              <w:rPr>
                <w:rFonts w:hint="eastAsia"/>
              </w:rPr>
              <w:t>3</w:t>
            </w:r>
          </w:p>
        </w:tc>
        <w:tc>
          <w:tcPr>
            <w:tcW w:w="10948" w:type="dxa"/>
            <w:tcBorders>
              <w:top w:val="nil"/>
              <w:left w:val="nil"/>
              <w:bottom w:val="single" w:color="auto" w:sz="4" w:space="0"/>
              <w:right w:val="single" w:color="auto" w:sz="4" w:space="0"/>
            </w:tcBorders>
            <w:vAlign w:val="center"/>
          </w:tcPr>
          <w:p>
            <w:pPr>
              <w:pStyle w:val="75"/>
              <w:spacing w:line="336" w:lineRule="auto"/>
              <w:jc w:val="left"/>
            </w:pPr>
            <w:r>
              <w:rPr>
                <w:rFonts w:hint="eastAsia"/>
              </w:rPr>
              <w:t>福鼎沙埕中心渔港、霞浦三沙中心渔港、霞浦石湖渔港（石湖、西洋、闾峡）</w:t>
            </w:r>
          </w:p>
        </w:tc>
      </w:tr>
      <w:tr>
        <w:tblPrEx>
          <w:tblLayout w:type="fixed"/>
          <w:tblCellMar>
            <w:top w:w="0" w:type="dxa"/>
            <w:left w:w="108" w:type="dxa"/>
            <w:bottom w:w="0" w:type="dxa"/>
            <w:right w:w="108" w:type="dxa"/>
          </w:tblCellMar>
        </w:tblPrEx>
        <w:trPr>
          <w:trHeight w:val="397" w:hRule="atLeast"/>
        </w:trPr>
        <w:tc>
          <w:tcPr>
            <w:tcW w:w="1950" w:type="dxa"/>
            <w:tcBorders>
              <w:top w:val="nil"/>
              <w:left w:val="single" w:color="auto" w:sz="4" w:space="0"/>
              <w:bottom w:val="single" w:color="auto" w:sz="4" w:space="0"/>
              <w:right w:val="single" w:color="auto" w:sz="4" w:space="0"/>
            </w:tcBorders>
            <w:vAlign w:val="center"/>
          </w:tcPr>
          <w:p>
            <w:pPr>
              <w:pStyle w:val="75"/>
              <w:spacing w:line="336" w:lineRule="auto"/>
            </w:pPr>
            <w:r>
              <w:rPr>
                <w:rFonts w:hint="eastAsia"/>
              </w:rPr>
              <w:t>福州市</w:t>
            </w:r>
          </w:p>
        </w:tc>
        <w:tc>
          <w:tcPr>
            <w:tcW w:w="1276" w:type="dxa"/>
            <w:tcBorders>
              <w:top w:val="nil"/>
              <w:left w:val="single" w:color="auto" w:sz="4" w:space="0"/>
              <w:bottom w:val="single" w:color="auto" w:sz="4" w:space="0"/>
              <w:right w:val="single" w:color="auto" w:sz="4" w:space="0"/>
            </w:tcBorders>
            <w:vAlign w:val="center"/>
          </w:tcPr>
          <w:p>
            <w:pPr>
              <w:pStyle w:val="75"/>
              <w:spacing w:line="336" w:lineRule="auto"/>
            </w:pPr>
            <w:r>
              <w:rPr>
                <w:rFonts w:hint="eastAsia"/>
              </w:rPr>
              <w:t>3</w:t>
            </w:r>
          </w:p>
        </w:tc>
        <w:tc>
          <w:tcPr>
            <w:tcW w:w="10948" w:type="dxa"/>
            <w:tcBorders>
              <w:top w:val="nil"/>
              <w:left w:val="nil"/>
              <w:bottom w:val="single" w:color="auto" w:sz="4" w:space="0"/>
              <w:right w:val="single" w:color="auto" w:sz="4" w:space="0"/>
            </w:tcBorders>
            <w:vAlign w:val="center"/>
          </w:tcPr>
          <w:p>
            <w:pPr>
              <w:pStyle w:val="75"/>
              <w:spacing w:line="336" w:lineRule="auto"/>
              <w:jc w:val="left"/>
            </w:pPr>
            <w:r>
              <w:rPr>
                <w:rFonts w:hint="eastAsia"/>
              </w:rPr>
              <w:t>连江黄岐中心渔港、连江苔菉中心渔港、福清东瀚渔港（海亮、莲峰）</w:t>
            </w:r>
          </w:p>
        </w:tc>
      </w:tr>
      <w:tr>
        <w:tblPrEx>
          <w:tblLayout w:type="fixed"/>
          <w:tblCellMar>
            <w:top w:w="0" w:type="dxa"/>
            <w:left w:w="108" w:type="dxa"/>
            <w:bottom w:w="0" w:type="dxa"/>
            <w:right w:w="108" w:type="dxa"/>
          </w:tblCellMar>
        </w:tblPrEx>
        <w:trPr>
          <w:trHeight w:val="397" w:hRule="atLeast"/>
        </w:trPr>
        <w:tc>
          <w:tcPr>
            <w:tcW w:w="1950" w:type="dxa"/>
            <w:tcBorders>
              <w:top w:val="single" w:color="auto" w:sz="4" w:space="0"/>
              <w:left w:val="single" w:color="auto" w:sz="4" w:space="0"/>
              <w:bottom w:val="single" w:color="auto" w:sz="4" w:space="0"/>
              <w:right w:val="single" w:color="auto" w:sz="4" w:space="0"/>
            </w:tcBorders>
            <w:vAlign w:val="center"/>
          </w:tcPr>
          <w:p>
            <w:pPr>
              <w:pStyle w:val="75"/>
              <w:spacing w:line="336" w:lineRule="auto"/>
            </w:pPr>
            <w:r>
              <w:rPr>
                <w:rFonts w:hint="eastAsia"/>
              </w:rPr>
              <w:t>莆田市</w:t>
            </w:r>
          </w:p>
        </w:tc>
        <w:tc>
          <w:tcPr>
            <w:tcW w:w="1276" w:type="dxa"/>
            <w:tcBorders>
              <w:top w:val="single" w:color="auto" w:sz="4" w:space="0"/>
              <w:left w:val="single" w:color="auto" w:sz="4" w:space="0"/>
              <w:bottom w:val="single" w:color="auto" w:sz="4" w:space="0"/>
              <w:right w:val="single" w:color="auto" w:sz="4" w:space="0"/>
            </w:tcBorders>
            <w:vAlign w:val="center"/>
          </w:tcPr>
          <w:p>
            <w:pPr>
              <w:pStyle w:val="75"/>
              <w:spacing w:line="336" w:lineRule="auto"/>
            </w:pPr>
            <w:r>
              <w:rPr>
                <w:rFonts w:hint="eastAsia"/>
              </w:rPr>
              <w:t>1</w:t>
            </w:r>
          </w:p>
        </w:tc>
        <w:tc>
          <w:tcPr>
            <w:tcW w:w="10948" w:type="dxa"/>
            <w:tcBorders>
              <w:top w:val="single" w:color="auto" w:sz="4" w:space="0"/>
              <w:left w:val="nil"/>
              <w:bottom w:val="single" w:color="auto" w:sz="4" w:space="0"/>
              <w:right w:val="single" w:color="auto" w:sz="4" w:space="0"/>
            </w:tcBorders>
            <w:vAlign w:val="center"/>
          </w:tcPr>
          <w:p>
            <w:pPr>
              <w:pStyle w:val="75"/>
              <w:spacing w:line="336" w:lineRule="auto"/>
              <w:jc w:val="left"/>
            </w:pPr>
            <w:r>
              <w:rPr>
                <w:rFonts w:hint="eastAsia"/>
              </w:rPr>
              <w:t>莆田</w:t>
            </w:r>
            <w:r>
              <w:t>秀屿</w:t>
            </w:r>
            <w:r>
              <w:rPr>
                <w:rFonts w:hint="eastAsia"/>
              </w:rPr>
              <w:t>浮叶</w:t>
            </w:r>
            <w:r>
              <w:t>一级渔港</w:t>
            </w:r>
          </w:p>
        </w:tc>
      </w:tr>
      <w:tr>
        <w:tblPrEx>
          <w:tblLayout w:type="fixed"/>
        </w:tblPrEx>
        <w:trPr>
          <w:trHeight w:val="397" w:hRule="atLeast"/>
        </w:trPr>
        <w:tc>
          <w:tcPr>
            <w:tcW w:w="1950" w:type="dxa"/>
            <w:tcBorders>
              <w:top w:val="single" w:color="auto" w:sz="4" w:space="0"/>
              <w:left w:val="single" w:color="auto" w:sz="4" w:space="0"/>
              <w:bottom w:val="single" w:color="auto" w:sz="4" w:space="0"/>
              <w:right w:val="single" w:color="auto" w:sz="4" w:space="0"/>
            </w:tcBorders>
            <w:vAlign w:val="center"/>
          </w:tcPr>
          <w:p>
            <w:pPr>
              <w:pStyle w:val="75"/>
              <w:spacing w:line="336" w:lineRule="auto"/>
            </w:pPr>
            <w:r>
              <w:rPr>
                <w:rFonts w:hint="eastAsia"/>
              </w:rPr>
              <w:t>泉州市</w:t>
            </w:r>
          </w:p>
        </w:tc>
        <w:tc>
          <w:tcPr>
            <w:tcW w:w="1276" w:type="dxa"/>
            <w:tcBorders>
              <w:top w:val="single" w:color="auto" w:sz="4" w:space="0"/>
              <w:left w:val="single" w:color="auto" w:sz="4" w:space="0"/>
              <w:bottom w:val="single" w:color="auto" w:sz="4" w:space="0"/>
              <w:right w:val="single" w:color="auto" w:sz="4" w:space="0"/>
            </w:tcBorders>
            <w:vAlign w:val="center"/>
          </w:tcPr>
          <w:p>
            <w:pPr>
              <w:pStyle w:val="75"/>
              <w:spacing w:line="336" w:lineRule="auto"/>
            </w:pPr>
            <w:r>
              <w:rPr>
                <w:rFonts w:hint="eastAsia"/>
              </w:rPr>
              <w:t>6</w:t>
            </w:r>
          </w:p>
        </w:tc>
        <w:tc>
          <w:tcPr>
            <w:tcW w:w="10948" w:type="dxa"/>
            <w:tcBorders>
              <w:top w:val="single" w:color="auto" w:sz="4" w:space="0"/>
              <w:left w:val="nil"/>
              <w:bottom w:val="single" w:color="auto" w:sz="4" w:space="0"/>
              <w:right w:val="single" w:color="auto" w:sz="4" w:space="0"/>
            </w:tcBorders>
            <w:vAlign w:val="center"/>
          </w:tcPr>
          <w:p>
            <w:pPr>
              <w:pStyle w:val="75"/>
              <w:spacing w:line="336" w:lineRule="auto"/>
              <w:jc w:val="left"/>
            </w:pPr>
            <w:r>
              <w:rPr>
                <w:rFonts w:hint="eastAsia"/>
              </w:rPr>
              <w:t>泉港</w:t>
            </w:r>
            <w:r>
              <w:t>诚峰一级渔港</w:t>
            </w:r>
            <w:r>
              <w:rPr>
                <w:rFonts w:hint="eastAsia"/>
              </w:rPr>
              <w:t>、</w:t>
            </w:r>
            <w:r>
              <w:t>惠安崇武中心渔港</w:t>
            </w:r>
            <w:r>
              <w:rPr>
                <w:rFonts w:hint="eastAsia"/>
              </w:rPr>
              <w:t>、</w:t>
            </w:r>
            <w:r>
              <w:t>石狮祥芝中心渔港</w:t>
            </w:r>
            <w:r>
              <w:rPr>
                <w:rFonts w:hint="eastAsia"/>
              </w:rPr>
              <w:t>、</w:t>
            </w:r>
            <w:r>
              <w:t>石狮</w:t>
            </w:r>
            <w:r>
              <w:rPr>
                <w:rFonts w:hint="eastAsia"/>
              </w:rPr>
              <w:t>梅林</w:t>
            </w:r>
            <w:r>
              <w:t>一级渔港</w:t>
            </w:r>
            <w:r>
              <w:rPr>
                <w:rFonts w:hint="eastAsia"/>
              </w:rPr>
              <w:t>、</w:t>
            </w:r>
          </w:p>
          <w:p>
            <w:pPr>
              <w:pStyle w:val="75"/>
              <w:spacing w:line="336" w:lineRule="auto"/>
              <w:jc w:val="left"/>
            </w:pPr>
            <w:r>
              <w:t>石狮</w:t>
            </w:r>
            <w:r>
              <w:rPr>
                <w:rFonts w:hint="eastAsia"/>
              </w:rPr>
              <w:t>东埔</w:t>
            </w:r>
            <w:r>
              <w:t>一级渔港</w:t>
            </w:r>
            <w:r>
              <w:rPr>
                <w:rFonts w:hint="eastAsia"/>
              </w:rPr>
              <w:t>、</w:t>
            </w:r>
            <w:r>
              <w:t>晋江深沪中心渔港</w:t>
            </w:r>
          </w:p>
        </w:tc>
      </w:tr>
      <w:tr>
        <w:tblPrEx>
          <w:tblLayout w:type="fixed"/>
          <w:tblCellMar>
            <w:top w:w="0" w:type="dxa"/>
            <w:left w:w="108" w:type="dxa"/>
            <w:bottom w:w="0" w:type="dxa"/>
            <w:right w:w="108" w:type="dxa"/>
          </w:tblCellMar>
        </w:tblPrEx>
        <w:trPr>
          <w:trHeight w:val="397" w:hRule="atLeast"/>
        </w:trPr>
        <w:tc>
          <w:tcPr>
            <w:tcW w:w="1950" w:type="dxa"/>
            <w:tcBorders>
              <w:top w:val="single" w:color="auto" w:sz="4" w:space="0"/>
              <w:left w:val="single" w:color="auto" w:sz="4" w:space="0"/>
              <w:bottom w:val="single" w:color="auto" w:sz="4" w:space="0"/>
              <w:right w:val="single" w:color="auto" w:sz="4" w:space="0"/>
            </w:tcBorders>
            <w:vAlign w:val="center"/>
          </w:tcPr>
          <w:p>
            <w:pPr>
              <w:pStyle w:val="75"/>
              <w:spacing w:line="336" w:lineRule="auto"/>
            </w:pPr>
            <w:r>
              <w:rPr>
                <w:rFonts w:hint="eastAsia"/>
              </w:rPr>
              <w:t>漳州市</w:t>
            </w:r>
          </w:p>
        </w:tc>
        <w:tc>
          <w:tcPr>
            <w:tcW w:w="1276" w:type="dxa"/>
            <w:tcBorders>
              <w:top w:val="single" w:color="auto" w:sz="4" w:space="0"/>
              <w:left w:val="single" w:color="auto" w:sz="4" w:space="0"/>
              <w:bottom w:val="single" w:color="auto" w:sz="4" w:space="0"/>
              <w:right w:val="single" w:color="auto" w:sz="4" w:space="0"/>
            </w:tcBorders>
            <w:vAlign w:val="center"/>
          </w:tcPr>
          <w:p>
            <w:pPr>
              <w:pStyle w:val="75"/>
              <w:spacing w:line="336" w:lineRule="auto"/>
            </w:pPr>
            <w:r>
              <w:rPr>
                <w:rFonts w:hint="eastAsia"/>
              </w:rPr>
              <w:t>6</w:t>
            </w:r>
          </w:p>
        </w:tc>
        <w:tc>
          <w:tcPr>
            <w:tcW w:w="10948" w:type="dxa"/>
            <w:tcBorders>
              <w:top w:val="single" w:color="auto" w:sz="4" w:space="0"/>
              <w:left w:val="nil"/>
              <w:bottom w:val="single" w:color="auto" w:sz="4" w:space="0"/>
              <w:right w:val="single" w:color="auto" w:sz="4" w:space="0"/>
            </w:tcBorders>
            <w:vAlign w:val="center"/>
          </w:tcPr>
          <w:p>
            <w:pPr>
              <w:pStyle w:val="75"/>
              <w:spacing w:line="336" w:lineRule="auto"/>
              <w:jc w:val="left"/>
              <w:rPr>
                <w:rFonts w:hint="eastAsia"/>
              </w:rPr>
            </w:pPr>
            <w:r>
              <w:t>龙海港尾一级渔港</w:t>
            </w:r>
            <w:r>
              <w:rPr>
                <w:rFonts w:hint="eastAsia"/>
              </w:rPr>
              <w:t>、漳浦岱嵩一级渔港、云霄山前一级渔港、东山大澳中心渔港、</w:t>
            </w:r>
          </w:p>
          <w:p>
            <w:pPr>
              <w:pStyle w:val="75"/>
              <w:spacing w:line="336" w:lineRule="auto"/>
              <w:jc w:val="left"/>
            </w:pPr>
            <w:r>
              <w:rPr>
                <w:rFonts w:hint="eastAsia"/>
              </w:rPr>
              <w:t>东山陈城渔港（澳角、宫前）、诏安梅岭渔港（田厝、赤石湾）</w:t>
            </w:r>
          </w:p>
        </w:tc>
      </w:tr>
      <w:tr>
        <w:tblPrEx>
          <w:tblLayout w:type="fixed"/>
          <w:tblCellMar>
            <w:top w:w="0" w:type="dxa"/>
            <w:left w:w="108" w:type="dxa"/>
            <w:bottom w:w="0" w:type="dxa"/>
            <w:right w:w="108" w:type="dxa"/>
          </w:tblCellMar>
        </w:tblPrEx>
        <w:trPr>
          <w:trHeight w:val="397" w:hRule="atLeast"/>
        </w:trPr>
        <w:tc>
          <w:tcPr>
            <w:tcW w:w="1950" w:type="dxa"/>
            <w:tcBorders>
              <w:top w:val="single" w:color="auto" w:sz="4" w:space="0"/>
              <w:left w:val="single" w:color="auto" w:sz="4" w:space="0"/>
              <w:bottom w:val="single" w:color="auto" w:sz="4" w:space="0"/>
              <w:right w:val="single" w:color="auto" w:sz="4" w:space="0"/>
            </w:tcBorders>
            <w:vAlign w:val="center"/>
          </w:tcPr>
          <w:p>
            <w:pPr>
              <w:pStyle w:val="75"/>
              <w:spacing w:line="336" w:lineRule="auto"/>
            </w:pPr>
            <w:r>
              <w:rPr>
                <w:rFonts w:hint="eastAsia"/>
              </w:rPr>
              <w:t>平潭综合实验区</w:t>
            </w:r>
          </w:p>
        </w:tc>
        <w:tc>
          <w:tcPr>
            <w:tcW w:w="1276" w:type="dxa"/>
            <w:tcBorders>
              <w:top w:val="single" w:color="auto" w:sz="4" w:space="0"/>
              <w:left w:val="single" w:color="auto" w:sz="4" w:space="0"/>
              <w:bottom w:val="single" w:color="auto" w:sz="4" w:space="0"/>
              <w:right w:val="single" w:color="auto" w:sz="4" w:space="0"/>
            </w:tcBorders>
            <w:vAlign w:val="center"/>
          </w:tcPr>
          <w:p>
            <w:pPr>
              <w:pStyle w:val="75"/>
              <w:spacing w:line="336" w:lineRule="auto"/>
            </w:pPr>
            <w:r>
              <w:rPr>
                <w:rFonts w:hint="eastAsia"/>
              </w:rPr>
              <w:t>1</w:t>
            </w:r>
          </w:p>
        </w:tc>
        <w:tc>
          <w:tcPr>
            <w:tcW w:w="10948" w:type="dxa"/>
            <w:tcBorders>
              <w:top w:val="single" w:color="auto" w:sz="4" w:space="0"/>
              <w:left w:val="nil"/>
              <w:bottom w:val="single" w:color="auto" w:sz="4" w:space="0"/>
              <w:right w:val="single" w:color="auto" w:sz="4" w:space="0"/>
            </w:tcBorders>
            <w:vAlign w:val="center"/>
          </w:tcPr>
          <w:p>
            <w:pPr>
              <w:pStyle w:val="75"/>
              <w:spacing w:line="336" w:lineRule="auto"/>
              <w:jc w:val="left"/>
            </w:pPr>
            <w:r>
              <w:rPr>
                <w:rFonts w:hint="eastAsia"/>
              </w:rPr>
              <w:t>平潭东澳中心渔港</w:t>
            </w:r>
          </w:p>
        </w:tc>
      </w:tr>
      <w:tr>
        <w:tblPrEx>
          <w:tblLayout w:type="fixed"/>
          <w:tblCellMar>
            <w:top w:w="0" w:type="dxa"/>
            <w:left w:w="108" w:type="dxa"/>
            <w:bottom w:w="0" w:type="dxa"/>
            <w:right w:w="108" w:type="dxa"/>
          </w:tblCellMar>
        </w:tblPrEx>
        <w:trPr>
          <w:trHeight w:val="397" w:hRule="atLeast"/>
        </w:trPr>
        <w:tc>
          <w:tcPr>
            <w:tcW w:w="1950" w:type="dxa"/>
            <w:tcBorders>
              <w:top w:val="single" w:color="auto" w:sz="4" w:space="0"/>
              <w:left w:val="single" w:color="auto" w:sz="4" w:space="0"/>
              <w:bottom w:val="single" w:color="auto" w:sz="4" w:space="0"/>
              <w:right w:val="single" w:color="auto" w:sz="4" w:space="0"/>
            </w:tcBorders>
            <w:vAlign w:val="center"/>
          </w:tcPr>
          <w:p>
            <w:pPr>
              <w:pStyle w:val="75"/>
              <w:spacing w:line="336" w:lineRule="auto"/>
            </w:pPr>
            <w:r>
              <w:rPr>
                <w:rFonts w:hint="eastAsia"/>
              </w:rPr>
              <w:t>厦门市</w:t>
            </w:r>
          </w:p>
        </w:tc>
        <w:tc>
          <w:tcPr>
            <w:tcW w:w="1276" w:type="dxa"/>
            <w:tcBorders>
              <w:top w:val="single" w:color="auto" w:sz="4" w:space="0"/>
              <w:left w:val="single" w:color="auto" w:sz="4" w:space="0"/>
              <w:bottom w:val="single" w:color="auto" w:sz="4" w:space="0"/>
              <w:right w:val="single" w:color="auto" w:sz="4" w:space="0"/>
            </w:tcBorders>
            <w:vAlign w:val="center"/>
          </w:tcPr>
          <w:p>
            <w:pPr>
              <w:pStyle w:val="75"/>
              <w:spacing w:line="336" w:lineRule="auto"/>
            </w:pPr>
            <w:r>
              <w:rPr>
                <w:rFonts w:hint="eastAsia"/>
              </w:rPr>
              <w:t>1</w:t>
            </w:r>
          </w:p>
        </w:tc>
        <w:tc>
          <w:tcPr>
            <w:tcW w:w="10948" w:type="dxa"/>
            <w:tcBorders>
              <w:top w:val="single" w:color="auto" w:sz="4" w:space="0"/>
              <w:left w:val="nil"/>
              <w:bottom w:val="single" w:color="auto" w:sz="4" w:space="0"/>
              <w:right w:val="single" w:color="auto" w:sz="4" w:space="0"/>
            </w:tcBorders>
            <w:vAlign w:val="center"/>
          </w:tcPr>
          <w:p>
            <w:pPr>
              <w:pStyle w:val="75"/>
              <w:spacing w:line="336" w:lineRule="auto"/>
              <w:jc w:val="left"/>
            </w:pPr>
            <w:r>
              <w:rPr>
                <w:rFonts w:hint="eastAsia"/>
              </w:rPr>
              <w:t>厦门高崎中心渔港</w:t>
            </w:r>
          </w:p>
        </w:tc>
      </w:tr>
    </w:tbl>
    <w:p>
      <w:pPr>
        <w:ind w:firstLine="560"/>
      </w:pPr>
    </w:p>
    <w:p>
      <w:pPr>
        <w:ind w:firstLine="560"/>
        <w:sectPr>
          <w:pgSz w:w="16838" w:h="11906" w:orient="landscape"/>
          <w:pgMar w:top="1800" w:right="1440" w:bottom="1800" w:left="1440" w:header="851" w:footer="992" w:gutter="0"/>
          <w:cols w:space="425" w:num="1"/>
          <w:docGrid w:type="lines" w:linePitch="381" w:charSpace="0"/>
        </w:sectPr>
      </w:pPr>
    </w:p>
    <w:p>
      <w:pPr>
        <w:ind w:firstLine="0" w:firstLineChars="0"/>
      </w:pPr>
      <w:r>
        <w:rPr>
          <w:rFonts w:hint="eastAsia"/>
          <w:b/>
        </w:rPr>
        <w:t>附件2:全省沿海二级渔港、避风锚地升级改造和整治维护名单</w:t>
      </w:r>
    </w:p>
    <w:tbl>
      <w:tblPr>
        <w:tblStyle w:val="33"/>
        <w:tblW w:w="14174" w:type="dxa"/>
        <w:tblInd w:w="0" w:type="dxa"/>
        <w:tblLayout w:type="fixed"/>
        <w:tblCellMar>
          <w:top w:w="0" w:type="dxa"/>
          <w:left w:w="108" w:type="dxa"/>
          <w:bottom w:w="0" w:type="dxa"/>
          <w:right w:w="108" w:type="dxa"/>
        </w:tblCellMar>
      </w:tblPr>
      <w:tblGrid>
        <w:gridCol w:w="1007"/>
        <w:gridCol w:w="854"/>
        <w:gridCol w:w="1795"/>
        <w:gridCol w:w="1679"/>
        <w:gridCol w:w="4553"/>
        <w:gridCol w:w="4286"/>
      </w:tblGrid>
      <w:tr>
        <w:tblPrEx>
          <w:tblLayout w:type="fixed"/>
          <w:tblCellMar>
            <w:top w:w="0" w:type="dxa"/>
            <w:left w:w="108" w:type="dxa"/>
            <w:bottom w:w="0" w:type="dxa"/>
            <w:right w:w="108" w:type="dxa"/>
          </w:tblCellMar>
        </w:tblPrEx>
        <w:trPr>
          <w:trHeight w:val="397" w:hRule="atLeast"/>
        </w:trPr>
        <w:tc>
          <w:tcPr>
            <w:tcW w:w="1007" w:type="dxa"/>
            <w:vMerge w:val="restart"/>
            <w:tcBorders>
              <w:top w:val="single" w:color="auto" w:sz="4" w:space="0"/>
              <w:left w:val="single" w:color="auto" w:sz="4" w:space="0"/>
              <w:right w:val="single" w:color="auto" w:sz="4" w:space="0"/>
            </w:tcBorders>
            <w:vAlign w:val="center"/>
          </w:tcPr>
          <w:p>
            <w:pPr>
              <w:pStyle w:val="75"/>
              <w:spacing w:line="240" w:lineRule="auto"/>
              <w:rPr>
                <w:rFonts w:hAnsi="宋体" w:cs="宋体"/>
                <w:b/>
                <w:kern w:val="0"/>
              </w:rPr>
            </w:pPr>
            <w:r>
              <w:rPr>
                <w:rFonts w:hint="eastAsia" w:hAnsi="宋体" w:cs="宋体"/>
                <w:b/>
                <w:kern w:val="0"/>
              </w:rPr>
              <w:t>地区</w:t>
            </w:r>
          </w:p>
        </w:tc>
        <w:tc>
          <w:tcPr>
            <w:tcW w:w="854" w:type="dxa"/>
            <w:vMerge w:val="restart"/>
            <w:tcBorders>
              <w:top w:val="single" w:color="auto" w:sz="4" w:space="0"/>
              <w:left w:val="single" w:color="auto" w:sz="4" w:space="0"/>
              <w:right w:val="single" w:color="auto" w:sz="4" w:space="0"/>
            </w:tcBorders>
            <w:vAlign w:val="center"/>
          </w:tcPr>
          <w:p>
            <w:pPr>
              <w:pStyle w:val="75"/>
              <w:spacing w:line="240" w:lineRule="auto"/>
              <w:rPr>
                <w:b/>
              </w:rPr>
            </w:pPr>
            <w:r>
              <w:rPr>
                <w:rFonts w:hint="eastAsia"/>
                <w:b/>
              </w:rPr>
              <w:t>合计</w:t>
            </w:r>
          </w:p>
        </w:tc>
        <w:tc>
          <w:tcPr>
            <w:tcW w:w="1795" w:type="dxa"/>
            <w:vMerge w:val="restart"/>
            <w:tcBorders>
              <w:top w:val="single" w:color="auto" w:sz="4" w:space="0"/>
              <w:left w:val="single" w:color="auto" w:sz="4" w:space="0"/>
              <w:right w:val="single" w:color="auto" w:sz="4" w:space="0"/>
            </w:tcBorders>
            <w:vAlign w:val="center"/>
          </w:tcPr>
          <w:p>
            <w:pPr>
              <w:pStyle w:val="75"/>
              <w:spacing w:line="240" w:lineRule="auto"/>
              <w:rPr>
                <w:b/>
              </w:rPr>
            </w:pPr>
            <w:r>
              <w:rPr>
                <w:rFonts w:hint="eastAsia"/>
                <w:b/>
              </w:rPr>
              <w:t>沿海二级渔港</w:t>
            </w:r>
          </w:p>
        </w:tc>
        <w:tc>
          <w:tcPr>
            <w:tcW w:w="1679" w:type="dxa"/>
            <w:vMerge w:val="restart"/>
            <w:tcBorders>
              <w:top w:val="single" w:color="auto" w:sz="4" w:space="0"/>
              <w:left w:val="nil"/>
              <w:right w:val="single" w:color="auto" w:sz="4" w:space="0"/>
            </w:tcBorders>
            <w:vAlign w:val="center"/>
          </w:tcPr>
          <w:p>
            <w:pPr>
              <w:pStyle w:val="75"/>
              <w:spacing w:line="240" w:lineRule="auto"/>
              <w:rPr>
                <w:b/>
              </w:rPr>
            </w:pPr>
            <w:r>
              <w:rPr>
                <w:rFonts w:hint="eastAsia"/>
                <w:b/>
              </w:rPr>
              <w:t>避风锚地</w:t>
            </w:r>
          </w:p>
        </w:tc>
        <w:tc>
          <w:tcPr>
            <w:tcW w:w="8839" w:type="dxa"/>
            <w:gridSpan w:val="2"/>
            <w:tcBorders>
              <w:top w:val="single" w:color="auto" w:sz="4" w:space="0"/>
              <w:left w:val="nil"/>
              <w:bottom w:val="single" w:color="auto" w:sz="4" w:space="0"/>
              <w:right w:val="single" w:color="auto" w:sz="4" w:space="0"/>
            </w:tcBorders>
            <w:vAlign w:val="center"/>
          </w:tcPr>
          <w:p>
            <w:pPr>
              <w:pStyle w:val="75"/>
              <w:spacing w:line="240" w:lineRule="auto"/>
              <w:rPr>
                <w:b/>
              </w:rPr>
            </w:pPr>
            <w:r>
              <w:rPr>
                <w:rFonts w:hint="eastAsia"/>
                <w:b/>
              </w:rPr>
              <w:t>规划项目名称</w:t>
            </w:r>
          </w:p>
        </w:tc>
      </w:tr>
      <w:tr>
        <w:tblPrEx>
          <w:tblLayout w:type="fixed"/>
          <w:tblCellMar>
            <w:top w:w="0" w:type="dxa"/>
            <w:left w:w="108" w:type="dxa"/>
            <w:bottom w:w="0" w:type="dxa"/>
            <w:right w:w="108" w:type="dxa"/>
          </w:tblCellMar>
        </w:tblPrEx>
        <w:trPr>
          <w:trHeight w:val="397" w:hRule="atLeast"/>
        </w:trPr>
        <w:tc>
          <w:tcPr>
            <w:tcW w:w="1007" w:type="dxa"/>
            <w:vMerge w:val="continue"/>
            <w:tcBorders>
              <w:left w:val="single" w:color="auto" w:sz="4" w:space="0"/>
              <w:bottom w:val="single" w:color="auto" w:sz="4" w:space="0"/>
              <w:right w:val="single" w:color="auto" w:sz="4" w:space="0"/>
            </w:tcBorders>
            <w:vAlign w:val="center"/>
          </w:tcPr>
          <w:p>
            <w:pPr>
              <w:pStyle w:val="75"/>
              <w:spacing w:line="240" w:lineRule="auto"/>
              <w:rPr>
                <w:rFonts w:hint="eastAsia" w:hAnsi="宋体" w:cs="宋体"/>
                <w:b/>
                <w:kern w:val="0"/>
              </w:rPr>
            </w:pPr>
          </w:p>
        </w:tc>
        <w:tc>
          <w:tcPr>
            <w:tcW w:w="854" w:type="dxa"/>
            <w:vMerge w:val="continue"/>
            <w:tcBorders>
              <w:left w:val="single" w:color="auto" w:sz="4" w:space="0"/>
              <w:bottom w:val="single" w:color="auto" w:sz="4" w:space="0"/>
              <w:right w:val="single" w:color="auto" w:sz="4" w:space="0"/>
            </w:tcBorders>
            <w:vAlign w:val="center"/>
          </w:tcPr>
          <w:p>
            <w:pPr>
              <w:pStyle w:val="75"/>
              <w:spacing w:line="240" w:lineRule="auto"/>
              <w:rPr>
                <w:rFonts w:hint="eastAsia"/>
                <w:b/>
              </w:rPr>
            </w:pPr>
          </w:p>
        </w:tc>
        <w:tc>
          <w:tcPr>
            <w:tcW w:w="1795" w:type="dxa"/>
            <w:vMerge w:val="continue"/>
            <w:tcBorders>
              <w:left w:val="single" w:color="auto" w:sz="4" w:space="0"/>
              <w:bottom w:val="single" w:color="auto" w:sz="4" w:space="0"/>
              <w:right w:val="single" w:color="auto" w:sz="4" w:space="0"/>
            </w:tcBorders>
            <w:vAlign w:val="center"/>
          </w:tcPr>
          <w:p>
            <w:pPr>
              <w:pStyle w:val="75"/>
              <w:spacing w:line="240" w:lineRule="auto"/>
              <w:rPr>
                <w:rFonts w:hint="eastAsia"/>
                <w:b/>
              </w:rPr>
            </w:pPr>
          </w:p>
        </w:tc>
        <w:tc>
          <w:tcPr>
            <w:tcW w:w="1679" w:type="dxa"/>
            <w:vMerge w:val="continue"/>
            <w:tcBorders>
              <w:left w:val="nil"/>
              <w:bottom w:val="single" w:color="auto" w:sz="4" w:space="0"/>
              <w:right w:val="single" w:color="auto" w:sz="4" w:space="0"/>
            </w:tcBorders>
            <w:vAlign w:val="center"/>
          </w:tcPr>
          <w:p>
            <w:pPr>
              <w:pStyle w:val="75"/>
              <w:spacing w:line="240" w:lineRule="auto"/>
              <w:rPr>
                <w:rFonts w:hint="eastAsia"/>
                <w:b/>
              </w:rPr>
            </w:pPr>
          </w:p>
        </w:tc>
        <w:tc>
          <w:tcPr>
            <w:tcW w:w="4553" w:type="dxa"/>
            <w:tcBorders>
              <w:top w:val="single" w:color="auto" w:sz="4" w:space="0"/>
              <w:left w:val="nil"/>
              <w:bottom w:val="single" w:color="auto" w:sz="4" w:space="0"/>
              <w:right w:val="single" w:color="auto" w:sz="4" w:space="0"/>
            </w:tcBorders>
            <w:vAlign w:val="center"/>
          </w:tcPr>
          <w:p>
            <w:pPr>
              <w:pStyle w:val="75"/>
              <w:spacing w:line="240" w:lineRule="auto"/>
              <w:rPr>
                <w:b/>
              </w:rPr>
            </w:pPr>
            <w:r>
              <w:rPr>
                <w:rFonts w:hAnsi="宋体" w:cs="宋体"/>
                <w:b/>
                <w:kern w:val="0"/>
              </w:rPr>
              <w:t>沿海二级渔港</w:t>
            </w:r>
          </w:p>
        </w:tc>
        <w:tc>
          <w:tcPr>
            <w:tcW w:w="4286" w:type="dxa"/>
            <w:tcBorders>
              <w:top w:val="single" w:color="auto" w:sz="4" w:space="0"/>
              <w:left w:val="nil"/>
              <w:bottom w:val="single" w:color="auto" w:sz="4" w:space="0"/>
              <w:right w:val="single" w:color="auto" w:sz="4" w:space="0"/>
            </w:tcBorders>
            <w:vAlign w:val="center"/>
          </w:tcPr>
          <w:p>
            <w:pPr>
              <w:pStyle w:val="75"/>
              <w:spacing w:line="240" w:lineRule="auto"/>
              <w:rPr>
                <w:b/>
              </w:rPr>
            </w:pPr>
            <w:r>
              <w:rPr>
                <w:rFonts w:hAnsi="宋体" w:cs="宋体"/>
                <w:b/>
                <w:kern w:val="0"/>
              </w:rPr>
              <w:t>避风锚地</w:t>
            </w:r>
          </w:p>
        </w:tc>
      </w:tr>
      <w:tr>
        <w:tblPrEx>
          <w:tblLayout w:type="fixed"/>
          <w:tblCellMar>
            <w:top w:w="0" w:type="dxa"/>
            <w:left w:w="108" w:type="dxa"/>
            <w:bottom w:w="0" w:type="dxa"/>
            <w:right w:w="108" w:type="dxa"/>
          </w:tblCellMar>
        </w:tblPrEx>
        <w:trPr>
          <w:trHeight w:val="397" w:hRule="atLeast"/>
        </w:trPr>
        <w:tc>
          <w:tcPr>
            <w:tcW w:w="1007" w:type="dxa"/>
            <w:tcBorders>
              <w:top w:val="nil"/>
              <w:left w:val="single" w:color="auto" w:sz="4" w:space="0"/>
              <w:bottom w:val="single" w:color="auto" w:sz="4" w:space="0"/>
              <w:right w:val="single" w:color="auto" w:sz="4" w:space="0"/>
            </w:tcBorders>
            <w:vAlign w:val="center"/>
          </w:tcPr>
          <w:p>
            <w:pPr>
              <w:pStyle w:val="75"/>
              <w:spacing w:line="240" w:lineRule="auto"/>
              <w:rPr>
                <w:rFonts w:hAnsi="宋体" w:cs="宋体"/>
                <w:b/>
              </w:rPr>
            </w:pPr>
            <w:r>
              <w:rPr>
                <w:rFonts w:hint="eastAsia"/>
                <w:b/>
              </w:rPr>
              <w:t>全省</w:t>
            </w:r>
          </w:p>
        </w:tc>
        <w:tc>
          <w:tcPr>
            <w:tcW w:w="854" w:type="dxa"/>
            <w:tcBorders>
              <w:top w:val="nil"/>
              <w:left w:val="single" w:color="auto" w:sz="4" w:space="0"/>
              <w:bottom w:val="single" w:color="auto" w:sz="4" w:space="0"/>
              <w:right w:val="single" w:color="auto" w:sz="4" w:space="0"/>
            </w:tcBorders>
            <w:vAlign w:val="center"/>
          </w:tcPr>
          <w:p>
            <w:pPr>
              <w:pStyle w:val="75"/>
              <w:spacing w:line="240" w:lineRule="auto"/>
              <w:rPr>
                <w:b/>
              </w:rPr>
            </w:pPr>
            <w:r>
              <w:rPr>
                <w:rFonts w:hint="eastAsia"/>
                <w:b/>
              </w:rPr>
              <w:t>23</w:t>
            </w:r>
          </w:p>
        </w:tc>
        <w:tc>
          <w:tcPr>
            <w:tcW w:w="1795" w:type="dxa"/>
            <w:tcBorders>
              <w:top w:val="nil"/>
              <w:left w:val="single" w:color="auto" w:sz="4" w:space="0"/>
              <w:bottom w:val="single" w:color="auto" w:sz="4" w:space="0"/>
              <w:right w:val="single" w:color="auto" w:sz="4" w:space="0"/>
            </w:tcBorders>
            <w:vAlign w:val="center"/>
          </w:tcPr>
          <w:p>
            <w:pPr>
              <w:pStyle w:val="75"/>
              <w:spacing w:line="240" w:lineRule="auto"/>
              <w:rPr>
                <w:b/>
              </w:rPr>
            </w:pPr>
            <w:r>
              <w:rPr>
                <w:rFonts w:hint="eastAsia"/>
                <w:b/>
              </w:rPr>
              <w:t>16</w:t>
            </w:r>
          </w:p>
        </w:tc>
        <w:tc>
          <w:tcPr>
            <w:tcW w:w="1679" w:type="dxa"/>
            <w:tcBorders>
              <w:top w:val="nil"/>
              <w:left w:val="nil"/>
              <w:bottom w:val="single" w:color="auto" w:sz="4" w:space="0"/>
              <w:right w:val="single" w:color="auto" w:sz="4" w:space="0"/>
            </w:tcBorders>
            <w:vAlign w:val="center"/>
          </w:tcPr>
          <w:p>
            <w:pPr>
              <w:pStyle w:val="75"/>
              <w:spacing w:line="240" w:lineRule="auto"/>
              <w:rPr>
                <w:b/>
              </w:rPr>
            </w:pPr>
            <w:r>
              <w:rPr>
                <w:rFonts w:hint="eastAsia"/>
                <w:b/>
              </w:rPr>
              <w:t>7</w:t>
            </w:r>
          </w:p>
        </w:tc>
        <w:tc>
          <w:tcPr>
            <w:tcW w:w="4553" w:type="dxa"/>
            <w:tcBorders>
              <w:top w:val="nil"/>
              <w:left w:val="nil"/>
              <w:bottom w:val="single" w:color="auto" w:sz="4" w:space="0"/>
              <w:right w:val="single" w:color="auto" w:sz="4" w:space="0"/>
            </w:tcBorders>
            <w:vAlign w:val="center"/>
          </w:tcPr>
          <w:p>
            <w:pPr>
              <w:pStyle w:val="75"/>
              <w:spacing w:line="240" w:lineRule="auto"/>
              <w:rPr>
                <w:rFonts w:hAnsi="宋体" w:cs="宋体"/>
                <w:b/>
                <w:kern w:val="0"/>
              </w:rPr>
            </w:pPr>
          </w:p>
        </w:tc>
        <w:tc>
          <w:tcPr>
            <w:tcW w:w="4286" w:type="dxa"/>
            <w:tcBorders>
              <w:top w:val="nil"/>
              <w:left w:val="nil"/>
              <w:bottom w:val="single" w:color="auto" w:sz="4" w:space="0"/>
              <w:right w:val="single" w:color="auto" w:sz="4" w:space="0"/>
            </w:tcBorders>
            <w:vAlign w:val="center"/>
          </w:tcPr>
          <w:p>
            <w:pPr>
              <w:pStyle w:val="75"/>
              <w:spacing w:line="240" w:lineRule="auto"/>
              <w:rPr>
                <w:rFonts w:hAnsi="宋体" w:cs="宋体"/>
                <w:b/>
                <w:kern w:val="0"/>
              </w:rPr>
            </w:pPr>
          </w:p>
        </w:tc>
      </w:tr>
      <w:tr>
        <w:tblPrEx>
          <w:tblLayout w:type="fixed"/>
          <w:tblCellMar>
            <w:top w:w="0" w:type="dxa"/>
            <w:left w:w="108" w:type="dxa"/>
            <w:bottom w:w="0" w:type="dxa"/>
            <w:right w:w="108" w:type="dxa"/>
          </w:tblCellMar>
        </w:tblPrEx>
        <w:trPr>
          <w:trHeight w:val="397" w:hRule="atLeast"/>
        </w:trPr>
        <w:tc>
          <w:tcPr>
            <w:tcW w:w="1007" w:type="dxa"/>
            <w:tcBorders>
              <w:top w:val="nil"/>
              <w:left w:val="single" w:color="auto" w:sz="4" w:space="0"/>
              <w:bottom w:val="single" w:color="auto" w:sz="4" w:space="0"/>
              <w:right w:val="single" w:color="auto" w:sz="4" w:space="0"/>
            </w:tcBorders>
            <w:vAlign w:val="center"/>
          </w:tcPr>
          <w:p>
            <w:pPr>
              <w:pStyle w:val="75"/>
              <w:spacing w:line="240" w:lineRule="auto"/>
            </w:pPr>
            <w:r>
              <w:rPr>
                <w:rFonts w:hint="eastAsia"/>
              </w:rPr>
              <w:t>宁德市</w:t>
            </w:r>
          </w:p>
        </w:tc>
        <w:tc>
          <w:tcPr>
            <w:tcW w:w="854" w:type="dxa"/>
            <w:tcBorders>
              <w:top w:val="nil"/>
              <w:left w:val="single" w:color="auto" w:sz="4" w:space="0"/>
              <w:bottom w:val="single" w:color="auto" w:sz="4" w:space="0"/>
              <w:right w:val="single" w:color="auto" w:sz="4" w:space="0"/>
            </w:tcBorders>
            <w:vAlign w:val="center"/>
          </w:tcPr>
          <w:p>
            <w:pPr>
              <w:pStyle w:val="75"/>
              <w:spacing w:line="240" w:lineRule="auto"/>
            </w:pPr>
            <w:r>
              <w:rPr>
                <w:rFonts w:hint="eastAsia"/>
              </w:rPr>
              <w:t>12</w:t>
            </w:r>
          </w:p>
        </w:tc>
        <w:tc>
          <w:tcPr>
            <w:tcW w:w="1795" w:type="dxa"/>
            <w:tcBorders>
              <w:top w:val="nil"/>
              <w:left w:val="single" w:color="auto" w:sz="4" w:space="0"/>
              <w:bottom w:val="single" w:color="auto" w:sz="4" w:space="0"/>
              <w:right w:val="single" w:color="auto" w:sz="4" w:space="0"/>
            </w:tcBorders>
            <w:vAlign w:val="center"/>
          </w:tcPr>
          <w:p>
            <w:pPr>
              <w:pStyle w:val="75"/>
              <w:spacing w:line="240" w:lineRule="auto"/>
            </w:pPr>
            <w:r>
              <w:rPr>
                <w:rFonts w:hint="eastAsia"/>
              </w:rPr>
              <w:t>7</w:t>
            </w:r>
          </w:p>
        </w:tc>
        <w:tc>
          <w:tcPr>
            <w:tcW w:w="1679" w:type="dxa"/>
            <w:tcBorders>
              <w:top w:val="nil"/>
              <w:left w:val="nil"/>
              <w:bottom w:val="single" w:color="auto" w:sz="4" w:space="0"/>
              <w:right w:val="single" w:color="auto" w:sz="4" w:space="0"/>
            </w:tcBorders>
            <w:vAlign w:val="center"/>
          </w:tcPr>
          <w:p>
            <w:pPr>
              <w:pStyle w:val="75"/>
              <w:spacing w:line="240" w:lineRule="auto"/>
            </w:pPr>
            <w:r>
              <w:rPr>
                <w:rFonts w:hint="eastAsia"/>
              </w:rPr>
              <w:t>5</w:t>
            </w:r>
          </w:p>
        </w:tc>
        <w:tc>
          <w:tcPr>
            <w:tcW w:w="4553" w:type="dxa"/>
            <w:tcBorders>
              <w:top w:val="nil"/>
              <w:left w:val="nil"/>
              <w:bottom w:val="single" w:color="auto" w:sz="4" w:space="0"/>
              <w:right w:val="single" w:color="auto" w:sz="4" w:space="0"/>
            </w:tcBorders>
            <w:vAlign w:val="center"/>
          </w:tcPr>
          <w:p>
            <w:pPr>
              <w:pStyle w:val="75"/>
              <w:spacing w:line="240" w:lineRule="auto"/>
              <w:jc w:val="left"/>
              <w:rPr>
                <w:rFonts w:hAnsi="宋体" w:cs="宋体"/>
                <w:kern w:val="0"/>
              </w:rPr>
            </w:pPr>
            <w:r>
              <w:rPr>
                <w:rFonts w:hint="eastAsia" w:hAnsi="宋体" w:cs="宋体"/>
                <w:kern w:val="0"/>
              </w:rPr>
              <w:t>福鼎市龙安二级渔港、</w:t>
            </w:r>
          </w:p>
          <w:p>
            <w:pPr>
              <w:pStyle w:val="75"/>
              <w:spacing w:line="240" w:lineRule="auto"/>
              <w:jc w:val="left"/>
            </w:pPr>
            <w:r>
              <w:rPr>
                <w:rFonts w:hint="eastAsia"/>
              </w:rPr>
              <w:t>霞浦县溪南镇七星二级渔港、</w:t>
            </w:r>
          </w:p>
          <w:p>
            <w:pPr>
              <w:pStyle w:val="75"/>
              <w:spacing w:line="240" w:lineRule="auto"/>
              <w:jc w:val="left"/>
            </w:pPr>
            <w:r>
              <w:rPr>
                <w:rFonts w:hint="eastAsia"/>
              </w:rPr>
              <w:t>霞浦县长春镇界石二级渔港、</w:t>
            </w:r>
          </w:p>
          <w:p>
            <w:pPr>
              <w:pStyle w:val="75"/>
              <w:spacing w:line="240" w:lineRule="auto"/>
              <w:jc w:val="left"/>
            </w:pPr>
            <w:r>
              <w:rPr>
                <w:rFonts w:hint="eastAsia"/>
              </w:rPr>
              <w:t>霞浦县赤沙二级渔港、</w:t>
            </w:r>
          </w:p>
          <w:p>
            <w:pPr>
              <w:pStyle w:val="75"/>
              <w:spacing w:line="240" w:lineRule="auto"/>
              <w:jc w:val="left"/>
            </w:pPr>
            <w:r>
              <w:rPr>
                <w:rFonts w:hint="eastAsia"/>
              </w:rPr>
              <w:t>霞浦四门桥二级渔港、</w:t>
            </w:r>
          </w:p>
          <w:p>
            <w:pPr>
              <w:pStyle w:val="75"/>
              <w:spacing w:line="240" w:lineRule="auto"/>
              <w:jc w:val="left"/>
            </w:pPr>
            <w:r>
              <w:rPr>
                <w:rFonts w:hint="eastAsia"/>
              </w:rPr>
              <w:t>福安市下白石镇宁海渔港、</w:t>
            </w:r>
          </w:p>
          <w:p>
            <w:pPr>
              <w:pStyle w:val="75"/>
              <w:spacing w:line="240" w:lineRule="auto"/>
              <w:jc w:val="left"/>
              <w:rPr>
                <w:rFonts w:hAnsi="宋体" w:cs="宋体"/>
                <w:kern w:val="0"/>
              </w:rPr>
            </w:pPr>
            <w:r>
              <w:rPr>
                <w:rFonts w:hint="eastAsia"/>
              </w:rPr>
              <w:t>福安市下白石镇东岐二级渔港</w:t>
            </w:r>
          </w:p>
        </w:tc>
        <w:tc>
          <w:tcPr>
            <w:tcW w:w="4286" w:type="dxa"/>
            <w:tcBorders>
              <w:top w:val="nil"/>
              <w:left w:val="nil"/>
              <w:bottom w:val="single" w:color="auto" w:sz="4" w:space="0"/>
              <w:right w:val="single" w:color="auto" w:sz="4" w:space="0"/>
            </w:tcBorders>
            <w:vAlign w:val="center"/>
          </w:tcPr>
          <w:p>
            <w:pPr>
              <w:pStyle w:val="75"/>
              <w:spacing w:line="240" w:lineRule="auto"/>
              <w:jc w:val="left"/>
            </w:pPr>
            <w:r>
              <w:rPr>
                <w:rFonts w:hint="eastAsia"/>
              </w:rPr>
              <w:t>福鼎市沙埕镇岙底避风锚地、</w:t>
            </w:r>
          </w:p>
          <w:p>
            <w:pPr>
              <w:pStyle w:val="75"/>
              <w:spacing w:line="240" w:lineRule="auto"/>
              <w:jc w:val="left"/>
            </w:pPr>
            <w:r>
              <w:rPr>
                <w:rFonts w:hint="eastAsia"/>
              </w:rPr>
              <w:t>福鼎市台山岛避风锚地、</w:t>
            </w:r>
          </w:p>
          <w:p>
            <w:pPr>
              <w:pStyle w:val="75"/>
              <w:spacing w:line="240" w:lineRule="auto"/>
              <w:jc w:val="left"/>
            </w:pPr>
            <w:r>
              <w:rPr>
                <w:rFonts w:hint="eastAsia"/>
              </w:rPr>
              <w:t>霞浦外浒避风锚地、</w:t>
            </w:r>
          </w:p>
          <w:p>
            <w:pPr>
              <w:pStyle w:val="75"/>
              <w:spacing w:line="240" w:lineRule="auto"/>
              <w:jc w:val="left"/>
            </w:pPr>
            <w:r>
              <w:rPr>
                <w:rFonts w:hint="eastAsia"/>
              </w:rPr>
              <w:t>蕉城区三都镇坪岗避风锚地、</w:t>
            </w:r>
          </w:p>
          <w:p>
            <w:pPr>
              <w:pStyle w:val="75"/>
              <w:spacing w:line="240" w:lineRule="auto"/>
              <w:jc w:val="left"/>
              <w:rPr>
                <w:rFonts w:hAnsi="宋体" w:cs="宋体"/>
                <w:kern w:val="0"/>
              </w:rPr>
            </w:pPr>
            <w:r>
              <w:rPr>
                <w:rFonts w:hint="eastAsia"/>
              </w:rPr>
              <w:t>蕉城区八都镇下汐避风锚地</w:t>
            </w:r>
          </w:p>
        </w:tc>
      </w:tr>
      <w:tr>
        <w:tblPrEx>
          <w:tblLayout w:type="fixed"/>
          <w:tblCellMar>
            <w:top w:w="0" w:type="dxa"/>
            <w:left w:w="108" w:type="dxa"/>
            <w:bottom w:w="0" w:type="dxa"/>
            <w:right w:w="108" w:type="dxa"/>
          </w:tblCellMar>
        </w:tblPrEx>
        <w:trPr>
          <w:trHeight w:val="397" w:hRule="atLeast"/>
        </w:trPr>
        <w:tc>
          <w:tcPr>
            <w:tcW w:w="1007" w:type="dxa"/>
            <w:tcBorders>
              <w:top w:val="nil"/>
              <w:left w:val="single" w:color="auto" w:sz="4" w:space="0"/>
              <w:bottom w:val="single" w:color="auto" w:sz="4" w:space="0"/>
              <w:right w:val="single" w:color="auto" w:sz="4" w:space="0"/>
            </w:tcBorders>
            <w:vAlign w:val="center"/>
          </w:tcPr>
          <w:p>
            <w:pPr>
              <w:pStyle w:val="75"/>
              <w:spacing w:line="240" w:lineRule="auto"/>
            </w:pPr>
            <w:r>
              <w:rPr>
                <w:rFonts w:hint="eastAsia"/>
              </w:rPr>
              <w:t>福州市</w:t>
            </w:r>
          </w:p>
        </w:tc>
        <w:tc>
          <w:tcPr>
            <w:tcW w:w="854" w:type="dxa"/>
            <w:tcBorders>
              <w:top w:val="nil"/>
              <w:left w:val="single" w:color="auto" w:sz="4" w:space="0"/>
              <w:bottom w:val="single" w:color="auto" w:sz="4" w:space="0"/>
              <w:right w:val="single" w:color="auto" w:sz="4" w:space="0"/>
            </w:tcBorders>
            <w:vAlign w:val="center"/>
          </w:tcPr>
          <w:p>
            <w:pPr>
              <w:pStyle w:val="75"/>
              <w:spacing w:line="240" w:lineRule="auto"/>
            </w:pPr>
            <w:r>
              <w:rPr>
                <w:rFonts w:hint="eastAsia"/>
              </w:rPr>
              <w:t>5</w:t>
            </w:r>
          </w:p>
        </w:tc>
        <w:tc>
          <w:tcPr>
            <w:tcW w:w="1795" w:type="dxa"/>
            <w:tcBorders>
              <w:top w:val="nil"/>
              <w:left w:val="single" w:color="auto" w:sz="4" w:space="0"/>
              <w:bottom w:val="single" w:color="auto" w:sz="4" w:space="0"/>
              <w:right w:val="single" w:color="auto" w:sz="4" w:space="0"/>
            </w:tcBorders>
            <w:vAlign w:val="center"/>
          </w:tcPr>
          <w:p>
            <w:pPr>
              <w:pStyle w:val="75"/>
              <w:spacing w:line="240" w:lineRule="auto"/>
            </w:pPr>
            <w:r>
              <w:rPr>
                <w:rFonts w:hint="eastAsia"/>
              </w:rPr>
              <w:t>4</w:t>
            </w:r>
          </w:p>
        </w:tc>
        <w:tc>
          <w:tcPr>
            <w:tcW w:w="1679" w:type="dxa"/>
            <w:tcBorders>
              <w:top w:val="nil"/>
              <w:left w:val="nil"/>
              <w:bottom w:val="single" w:color="auto" w:sz="4" w:space="0"/>
              <w:right w:val="single" w:color="auto" w:sz="4" w:space="0"/>
            </w:tcBorders>
            <w:vAlign w:val="center"/>
          </w:tcPr>
          <w:p>
            <w:pPr>
              <w:pStyle w:val="75"/>
              <w:spacing w:line="240" w:lineRule="auto"/>
            </w:pPr>
            <w:r>
              <w:rPr>
                <w:rFonts w:hint="eastAsia"/>
              </w:rPr>
              <w:t>1</w:t>
            </w:r>
          </w:p>
        </w:tc>
        <w:tc>
          <w:tcPr>
            <w:tcW w:w="4553" w:type="dxa"/>
            <w:tcBorders>
              <w:top w:val="nil"/>
              <w:left w:val="nil"/>
              <w:bottom w:val="single" w:color="auto" w:sz="4" w:space="0"/>
              <w:right w:val="single" w:color="auto" w:sz="4" w:space="0"/>
            </w:tcBorders>
            <w:vAlign w:val="center"/>
          </w:tcPr>
          <w:p>
            <w:pPr>
              <w:pStyle w:val="75"/>
              <w:spacing w:line="240" w:lineRule="auto"/>
              <w:jc w:val="left"/>
            </w:pPr>
            <w:r>
              <w:rPr>
                <w:rFonts w:hint="eastAsia"/>
              </w:rPr>
              <w:t>罗源县鉴江镇圣塘二级渔港、</w:t>
            </w:r>
          </w:p>
          <w:p>
            <w:pPr>
              <w:pStyle w:val="75"/>
              <w:spacing w:line="240" w:lineRule="auto"/>
              <w:jc w:val="left"/>
            </w:pPr>
            <w:r>
              <w:rPr>
                <w:rFonts w:hint="eastAsia"/>
              </w:rPr>
              <w:t>连江县下宫乡上澳渔港、</w:t>
            </w:r>
          </w:p>
          <w:p>
            <w:pPr>
              <w:pStyle w:val="75"/>
              <w:spacing w:line="240" w:lineRule="auto"/>
              <w:jc w:val="left"/>
            </w:pPr>
            <w:r>
              <w:rPr>
                <w:rFonts w:hint="eastAsia"/>
              </w:rPr>
              <w:t>福清市东翰镇莲峰二级渔港、</w:t>
            </w:r>
          </w:p>
          <w:p>
            <w:pPr>
              <w:pStyle w:val="75"/>
              <w:spacing w:line="240" w:lineRule="auto"/>
              <w:jc w:val="left"/>
            </w:pPr>
            <w:r>
              <w:rPr>
                <w:rFonts w:hint="eastAsia"/>
              </w:rPr>
              <w:t>福清市沙埔镇牛头尾二级渔港</w:t>
            </w:r>
          </w:p>
        </w:tc>
        <w:tc>
          <w:tcPr>
            <w:tcW w:w="4286" w:type="dxa"/>
            <w:tcBorders>
              <w:top w:val="nil"/>
              <w:left w:val="nil"/>
              <w:bottom w:val="single" w:color="auto" w:sz="4" w:space="0"/>
              <w:right w:val="single" w:color="auto" w:sz="4" w:space="0"/>
            </w:tcBorders>
            <w:vAlign w:val="center"/>
          </w:tcPr>
          <w:p>
            <w:pPr>
              <w:pStyle w:val="75"/>
              <w:spacing w:line="240" w:lineRule="auto"/>
              <w:jc w:val="left"/>
            </w:pPr>
            <w:r>
              <w:rPr>
                <w:rFonts w:hint="eastAsia"/>
              </w:rPr>
              <w:t>连江沙澳避风锚地</w:t>
            </w:r>
          </w:p>
        </w:tc>
      </w:tr>
      <w:tr>
        <w:tblPrEx>
          <w:tblLayout w:type="fixed"/>
        </w:tblPrEx>
        <w:trPr>
          <w:trHeight w:val="397" w:hRule="atLeast"/>
        </w:trPr>
        <w:tc>
          <w:tcPr>
            <w:tcW w:w="1007" w:type="dxa"/>
            <w:tcBorders>
              <w:top w:val="single" w:color="auto" w:sz="4" w:space="0"/>
              <w:left w:val="single" w:color="auto" w:sz="4" w:space="0"/>
              <w:bottom w:val="single" w:color="auto" w:sz="4" w:space="0"/>
              <w:right w:val="single" w:color="auto" w:sz="4" w:space="0"/>
            </w:tcBorders>
            <w:vAlign w:val="center"/>
          </w:tcPr>
          <w:p>
            <w:pPr>
              <w:pStyle w:val="75"/>
              <w:spacing w:line="240" w:lineRule="auto"/>
            </w:pPr>
            <w:r>
              <w:rPr>
                <w:rFonts w:hint="eastAsia"/>
              </w:rPr>
              <w:t>漳州市</w:t>
            </w:r>
          </w:p>
        </w:tc>
        <w:tc>
          <w:tcPr>
            <w:tcW w:w="854" w:type="dxa"/>
            <w:tcBorders>
              <w:top w:val="single" w:color="auto" w:sz="4" w:space="0"/>
              <w:left w:val="single" w:color="auto" w:sz="4" w:space="0"/>
              <w:bottom w:val="single" w:color="auto" w:sz="4" w:space="0"/>
              <w:right w:val="single" w:color="auto" w:sz="4" w:space="0"/>
            </w:tcBorders>
            <w:vAlign w:val="center"/>
          </w:tcPr>
          <w:p>
            <w:pPr>
              <w:pStyle w:val="75"/>
              <w:spacing w:line="240" w:lineRule="auto"/>
            </w:pPr>
            <w:r>
              <w:rPr>
                <w:rFonts w:hint="eastAsia"/>
              </w:rPr>
              <w:t>6</w:t>
            </w:r>
          </w:p>
        </w:tc>
        <w:tc>
          <w:tcPr>
            <w:tcW w:w="1795" w:type="dxa"/>
            <w:tcBorders>
              <w:top w:val="single" w:color="auto" w:sz="4" w:space="0"/>
              <w:left w:val="single" w:color="auto" w:sz="4" w:space="0"/>
              <w:bottom w:val="single" w:color="auto" w:sz="4" w:space="0"/>
              <w:right w:val="single" w:color="auto" w:sz="4" w:space="0"/>
            </w:tcBorders>
            <w:vAlign w:val="center"/>
          </w:tcPr>
          <w:p>
            <w:pPr>
              <w:pStyle w:val="75"/>
              <w:spacing w:line="240" w:lineRule="auto"/>
            </w:pPr>
            <w:r>
              <w:rPr>
                <w:rFonts w:hint="eastAsia"/>
              </w:rPr>
              <w:t>5</w:t>
            </w:r>
          </w:p>
        </w:tc>
        <w:tc>
          <w:tcPr>
            <w:tcW w:w="1679" w:type="dxa"/>
            <w:tcBorders>
              <w:top w:val="single" w:color="auto" w:sz="4" w:space="0"/>
              <w:left w:val="nil"/>
              <w:bottom w:val="single" w:color="auto" w:sz="4" w:space="0"/>
              <w:right w:val="single" w:color="auto" w:sz="4" w:space="0"/>
            </w:tcBorders>
            <w:vAlign w:val="center"/>
          </w:tcPr>
          <w:p>
            <w:pPr>
              <w:pStyle w:val="75"/>
              <w:spacing w:line="240" w:lineRule="auto"/>
            </w:pPr>
            <w:r>
              <w:rPr>
                <w:rFonts w:hint="eastAsia"/>
              </w:rPr>
              <w:t>1</w:t>
            </w:r>
          </w:p>
        </w:tc>
        <w:tc>
          <w:tcPr>
            <w:tcW w:w="4553" w:type="dxa"/>
            <w:tcBorders>
              <w:top w:val="single" w:color="auto" w:sz="4" w:space="0"/>
              <w:left w:val="nil"/>
              <w:bottom w:val="single" w:color="auto" w:sz="4" w:space="0"/>
              <w:right w:val="single" w:color="auto" w:sz="4" w:space="0"/>
            </w:tcBorders>
            <w:vAlign w:val="center"/>
          </w:tcPr>
          <w:p>
            <w:pPr>
              <w:pStyle w:val="75"/>
              <w:spacing w:line="240" w:lineRule="auto"/>
              <w:jc w:val="left"/>
            </w:pPr>
            <w:r>
              <w:rPr>
                <w:rFonts w:hint="eastAsia"/>
              </w:rPr>
              <w:t>龙海浯屿二级渔港、</w:t>
            </w:r>
          </w:p>
          <w:p>
            <w:pPr>
              <w:pStyle w:val="75"/>
              <w:spacing w:line="240" w:lineRule="auto"/>
              <w:jc w:val="left"/>
            </w:pPr>
            <w:r>
              <w:rPr>
                <w:rFonts w:hint="eastAsia"/>
              </w:rPr>
              <w:t>漳浦县霞美镇白石渔港、</w:t>
            </w:r>
          </w:p>
          <w:p>
            <w:pPr>
              <w:pStyle w:val="75"/>
              <w:spacing w:line="240" w:lineRule="auto"/>
              <w:jc w:val="left"/>
            </w:pPr>
            <w:r>
              <w:rPr>
                <w:rFonts w:hint="eastAsia"/>
              </w:rPr>
              <w:t>漳浦县沙西镇下寨渔港、</w:t>
            </w:r>
          </w:p>
          <w:p>
            <w:pPr>
              <w:pStyle w:val="75"/>
              <w:spacing w:line="240" w:lineRule="auto"/>
              <w:jc w:val="left"/>
            </w:pPr>
            <w:r>
              <w:rPr>
                <w:rFonts w:hint="eastAsia"/>
              </w:rPr>
              <w:t>云霄县东厦镇长洋二级渔港、</w:t>
            </w:r>
          </w:p>
          <w:p>
            <w:pPr>
              <w:pStyle w:val="75"/>
              <w:spacing w:line="240" w:lineRule="auto"/>
              <w:jc w:val="left"/>
            </w:pPr>
            <w:r>
              <w:rPr>
                <w:rFonts w:hint="eastAsia"/>
              </w:rPr>
              <w:t>诏安县四都镇西梧二级渔港</w:t>
            </w:r>
          </w:p>
        </w:tc>
        <w:tc>
          <w:tcPr>
            <w:tcW w:w="4286" w:type="dxa"/>
            <w:tcBorders>
              <w:top w:val="single" w:color="auto" w:sz="4" w:space="0"/>
              <w:left w:val="nil"/>
              <w:bottom w:val="single" w:color="auto" w:sz="4" w:space="0"/>
              <w:right w:val="single" w:color="auto" w:sz="4" w:space="0"/>
            </w:tcBorders>
            <w:vAlign w:val="center"/>
          </w:tcPr>
          <w:p>
            <w:pPr>
              <w:pStyle w:val="75"/>
              <w:spacing w:line="240" w:lineRule="auto"/>
              <w:jc w:val="left"/>
            </w:pPr>
            <w:r>
              <w:rPr>
                <w:rFonts w:hint="eastAsia"/>
              </w:rPr>
              <w:t>东山县杏陈镇大产避风锚地</w:t>
            </w:r>
          </w:p>
        </w:tc>
      </w:tr>
    </w:tbl>
    <w:p>
      <w:pPr>
        <w:ind w:firstLine="560"/>
        <w:sectPr>
          <w:pgSz w:w="16838" w:h="11906" w:orient="landscape"/>
          <w:pgMar w:top="1800" w:right="1440" w:bottom="1800" w:left="1440" w:header="851" w:footer="992" w:gutter="0"/>
          <w:cols w:space="425" w:num="1"/>
          <w:docGrid w:type="lines" w:linePitch="381" w:charSpace="0"/>
        </w:sectPr>
      </w:pPr>
    </w:p>
    <w:p>
      <w:pPr>
        <w:ind w:firstLine="0" w:firstLineChars="0"/>
        <w:jc w:val="both"/>
      </w:pPr>
    </w:p>
    <w:sectPr>
      <w:pgSz w:w="11906" w:h="16838"/>
      <w:pgMar w:top="1440" w:right="1800" w:bottom="1440" w:left="180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r>
      <w:fldChar w:fldCharType="begin"/>
    </w:r>
    <w:r>
      <w:instrText xml:space="preserve">PAGE   \* MERGEFORMAT</w:instrText>
    </w:r>
    <w:r>
      <w:fldChar w:fldCharType="separate"/>
    </w:r>
    <w:r>
      <w:rPr>
        <w:lang w:val="zh-CN"/>
      </w:rPr>
      <w:t>27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A2025"/>
    <w:multiLevelType w:val="multilevel"/>
    <w:tmpl w:val="6CEA2025"/>
    <w:lvl w:ilvl="0" w:tentative="0">
      <w:start w:val="1"/>
      <w:numFmt w:val="none"/>
      <w:pStyle w:val="79"/>
      <w:suff w:val="nothing"/>
      <w:lvlText w:val="%1"/>
      <w:lvlJc w:val="left"/>
      <w:pPr>
        <w:ind w:left="0" w:firstLine="0"/>
      </w:pPr>
      <w:rPr>
        <w:rFonts w:hint="default" w:ascii="Times New Roman" w:hAnsi="Times New Roman"/>
        <w:b/>
        <w:i w:val="0"/>
        <w:sz w:val="21"/>
      </w:rPr>
    </w:lvl>
    <w:lvl w:ilvl="1" w:tentative="0">
      <w:start w:val="1"/>
      <w:numFmt w:val="decimal"/>
      <w:pStyle w:val="80"/>
      <w:suff w:val="nothing"/>
      <w:lvlText w:val="%1%2　"/>
      <w:lvlJc w:val="left"/>
      <w:pPr>
        <w:ind w:left="0" w:firstLine="0"/>
      </w:pPr>
      <w:rPr>
        <w:rFonts w:hint="eastAsia" w:ascii="黑体" w:hAnsi="Times New Roman" w:eastAsia="黑体"/>
        <w:b w:val="0"/>
        <w:i w:val="0"/>
        <w:sz w:val="21"/>
      </w:rPr>
    </w:lvl>
    <w:lvl w:ilvl="2" w:tentative="0">
      <w:start w:val="1"/>
      <w:numFmt w:val="decimal"/>
      <w:pStyle w:val="81"/>
      <w:suff w:val="nothing"/>
      <w:lvlText w:val="%1%2.%3　"/>
      <w:lvlJc w:val="left"/>
      <w:pPr>
        <w:ind w:left="0" w:firstLine="0"/>
      </w:pPr>
      <w:rPr>
        <w:rFonts w:hint="eastAsia" w:ascii="黑体" w:hAnsi="Times New Roman" w:eastAsia="黑体"/>
        <w:b w:val="0"/>
        <w:i w:val="0"/>
        <w:sz w:val="21"/>
      </w:rPr>
    </w:lvl>
    <w:lvl w:ilvl="3" w:tentative="0">
      <w:start w:val="1"/>
      <w:numFmt w:val="decimal"/>
      <w:pStyle w:val="82"/>
      <w:suff w:val="nothing"/>
      <w:lvlText w:val="%1%2.%3.%4　"/>
      <w:lvlJc w:val="left"/>
      <w:pPr>
        <w:ind w:left="0" w:firstLine="0"/>
      </w:pPr>
      <w:rPr>
        <w:rFonts w:hint="eastAsia" w:ascii="黑体" w:hAnsi="Times New Roman" w:eastAsia="黑体"/>
        <w:b w:val="0"/>
        <w:i w:val="0"/>
        <w:sz w:val="21"/>
      </w:rPr>
    </w:lvl>
    <w:lvl w:ilvl="4" w:tentative="0">
      <w:start w:val="1"/>
      <w:numFmt w:val="decimal"/>
      <w:pStyle w:val="83"/>
      <w:suff w:val="nothing"/>
      <w:lvlText w:val="%1%2.%3.%4.%5　"/>
      <w:lvlJc w:val="left"/>
      <w:pPr>
        <w:ind w:left="0" w:firstLine="0"/>
      </w:pPr>
      <w:rPr>
        <w:rFonts w:hint="eastAsia" w:ascii="黑体" w:hAnsi="Times New Roman" w:eastAsia="黑体"/>
        <w:b w:val="0"/>
        <w:i w:val="0"/>
        <w:sz w:val="21"/>
      </w:rPr>
    </w:lvl>
    <w:lvl w:ilvl="5" w:tentative="0">
      <w:start w:val="1"/>
      <w:numFmt w:val="decimal"/>
      <w:pStyle w:val="84"/>
      <w:suff w:val="nothing"/>
      <w:lvlText w:val="%1%2.%3.%4.%5.%6　"/>
      <w:lvlJc w:val="left"/>
      <w:pPr>
        <w:ind w:left="0" w:firstLine="0"/>
      </w:pPr>
      <w:rPr>
        <w:rFonts w:hint="eastAsia" w:ascii="黑体" w:hAnsi="Times New Roman" w:eastAsia="黑体"/>
        <w:b w:val="0"/>
        <w:i w:val="0"/>
        <w:sz w:val="21"/>
      </w:rPr>
    </w:lvl>
    <w:lvl w:ilvl="6" w:tentative="0">
      <w:start w:val="1"/>
      <w:numFmt w:val="decimal"/>
      <w:pStyle w:val="8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revisionView w:markup="0"/>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B4"/>
    <w:rsid w:val="00000306"/>
    <w:rsid w:val="000005A6"/>
    <w:rsid w:val="00000D65"/>
    <w:rsid w:val="00001043"/>
    <w:rsid w:val="00001418"/>
    <w:rsid w:val="00001C2C"/>
    <w:rsid w:val="00001CE4"/>
    <w:rsid w:val="00002AD9"/>
    <w:rsid w:val="00002E41"/>
    <w:rsid w:val="00003021"/>
    <w:rsid w:val="00003608"/>
    <w:rsid w:val="0000383B"/>
    <w:rsid w:val="000038D8"/>
    <w:rsid w:val="00005109"/>
    <w:rsid w:val="00005941"/>
    <w:rsid w:val="00005D8E"/>
    <w:rsid w:val="00006C6F"/>
    <w:rsid w:val="00006EFD"/>
    <w:rsid w:val="00007898"/>
    <w:rsid w:val="000079BA"/>
    <w:rsid w:val="00010400"/>
    <w:rsid w:val="00011DFB"/>
    <w:rsid w:val="00012351"/>
    <w:rsid w:val="000136AD"/>
    <w:rsid w:val="000137B9"/>
    <w:rsid w:val="00013DC6"/>
    <w:rsid w:val="0001404D"/>
    <w:rsid w:val="000145B2"/>
    <w:rsid w:val="00014F0E"/>
    <w:rsid w:val="00015334"/>
    <w:rsid w:val="000158C7"/>
    <w:rsid w:val="00015B73"/>
    <w:rsid w:val="0001616B"/>
    <w:rsid w:val="000161E0"/>
    <w:rsid w:val="00016650"/>
    <w:rsid w:val="00016EDF"/>
    <w:rsid w:val="00016F8E"/>
    <w:rsid w:val="0001753B"/>
    <w:rsid w:val="00020F52"/>
    <w:rsid w:val="000214CE"/>
    <w:rsid w:val="000215A6"/>
    <w:rsid w:val="00021CDB"/>
    <w:rsid w:val="00021D0A"/>
    <w:rsid w:val="00022239"/>
    <w:rsid w:val="0002258C"/>
    <w:rsid w:val="00022827"/>
    <w:rsid w:val="00023568"/>
    <w:rsid w:val="0002378F"/>
    <w:rsid w:val="000246DC"/>
    <w:rsid w:val="0002538B"/>
    <w:rsid w:val="00026209"/>
    <w:rsid w:val="00026AD7"/>
    <w:rsid w:val="00027324"/>
    <w:rsid w:val="00027556"/>
    <w:rsid w:val="000275EB"/>
    <w:rsid w:val="000276D6"/>
    <w:rsid w:val="00027905"/>
    <w:rsid w:val="00027A23"/>
    <w:rsid w:val="000301A8"/>
    <w:rsid w:val="00030A43"/>
    <w:rsid w:val="00030CDE"/>
    <w:rsid w:val="00031273"/>
    <w:rsid w:val="00032089"/>
    <w:rsid w:val="0003229F"/>
    <w:rsid w:val="00032303"/>
    <w:rsid w:val="0003230E"/>
    <w:rsid w:val="00032607"/>
    <w:rsid w:val="000338A9"/>
    <w:rsid w:val="0003422E"/>
    <w:rsid w:val="000343D8"/>
    <w:rsid w:val="00034C1F"/>
    <w:rsid w:val="00034F5D"/>
    <w:rsid w:val="000350B4"/>
    <w:rsid w:val="000351CE"/>
    <w:rsid w:val="00035686"/>
    <w:rsid w:val="00035763"/>
    <w:rsid w:val="00036BD8"/>
    <w:rsid w:val="00036FAA"/>
    <w:rsid w:val="000377C0"/>
    <w:rsid w:val="00037832"/>
    <w:rsid w:val="000378C6"/>
    <w:rsid w:val="00040050"/>
    <w:rsid w:val="00040828"/>
    <w:rsid w:val="00041039"/>
    <w:rsid w:val="00041226"/>
    <w:rsid w:val="000418CC"/>
    <w:rsid w:val="00041AAA"/>
    <w:rsid w:val="0004229F"/>
    <w:rsid w:val="00042770"/>
    <w:rsid w:val="000429E7"/>
    <w:rsid w:val="00042C99"/>
    <w:rsid w:val="00042D4F"/>
    <w:rsid w:val="00042D9F"/>
    <w:rsid w:val="000431F2"/>
    <w:rsid w:val="0004360D"/>
    <w:rsid w:val="00043DF3"/>
    <w:rsid w:val="0004406F"/>
    <w:rsid w:val="00044D55"/>
    <w:rsid w:val="00044DC2"/>
    <w:rsid w:val="00044DD6"/>
    <w:rsid w:val="00044EEA"/>
    <w:rsid w:val="0004506D"/>
    <w:rsid w:val="0004507F"/>
    <w:rsid w:val="00045749"/>
    <w:rsid w:val="0004591F"/>
    <w:rsid w:val="00045AA3"/>
    <w:rsid w:val="000461BB"/>
    <w:rsid w:val="0004717D"/>
    <w:rsid w:val="000507AC"/>
    <w:rsid w:val="00050A28"/>
    <w:rsid w:val="000512CA"/>
    <w:rsid w:val="000518DD"/>
    <w:rsid w:val="00052A6E"/>
    <w:rsid w:val="00053014"/>
    <w:rsid w:val="00053382"/>
    <w:rsid w:val="00053B29"/>
    <w:rsid w:val="00054283"/>
    <w:rsid w:val="000543E4"/>
    <w:rsid w:val="0005550A"/>
    <w:rsid w:val="0005566D"/>
    <w:rsid w:val="00055B8E"/>
    <w:rsid w:val="000567D7"/>
    <w:rsid w:val="000569B1"/>
    <w:rsid w:val="00056A7F"/>
    <w:rsid w:val="00057EC2"/>
    <w:rsid w:val="00057F1B"/>
    <w:rsid w:val="000605F4"/>
    <w:rsid w:val="0006097B"/>
    <w:rsid w:val="00060E83"/>
    <w:rsid w:val="000615B5"/>
    <w:rsid w:val="00061786"/>
    <w:rsid w:val="00061AD4"/>
    <w:rsid w:val="00061CF6"/>
    <w:rsid w:val="00061E88"/>
    <w:rsid w:val="0006207B"/>
    <w:rsid w:val="0006207C"/>
    <w:rsid w:val="000621E2"/>
    <w:rsid w:val="00062351"/>
    <w:rsid w:val="0006264E"/>
    <w:rsid w:val="00063492"/>
    <w:rsid w:val="00063CAB"/>
    <w:rsid w:val="00065084"/>
    <w:rsid w:val="00065529"/>
    <w:rsid w:val="00065C35"/>
    <w:rsid w:val="00066E88"/>
    <w:rsid w:val="00066E8B"/>
    <w:rsid w:val="0006765A"/>
    <w:rsid w:val="00067DB7"/>
    <w:rsid w:val="00070669"/>
    <w:rsid w:val="00070693"/>
    <w:rsid w:val="000708C6"/>
    <w:rsid w:val="000708DE"/>
    <w:rsid w:val="00070A3B"/>
    <w:rsid w:val="000713E0"/>
    <w:rsid w:val="00072A38"/>
    <w:rsid w:val="00072AF6"/>
    <w:rsid w:val="00072F48"/>
    <w:rsid w:val="000730D1"/>
    <w:rsid w:val="00073469"/>
    <w:rsid w:val="00073712"/>
    <w:rsid w:val="00076129"/>
    <w:rsid w:val="0007616A"/>
    <w:rsid w:val="000764DA"/>
    <w:rsid w:val="0007691C"/>
    <w:rsid w:val="00077197"/>
    <w:rsid w:val="00077954"/>
    <w:rsid w:val="00077F5E"/>
    <w:rsid w:val="00080184"/>
    <w:rsid w:val="000805FF"/>
    <w:rsid w:val="000810A0"/>
    <w:rsid w:val="00081131"/>
    <w:rsid w:val="000814AC"/>
    <w:rsid w:val="0008189D"/>
    <w:rsid w:val="00081DB0"/>
    <w:rsid w:val="000822D2"/>
    <w:rsid w:val="00084264"/>
    <w:rsid w:val="000847D1"/>
    <w:rsid w:val="00084948"/>
    <w:rsid w:val="000851A9"/>
    <w:rsid w:val="00085609"/>
    <w:rsid w:val="0008579F"/>
    <w:rsid w:val="00086F08"/>
    <w:rsid w:val="00087121"/>
    <w:rsid w:val="00087A2D"/>
    <w:rsid w:val="000905A7"/>
    <w:rsid w:val="000916CE"/>
    <w:rsid w:val="00091C34"/>
    <w:rsid w:val="00091C3A"/>
    <w:rsid w:val="0009233C"/>
    <w:rsid w:val="000927E3"/>
    <w:rsid w:val="00093823"/>
    <w:rsid w:val="00093CF4"/>
    <w:rsid w:val="00093DDF"/>
    <w:rsid w:val="0009401C"/>
    <w:rsid w:val="00094363"/>
    <w:rsid w:val="00094872"/>
    <w:rsid w:val="00094B5C"/>
    <w:rsid w:val="00095015"/>
    <w:rsid w:val="0009698F"/>
    <w:rsid w:val="00097C01"/>
    <w:rsid w:val="000A0115"/>
    <w:rsid w:val="000A09C6"/>
    <w:rsid w:val="000A0B55"/>
    <w:rsid w:val="000A0B87"/>
    <w:rsid w:val="000A1B80"/>
    <w:rsid w:val="000A2A5B"/>
    <w:rsid w:val="000A30DD"/>
    <w:rsid w:val="000A338B"/>
    <w:rsid w:val="000A3A35"/>
    <w:rsid w:val="000A4186"/>
    <w:rsid w:val="000A47EA"/>
    <w:rsid w:val="000A47F8"/>
    <w:rsid w:val="000A481F"/>
    <w:rsid w:val="000A5F55"/>
    <w:rsid w:val="000A6241"/>
    <w:rsid w:val="000A6D71"/>
    <w:rsid w:val="000A702A"/>
    <w:rsid w:val="000A7275"/>
    <w:rsid w:val="000A76B3"/>
    <w:rsid w:val="000A7D80"/>
    <w:rsid w:val="000B05F8"/>
    <w:rsid w:val="000B09A6"/>
    <w:rsid w:val="000B159D"/>
    <w:rsid w:val="000B1616"/>
    <w:rsid w:val="000B1E64"/>
    <w:rsid w:val="000B2791"/>
    <w:rsid w:val="000B2FD1"/>
    <w:rsid w:val="000B41C4"/>
    <w:rsid w:val="000B56E2"/>
    <w:rsid w:val="000B58AB"/>
    <w:rsid w:val="000B6AB6"/>
    <w:rsid w:val="000B7438"/>
    <w:rsid w:val="000B7459"/>
    <w:rsid w:val="000B7789"/>
    <w:rsid w:val="000C0499"/>
    <w:rsid w:val="000C0ACD"/>
    <w:rsid w:val="000C1AEB"/>
    <w:rsid w:val="000C1C70"/>
    <w:rsid w:val="000C2E83"/>
    <w:rsid w:val="000C400D"/>
    <w:rsid w:val="000C4C5E"/>
    <w:rsid w:val="000C4DBE"/>
    <w:rsid w:val="000C4E04"/>
    <w:rsid w:val="000C5F41"/>
    <w:rsid w:val="000C6036"/>
    <w:rsid w:val="000C6932"/>
    <w:rsid w:val="000C69FE"/>
    <w:rsid w:val="000C72CB"/>
    <w:rsid w:val="000C7579"/>
    <w:rsid w:val="000D007C"/>
    <w:rsid w:val="000D0635"/>
    <w:rsid w:val="000D0791"/>
    <w:rsid w:val="000D125C"/>
    <w:rsid w:val="000D1402"/>
    <w:rsid w:val="000D1C46"/>
    <w:rsid w:val="000D2204"/>
    <w:rsid w:val="000D2377"/>
    <w:rsid w:val="000D2ABA"/>
    <w:rsid w:val="000D3978"/>
    <w:rsid w:val="000D3BAB"/>
    <w:rsid w:val="000D4DDB"/>
    <w:rsid w:val="000D4FBF"/>
    <w:rsid w:val="000D525F"/>
    <w:rsid w:val="000D5564"/>
    <w:rsid w:val="000D56C4"/>
    <w:rsid w:val="000D5836"/>
    <w:rsid w:val="000D59F5"/>
    <w:rsid w:val="000D5ECB"/>
    <w:rsid w:val="000D671D"/>
    <w:rsid w:val="000D6A5D"/>
    <w:rsid w:val="000D7202"/>
    <w:rsid w:val="000D73F6"/>
    <w:rsid w:val="000D7538"/>
    <w:rsid w:val="000D7FA0"/>
    <w:rsid w:val="000E0796"/>
    <w:rsid w:val="000E1908"/>
    <w:rsid w:val="000E21E6"/>
    <w:rsid w:val="000E2BF6"/>
    <w:rsid w:val="000E3801"/>
    <w:rsid w:val="000E3B2A"/>
    <w:rsid w:val="000E3B65"/>
    <w:rsid w:val="000E3C72"/>
    <w:rsid w:val="000E3CF7"/>
    <w:rsid w:val="000E4705"/>
    <w:rsid w:val="000E54CC"/>
    <w:rsid w:val="000E722D"/>
    <w:rsid w:val="000E72C2"/>
    <w:rsid w:val="000E74C4"/>
    <w:rsid w:val="000E783F"/>
    <w:rsid w:val="000E790A"/>
    <w:rsid w:val="000F0453"/>
    <w:rsid w:val="000F082F"/>
    <w:rsid w:val="000F118C"/>
    <w:rsid w:val="000F1586"/>
    <w:rsid w:val="000F17AA"/>
    <w:rsid w:val="000F2898"/>
    <w:rsid w:val="000F28D2"/>
    <w:rsid w:val="000F2BFF"/>
    <w:rsid w:val="000F2D36"/>
    <w:rsid w:val="000F3418"/>
    <w:rsid w:val="000F3A7C"/>
    <w:rsid w:val="000F3ACC"/>
    <w:rsid w:val="000F5419"/>
    <w:rsid w:val="000F5D6C"/>
    <w:rsid w:val="000F66C6"/>
    <w:rsid w:val="000F6BDF"/>
    <w:rsid w:val="000F750D"/>
    <w:rsid w:val="000F7AD0"/>
    <w:rsid w:val="000F7C4C"/>
    <w:rsid w:val="00100078"/>
    <w:rsid w:val="00100182"/>
    <w:rsid w:val="001003A0"/>
    <w:rsid w:val="00101105"/>
    <w:rsid w:val="001016FD"/>
    <w:rsid w:val="00102672"/>
    <w:rsid w:val="00102A9C"/>
    <w:rsid w:val="001044AA"/>
    <w:rsid w:val="00104642"/>
    <w:rsid w:val="00104785"/>
    <w:rsid w:val="001049F2"/>
    <w:rsid w:val="001053C5"/>
    <w:rsid w:val="001058F7"/>
    <w:rsid w:val="001061B2"/>
    <w:rsid w:val="00106B92"/>
    <w:rsid w:val="00106F25"/>
    <w:rsid w:val="00107848"/>
    <w:rsid w:val="001103FF"/>
    <w:rsid w:val="00110D4B"/>
    <w:rsid w:val="00110F03"/>
    <w:rsid w:val="00111225"/>
    <w:rsid w:val="001115E7"/>
    <w:rsid w:val="001121CB"/>
    <w:rsid w:val="00112981"/>
    <w:rsid w:val="00113350"/>
    <w:rsid w:val="0011345A"/>
    <w:rsid w:val="00113688"/>
    <w:rsid w:val="001142A3"/>
    <w:rsid w:val="001143FD"/>
    <w:rsid w:val="00114915"/>
    <w:rsid w:val="00114A5B"/>
    <w:rsid w:val="00114A7A"/>
    <w:rsid w:val="00115178"/>
    <w:rsid w:val="001161CD"/>
    <w:rsid w:val="0011743D"/>
    <w:rsid w:val="001175C2"/>
    <w:rsid w:val="00117A6C"/>
    <w:rsid w:val="00117BC9"/>
    <w:rsid w:val="00120203"/>
    <w:rsid w:val="00120483"/>
    <w:rsid w:val="00120989"/>
    <w:rsid w:val="00120D35"/>
    <w:rsid w:val="00121503"/>
    <w:rsid w:val="00121684"/>
    <w:rsid w:val="0012228E"/>
    <w:rsid w:val="001228E6"/>
    <w:rsid w:val="001229C0"/>
    <w:rsid w:val="00122EB9"/>
    <w:rsid w:val="0012344C"/>
    <w:rsid w:val="0012390F"/>
    <w:rsid w:val="00123DF3"/>
    <w:rsid w:val="00123E7D"/>
    <w:rsid w:val="00123EE7"/>
    <w:rsid w:val="00123F73"/>
    <w:rsid w:val="00124D3D"/>
    <w:rsid w:val="0012533C"/>
    <w:rsid w:val="0012651C"/>
    <w:rsid w:val="00127613"/>
    <w:rsid w:val="00127A45"/>
    <w:rsid w:val="00130472"/>
    <w:rsid w:val="0013080E"/>
    <w:rsid w:val="00130BD3"/>
    <w:rsid w:val="00130D41"/>
    <w:rsid w:val="00130F7C"/>
    <w:rsid w:val="0013132B"/>
    <w:rsid w:val="001317DD"/>
    <w:rsid w:val="001322DF"/>
    <w:rsid w:val="00132898"/>
    <w:rsid w:val="00132FF8"/>
    <w:rsid w:val="00133287"/>
    <w:rsid w:val="0013563C"/>
    <w:rsid w:val="001367CF"/>
    <w:rsid w:val="00136A3B"/>
    <w:rsid w:val="00136ABD"/>
    <w:rsid w:val="001376DF"/>
    <w:rsid w:val="00137919"/>
    <w:rsid w:val="00137CDE"/>
    <w:rsid w:val="00137E8E"/>
    <w:rsid w:val="001402B8"/>
    <w:rsid w:val="001420AE"/>
    <w:rsid w:val="001429BE"/>
    <w:rsid w:val="00143003"/>
    <w:rsid w:val="001431B4"/>
    <w:rsid w:val="0014352B"/>
    <w:rsid w:val="00143761"/>
    <w:rsid w:val="00144789"/>
    <w:rsid w:val="001447F4"/>
    <w:rsid w:val="001450D8"/>
    <w:rsid w:val="00145537"/>
    <w:rsid w:val="00145FC9"/>
    <w:rsid w:val="001462BA"/>
    <w:rsid w:val="00146409"/>
    <w:rsid w:val="0015028F"/>
    <w:rsid w:val="00150639"/>
    <w:rsid w:val="00150DE0"/>
    <w:rsid w:val="0015158D"/>
    <w:rsid w:val="0015177C"/>
    <w:rsid w:val="00151A7E"/>
    <w:rsid w:val="001521A7"/>
    <w:rsid w:val="001523B5"/>
    <w:rsid w:val="0015252F"/>
    <w:rsid w:val="00152B42"/>
    <w:rsid w:val="00152B67"/>
    <w:rsid w:val="00152D2E"/>
    <w:rsid w:val="00153351"/>
    <w:rsid w:val="001535D7"/>
    <w:rsid w:val="00153647"/>
    <w:rsid w:val="00153A22"/>
    <w:rsid w:val="0015413E"/>
    <w:rsid w:val="00154B9D"/>
    <w:rsid w:val="001556B4"/>
    <w:rsid w:val="00155CD1"/>
    <w:rsid w:val="00155D37"/>
    <w:rsid w:val="0015685C"/>
    <w:rsid w:val="001568CF"/>
    <w:rsid w:val="00156C3B"/>
    <w:rsid w:val="00157504"/>
    <w:rsid w:val="0015794F"/>
    <w:rsid w:val="00157A9D"/>
    <w:rsid w:val="0016044C"/>
    <w:rsid w:val="00160B92"/>
    <w:rsid w:val="0016131C"/>
    <w:rsid w:val="00161380"/>
    <w:rsid w:val="00161BBC"/>
    <w:rsid w:val="001620F2"/>
    <w:rsid w:val="0016285D"/>
    <w:rsid w:val="001629B7"/>
    <w:rsid w:val="00163660"/>
    <w:rsid w:val="00163E8E"/>
    <w:rsid w:val="00163EBC"/>
    <w:rsid w:val="001647E4"/>
    <w:rsid w:val="00164EB4"/>
    <w:rsid w:val="0016519C"/>
    <w:rsid w:val="0016522A"/>
    <w:rsid w:val="00165436"/>
    <w:rsid w:val="00165A01"/>
    <w:rsid w:val="00165AA4"/>
    <w:rsid w:val="00166237"/>
    <w:rsid w:val="0016653E"/>
    <w:rsid w:val="0016656E"/>
    <w:rsid w:val="0016679C"/>
    <w:rsid w:val="00166D9F"/>
    <w:rsid w:val="0016724F"/>
    <w:rsid w:val="0016764B"/>
    <w:rsid w:val="001679C2"/>
    <w:rsid w:val="00170476"/>
    <w:rsid w:val="00170970"/>
    <w:rsid w:val="00170B30"/>
    <w:rsid w:val="00170B5B"/>
    <w:rsid w:val="00171253"/>
    <w:rsid w:val="00171703"/>
    <w:rsid w:val="00171A8F"/>
    <w:rsid w:val="00171E0A"/>
    <w:rsid w:val="0017271B"/>
    <w:rsid w:val="00172D44"/>
    <w:rsid w:val="00173104"/>
    <w:rsid w:val="001735FE"/>
    <w:rsid w:val="00173635"/>
    <w:rsid w:val="0017465B"/>
    <w:rsid w:val="00174EDB"/>
    <w:rsid w:val="001751BC"/>
    <w:rsid w:val="0017540D"/>
    <w:rsid w:val="00175B80"/>
    <w:rsid w:val="001763EB"/>
    <w:rsid w:val="001767B5"/>
    <w:rsid w:val="00177F09"/>
    <w:rsid w:val="0018011F"/>
    <w:rsid w:val="00180305"/>
    <w:rsid w:val="00180FE0"/>
    <w:rsid w:val="0018156A"/>
    <w:rsid w:val="00181862"/>
    <w:rsid w:val="00181F32"/>
    <w:rsid w:val="00182584"/>
    <w:rsid w:val="00182A43"/>
    <w:rsid w:val="00184086"/>
    <w:rsid w:val="00184410"/>
    <w:rsid w:val="00184933"/>
    <w:rsid w:val="00184B41"/>
    <w:rsid w:val="00184B62"/>
    <w:rsid w:val="00184D32"/>
    <w:rsid w:val="00186A80"/>
    <w:rsid w:val="00187523"/>
    <w:rsid w:val="00187661"/>
    <w:rsid w:val="00187D6E"/>
    <w:rsid w:val="00190812"/>
    <w:rsid w:val="001917A3"/>
    <w:rsid w:val="00191D44"/>
    <w:rsid w:val="00192EEA"/>
    <w:rsid w:val="00193B3D"/>
    <w:rsid w:val="00193DFD"/>
    <w:rsid w:val="00193E96"/>
    <w:rsid w:val="001944CE"/>
    <w:rsid w:val="00194CA8"/>
    <w:rsid w:val="00195562"/>
    <w:rsid w:val="00195B81"/>
    <w:rsid w:val="00195FBF"/>
    <w:rsid w:val="001961CC"/>
    <w:rsid w:val="001961E9"/>
    <w:rsid w:val="00196205"/>
    <w:rsid w:val="00196277"/>
    <w:rsid w:val="001968B3"/>
    <w:rsid w:val="00197101"/>
    <w:rsid w:val="00197109"/>
    <w:rsid w:val="001971E7"/>
    <w:rsid w:val="00197B7F"/>
    <w:rsid w:val="00197FF2"/>
    <w:rsid w:val="001A040A"/>
    <w:rsid w:val="001A0C12"/>
    <w:rsid w:val="001A1052"/>
    <w:rsid w:val="001A10CD"/>
    <w:rsid w:val="001A138A"/>
    <w:rsid w:val="001A149A"/>
    <w:rsid w:val="001A23FE"/>
    <w:rsid w:val="001A2664"/>
    <w:rsid w:val="001A4BEA"/>
    <w:rsid w:val="001A4E07"/>
    <w:rsid w:val="001A4E0D"/>
    <w:rsid w:val="001A4E17"/>
    <w:rsid w:val="001A5515"/>
    <w:rsid w:val="001A5A20"/>
    <w:rsid w:val="001A5F9F"/>
    <w:rsid w:val="001A670C"/>
    <w:rsid w:val="001A6732"/>
    <w:rsid w:val="001A7443"/>
    <w:rsid w:val="001A7B64"/>
    <w:rsid w:val="001A7D20"/>
    <w:rsid w:val="001A7D3D"/>
    <w:rsid w:val="001B0B63"/>
    <w:rsid w:val="001B0D28"/>
    <w:rsid w:val="001B1BE7"/>
    <w:rsid w:val="001B2807"/>
    <w:rsid w:val="001B2961"/>
    <w:rsid w:val="001B2D14"/>
    <w:rsid w:val="001B2EF8"/>
    <w:rsid w:val="001B3398"/>
    <w:rsid w:val="001B375F"/>
    <w:rsid w:val="001B3BFC"/>
    <w:rsid w:val="001B5820"/>
    <w:rsid w:val="001B5A5C"/>
    <w:rsid w:val="001B620D"/>
    <w:rsid w:val="001B63AD"/>
    <w:rsid w:val="001B65B2"/>
    <w:rsid w:val="001B6AA3"/>
    <w:rsid w:val="001B6CAE"/>
    <w:rsid w:val="001B6CDA"/>
    <w:rsid w:val="001B7499"/>
    <w:rsid w:val="001B75F8"/>
    <w:rsid w:val="001C0270"/>
    <w:rsid w:val="001C02E7"/>
    <w:rsid w:val="001C0BE2"/>
    <w:rsid w:val="001C1E1F"/>
    <w:rsid w:val="001C224C"/>
    <w:rsid w:val="001C29E3"/>
    <w:rsid w:val="001C2F18"/>
    <w:rsid w:val="001C42AA"/>
    <w:rsid w:val="001C56DA"/>
    <w:rsid w:val="001C57C1"/>
    <w:rsid w:val="001C5A7A"/>
    <w:rsid w:val="001C6238"/>
    <w:rsid w:val="001C6524"/>
    <w:rsid w:val="001C6E8E"/>
    <w:rsid w:val="001C735F"/>
    <w:rsid w:val="001C7433"/>
    <w:rsid w:val="001C7A44"/>
    <w:rsid w:val="001C7CC3"/>
    <w:rsid w:val="001C7DC6"/>
    <w:rsid w:val="001D0C4B"/>
    <w:rsid w:val="001D1A69"/>
    <w:rsid w:val="001D1E38"/>
    <w:rsid w:val="001D1FAA"/>
    <w:rsid w:val="001D44A5"/>
    <w:rsid w:val="001D4FF9"/>
    <w:rsid w:val="001D5B64"/>
    <w:rsid w:val="001D5F5D"/>
    <w:rsid w:val="001D65EF"/>
    <w:rsid w:val="001D73AF"/>
    <w:rsid w:val="001D75B1"/>
    <w:rsid w:val="001D7800"/>
    <w:rsid w:val="001D7EA4"/>
    <w:rsid w:val="001E003E"/>
    <w:rsid w:val="001E025B"/>
    <w:rsid w:val="001E1043"/>
    <w:rsid w:val="001E172A"/>
    <w:rsid w:val="001E1B90"/>
    <w:rsid w:val="001E1F0D"/>
    <w:rsid w:val="001E2B3C"/>
    <w:rsid w:val="001E2EFC"/>
    <w:rsid w:val="001E2FB0"/>
    <w:rsid w:val="001E30B5"/>
    <w:rsid w:val="001E32BB"/>
    <w:rsid w:val="001E358E"/>
    <w:rsid w:val="001E428A"/>
    <w:rsid w:val="001E6036"/>
    <w:rsid w:val="001E6337"/>
    <w:rsid w:val="001E68AF"/>
    <w:rsid w:val="001E6D70"/>
    <w:rsid w:val="001E6FFA"/>
    <w:rsid w:val="001E7195"/>
    <w:rsid w:val="001E76EA"/>
    <w:rsid w:val="001F033F"/>
    <w:rsid w:val="001F0953"/>
    <w:rsid w:val="001F191F"/>
    <w:rsid w:val="001F1D61"/>
    <w:rsid w:val="001F2516"/>
    <w:rsid w:val="001F2560"/>
    <w:rsid w:val="001F2D47"/>
    <w:rsid w:val="001F2D4E"/>
    <w:rsid w:val="001F32AE"/>
    <w:rsid w:val="001F33B6"/>
    <w:rsid w:val="001F3DA1"/>
    <w:rsid w:val="001F3EBE"/>
    <w:rsid w:val="001F43FF"/>
    <w:rsid w:val="001F5858"/>
    <w:rsid w:val="001F5C3A"/>
    <w:rsid w:val="001F60DF"/>
    <w:rsid w:val="001F6AED"/>
    <w:rsid w:val="001F6DB0"/>
    <w:rsid w:val="001F6E15"/>
    <w:rsid w:val="001F7C5D"/>
    <w:rsid w:val="00200164"/>
    <w:rsid w:val="00200286"/>
    <w:rsid w:val="002002BB"/>
    <w:rsid w:val="00201708"/>
    <w:rsid w:val="00201C28"/>
    <w:rsid w:val="00202100"/>
    <w:rsid w:val="0020288B"/>
    <w:rsid w:val="00203A25"/>
    <w:rsid w:val="00203FE5"/>
    <w:rsid w:val="00204670"/>
    <w:rsid w:val="0020553B"/>
    <w:rsid w:val="00205A06"/>
    <w:rsid w:val="002066B3"/>
    <w:rsid w:val="0020670D"/>
    <w:rsid w:val="00207CA7"/>
    <w:rsid w:val="0021022C"/>
    <w:rsid w:val="00210FF0"/>
    <w:rsid w:val="00211453"/>
    <w:rsid w:val="00211F7E"/>
    <w:rsid w:val="00212225"/>
    <w:rsid w:val="00212685"/>
    <w:rsid w:val="00212FC3"/>
    <w:rsid w:val="00213386"/>
    <w:rsid w:val="002139BF"/>
    <w:rsid w:val="002146FC"/>
    <w:rsid w:val="00214C30"/>
    <w:rsid w:val="0021542B"/>
    <w:rsid w:val="002154A4"/>
    <w:rsid w:val="00215647"/>
    <w:rsid w:val="002156BF"/>
    <w:rsid w:val="00215D3F"/>
    <w:rsid w:val="002161D4"/>
    <w:rsid w:val="0021652C"/>
    <w:rsid w:val="00216E79"/>
    <w:rsid w:val="00216EF0"/>
    <w:rsid w:val="00217628"/>
    <w:rsid w:val="00217B39"/>
    <w:rsid w:val="00217F97"/>
    <w:rsid w:val="0022016C"/>
    <w:rsid w:val="002205AB"/>
    <w:rsid w:val="00221D06"/>
    <w:rsid w:val="00221DB8"/>
    <w:rsid w:val="0022217D"/>
    <w:rsid w:val="0022265C"/>
    <w:rsid w:val="00222817"/>
    <w:rsid w:val="002228E8"/>
    <w:rsid w:val="00223598"/>
    <w:rsid w:val="002236EF"/>
    <w:rsid w:val="00223C9C"/>
    <w:rsid w:val="00224A8D"/>
    <w:rsid w:val="00225063"/>
    <w:rsid w:val="002253B0"/>
    <w:rsid w:val="00225DC3"/>
    <w:rsid w:val="00226A0E"/>
    <w:rsid w:val="00226EA6"/>
    <w:rsid w:val="002274EC"/>
    <w:rsid w:val="0022750D"/>
    <w:rsid w:val="002279FF"/>
    <w:rsid w:val="00227A4D"/>
    <w:rsid w:val="00227A4F"/>
    <w:rsid w:val="00227E3D"/>
    <w:rsid w:val="00230103"/>
    <w:rsid w:val="00231037"/>
    <w:rsid w:val="0023129B"/>
    <w:rsid w:val="0023171F"/>
    <w:rsid w:val="002319EF"/>
    <w:rsid w:val="00231AFE"/>
    <w:rsid w:val="002325DC"/>
    <w:rsid w:val="00232C3E"/>
    <w:rsid w:val="00232CA2"/>
    <w:rsid w:val="00232E57"/>
    <w:rsid w:val="0023356D"/>
    <w:rsid w:val="00233F11"/>
    <w:rsid w:val="00233F3E"/>
    <w:rsid w:val="00234AC9"/>
    <w:rsid w:val="00235503"/>
    <w:rsid w:val="0023608F"/>
    <w:rsid w:val="00236E77"/>
    <w:rsid w:val="002374CA"/>
    <w:rsid w:val="00237BB4"/>
    <w:rsid w:val="0024023A"/>
    <w:rsid w:val="00240B06"/>
    <w:rsid w:val="00240B96"/>
    <w:rsid w:val="00240D07"/>
    <w:rsid w:val="0024101E"/>
    <w:rsid w:val="00241407"/>
    <w:rsid w:val="00241A0C"/>
    <w:rsid w:val="00241A5A"/>
    <w:rsid w:val="00241EB8"/>
    <w:rsid w:val="00241F34"/>
    <w:rsid w:val="00241FFD"/>
    <w:rsid w:val="002424E7"/>
    <w:rsid w:val="00242C53"/>
    <w:rsid w:val="00242FE0"/>
    <w:rsid w:val="00243686"/>
    <w:rsid w:val="00243F5C"/>
    <w:rsid w:val="002442A4"/>
    <w:rsid w:val="00244826"/>
    <w:rsid w:val="0024576E"/>
    <w:rsid w:val="002460E2"/>
    <w:rsid w:val="00247862"/>
    <w:rsid w:val="002479CA"/>
    <w:rsid w:val="00247CA7"/>
    <w:rsid w:val="00250CC1"/>
    <w:rsid w:val="00250DA1"/>
    <w:rsid w:val="00251749"/>
    <w:rsid w:val="00251BAB"/>
    <w:rsid w:val="00251CF2"/>
    <w:rsid w:val="00252594"/>
    <w:rsid w:val="00252B52"/>
    <w:rsid w:val="00253055"/>
    <w:rsid w:val="002530CE"/>
    <w:rsid w:val="002533F6"/>
    <w:rsid w:val="002537D1"/>
    <w:rsid w:val="00253E77"/>
    <w:rsid w:val="00254B09"/>
    <w:rsid w:val="00254DC8"/>
    <w:rsid w:val="00254E67"/>
    <w:rsid w:val="002560AF"/>
    <w:rsid w:val="00256194"/>
    <w:rsid w:val="002562FE"/>
    <w:rsid w:val="00256C5D"/>
    <w:rsid w:val="00257127"/>
    <w:rsid w:val="00257403"/>
    <w:rsid w:val="00260271"/>
    <w:rsid w:val="002603E8"/>
    <w:rsid w:val="00262E99"/>
    <w:rsid w:val="00262FD9"/>
    <w:rsid w:val="002632B2"/>
    <w:rsid w:val="002637F9"/>
    <w:rsid w:val="00263DD1"/>
    <w:rsid w:val="00264FD2"/>
    <w:rsid w:val="00265665"/>
    <w:rsid w:val="002656AE"/>
    <w:rsid w:val="002660D7"/>
    <w:rsid w:val="002661CC"/>
    <w:rsid w:val="002666BE"/>
    <w:rsid w:val="00267C5F"/>
    <w:rsid w:val="00267DA4"/>
    <w:rsid w:val="002702E7"/>
    <w:rsid w:val="002707D3"/>
    <w:rsid w:val="00271934"/>
    <w:rsid w:val="00272125"/>
    <w:rsid w:val="002724E2"/>
    <w:rsid w:val="00272B5E"/>
    <w:rsid w:val="00272DA2"/>
    <w:rsid w:val="0027313E"/>
    <w:rsid w:val="00273B22"/>
    <w:rsid w:val="0027411D"/>
    <w:rsid w:val="0027455F"/>
    <w:rsid w:val="00274B60"/>
    <w:rsid w:val="00274F0D"/>
    <w:rsid w:val="00275739"/>
    <w:rsid w:val="00275ACD"/>
    <w:rsid w:val="00276CA4"/>
    <w:rsid w:val="00276D66"/>
    <w:rsid w:val="00276E79"/>
    <w:rsid w:val="00277052"/>
    <w:rsid w:val="0027720D"/>
    <w:rsid w:val="00277BFE"/>
    <w:rsid w:val="00280895"/>
    <w:rsid w:val="00280CC8"/>
    <w:rsid w:val="002810FC"/>
    <w:rsid w:val="00281853"/>
    <w:rsid w:val="002818D0"/>
    <w:rsid w:val="00281FEB"/>
    <w:rsid w:val="00282A5A"/>
    <w:rsid w:val="00282ADB"/>
    <w:rsid w:val="002837C4"/>
    <w:rsid w:val="00283A5E"/>
    <w:rsid w:val="00284ADB"/>
    <w:rsid w:val="00284F11"/>
    <w:rsid w:val="00285E94"/>
    <w:rsid w:val="0028697F"/>
    <w:rsid w:val="00286B0B"/>
    <w:rsid w:val="00287569"/>
    <w:rsid w:val="00290D51"/>
    <w:rsid w:val="0029153D"/>
    <w:rsid w:val="0029173C"/>
    <w:rsid w:val="00291CBE"/>
    <w:rsid w:val="00291D4C"/>
    <w:rsid w:val="0029284B"/>
    <w:rsid w:val="00292991"/>
    <w:rsid w:val="0029405B"/>
    <w:rsid w:val="00294461"/>
    <w:rsid w:val="0029455C"/>
    <w:rsid w:val="00295298"/>
    <w:rsid w:val="00295ED4"/>
    <w:rsid w:val="00296358"/>
    <w:rsid w:val="00296514"/>
    <w:rsid w:val="00296582"/>
    <w:rsid w:val="002965CB"/>
    <w:rsid w:val="002969BA"/>
    <w:rsid w:val="00297EE6"/>
    <w:rsid w:val="00297F80"/>
    <w:rsid w:val="002A031A"/>
    <w:rsid w:val="002A06F7"/>
    <w:rsid w:val="002A0FEF"/>
    <w:rsid w:val="002A12E1"/>
    <w:rsid w:val="002A1B4F"/>
    <w:rsid w:val="002A22A4"/>
    <w:rsid w:val="002A264F"/>
    <w:rsid w:val="002A27C9"/>
    <w:rsid w:val="002A2FC4"/>
    <w:rsid w:val="002A308C"/>
    <w:rsid w:val="002A3DE9"/>
    <w:rsid w:val="002A476D"/>
    <w:rsid w:val="002A4831"/>
    <w:rsid w:val="002A49BF"/>
    <w:rsid w:val="002A4D8C"/>
    <w:rsid w:val="002A4E1C"/>
    <w:rsid w:val="002A5025"/>
    <w:rsid w:val="002A5739"/>
    <w:rsid w:val="002A6B13"/>
    <w:rsid w:val="002A6C9E"/>
    <w:rsid w:val="002A6CE2"/>
    <w:rsid w:val="002A6DD1"/>
    <w:rsid w:val="002A7534"/>
    <w:rsid w:val="002A7647"/>
    <w:rsid w:val="002A7B1C"/>
    <w:rsid w:val="002A7FC9"/>
    <w:rsid w:val="002B0AAD"/>
    <w:rsid w:val="002B0CCF"/>
    <w:rsid w:val="002B194D"/>
    <w:rsid w:val="002B1AB7"/>
    <w:rsid w:val="002B1B68"/>
    <w:rsid w:val="002B1BBF"/>
    <w:rsid w:val="002B2EE2"/>
    <w:rsid w:val="002B3676"/>
    <w:rsid w:val="002B3714"/>
    <w:rsid w:val="002B4EBB"/>
    <w:rsid w:val="002B51E2"/>
    <w:rsid w:val="002B5DFF"/>
    <w:rsid w:val="002B6138"/>
    <w:rsid w:val="002B635E"/>
    <w:rsid w:val="002B7271"/>
    <w:rsid w:val="002B7B69"/>
    <w:rsid w:val="002C018B"/>
    <w:rsid w:val="002C05FF"/>
    <w:rsid w:val="002C0626"/>
    <w:rsid w:val="002C093F"/>
    <w:rsid w:val="002C29F1"/>
    <w:rsid w:val="002C2D3C"/>
    <w:rsid w:val="002C38BF"/>
    <w:rsid w:val="002C430F"/>
    <w:rsid w:val="002C5F1B"/>
    <w:rsid w:val="002C642C"/>
    <w:rsid w:val="002C6508"/>
    <w:rsid w:val="002C65C2"/>
    <w:rsid w:val="002C6A45"/>
    <w:rsid w:val="002C7DAC"/>
    <w:rsid w:val="002D0F67"/>
    <w:rsid w:val="002D11C0"/>
    <w:rsid w:val="002D1BD9"/>
    <w:rsid w:val="002D1DCE"/>
    <w:rsid w:val="002D2690"/>
    <w:rsid w:val="002D3093"/>
    <w:rsid w:val="002D3671"/>
    <w:rsid w:val="002D36BB"/>
    <w:rsid w:val="002D407D"/>
    <w:rsid w:val="002D478E"/>
    <w:rsid w:val="002D48BA"/>
    <w:rsid w:val="002D4989"/>
    <w:rsid w:val="002D5BBA"/>
    <w:rsid w:val="002D5D5C"/>
    <w:rsid w:val="002D6364"/>
    <w:rsid w:val="002D685B"/>
    <w:rsid w:val="002D69DC"/>
    <w:rsid w:val="002D6AEE"/>
    <w:rsid w:val="002D7134"/>
    <w:rsid w:val="002D7363"/>
    <w:rsid w:val="002D753D"/>
    <w:rsid w:val="002D7696"/>
    <w:rsid w:val="002D79A6"/>
    <w:rsid w:val="002E04B8"/>
    <w:rsid w:val="002E1D13"/>
    <w:rsid w:val="002E2047"/>
    <w:rsid w:val="002E2285"/>
    <w:rsid w:val="002E29A2"/>
    <w:rsid w:val="002E3529"/>
    <w:rsid w:val="002E3AA9"/>
    <w:rsid w:val="002E3D66"/>
    <w:rsid w:val="002E41E7"/>
    <w:rsid w:val="002E4E12"/>
    <w:rsid w:val="002E5638"/>
    <w:rsid w:val="002E56EF"/>
    <w:rsid w:val="002E5828"/>
    <w:rsid w:val="002E5A22"/>
    <w:rsid w:val="002E5C0A"/>
    <w:rsid w:val="002E5ED3"/>
    <w:rsid w:val="002E65CD"/>
    <w:rsid w:val="002E6CB2"/>
    <w:rsid w:val="002E6F06"/>
    <w:rsid w:val="002E7271"/>
    <w:rsid w:val="002E74FB"/>
    <w:rsid w:val="002E79F0"/>
    <w:rsid w:val="002F002D"/>
    <w:rsid w:val="002F0634"/>
    <w:rsid w:val="002F0FAE"/>
    <w:rsid w:val="002F0FB2"/>
    <w:rsid w:val="002F14BE"/>
    <w:rsid w:val="002F1613"/>
    <w:rsid w:val="002F1A43"/>
    <w:rsid w:val="002F29FA"/>
    <w:rsid w:val="002F34EF"/>
    <w:rsid w:val="002F3800"/>
    <w:rsid w:val="002F3D3A"/>
    <w:rsid w:val="002F3FF0"/>
    <w:rsid w:val="002F4509"/>
    <w:rsid w:val="002F474D"/>
    <w:rsid w:val="002F4E03"/>
    <w:rsid w:val="002F539F"/>
    <w:rsid w:val="002F545E"/>
    <w:rsid w:val="002F5627"/>
    <w:rsid w:val="002F5870"/>
    <w:rsid w:val="002F6ADD"/>
    <w:rsid w:val="002F70BF"/>
    <w:rsid w:val="002F71C5"/>
    <w:rsid w:val="002F7252"/>
    <w:rsid w:val="002F72F9"/>
    <w:rsid w:val="002F73CA"/>
    <w:rsid w:val="003001AC"/>
    <w:rsid w:val="00300E9C"/>
    <w:rsid w:val="0030152B"/>
    <w:rsid w:val="00301582"/>
    <w:rsid w:val="003017EB"/>
    <w:rsid w:val="00302067"/>
    <w:rsid w:val="0030302E"/>
    <w:rsid w:val="00303A9B"/>
    <w:rsid w:val="00304018"/>
    <w:rsid w:val="003040D4"/>
    <w:rsid w:val="0030427B"/>
    <w:rsid w:val="00304A03"/>
    <w:rsid w:val="0030506A"/>
    <w:rsid w:val="0030583E"/>
    <w:rsid w:val="00310372"/>
    <w:rsid w:val="00310AA8"/>
    <w:rsid w:val="00310EF9"/>
    <w:rsid w:val="00311FC1"/>
    <w:rsid w:val="0031231B"/>
    <w:rsid w:val="00313022"/>
    <w:rsid w:val="0031330D"/>
    <w:rsid w:val="0031360C"/>
    <w:rsid w:val="00314113"/>
    <w:rsid w:val="00314ABC"/>
    <w:rsid w:val="003152D9"/>
    <w:rsid w:val="00315532"/>
    <w:rsid w:val="00315A7E"/>
    <w:rsid w:val="00315A90"/>
    <w:rsid w:val="00315C2A"/>
    <w:rsid w:val="00315CEC"/>
    <w:rsid w:val="00316590"/>
    <w:rsid w:val="0031664F"/>
    <w:rsid w:val="00316BB4"/>
    <w:rsid w:val="00316EF3"/>
    <w:rsid w:val="003179CB"/>
    <w:rsid w:val="00320E87"/>
    <w:rsid w:val="00321914"/>
    <w:rsid w:val="00321B26"/>
    <w:rsid w:val="00322471"/>
    <w:rsid w:val="003228E3"/>
    <w:rsid w:val="00323583"/>
    <w:rsid w:val="00323942"/>
    <w:rsid w:val="003244F9"/>
    <w:rsid w:val="00324560"/>
    <w:rsid w:val="003248CF"/>
    <w:rsid w:val="00324EEE"/>
    <w:rsid w:val="0032518A"/>
    <w:rsid w:val="00325C57"/>
    <w:rsid w:val="00325ED4"/>
    <w:rsid w:val="00326706"/>
    <w:rsid w:val="00326BAF"/>
    <w:rsid w:val="00326F5B"/>
    <w:rsid w:val="003279A2"/>
    <w:rsid w:val="00327B5F"/>
    <w:rsid w:val="0033011A"/>
    <w:rsid w:val="003302DB"/>
    <w:rsid w:val="003304D7"/>
    <w:rsid w:val="003306F0"/>
    <w:rsid w:val="003308C3"/>
    <w:rsid w:val="003309B7"/>
    <w:rsid w:val="00330C86"/>
    <w:rsid w:val="00330D29"/>
    <w:rsid w:val="00331534"/>
    <w:rsid w:val="00331A17"/>
    <w:rsid w:val="00332296"/>
    <w:rsid w:val="003324EA"/>
    <w:rsid w:val="003328A1"/>
    <w:rsid w:val="00332941"/>
    <w:rsid w:val="00333FEB"/>
    <w:rsid w:val="00333FF3"/>
    <w:rsid w:val="00334109"/>
    <w:rsid w:val="0033531A"/>
    <w:rsid w:val="00335A22"/>
    <w:rsid w:val="00335AB8"/>
    <w:rsid w:val="00336783"/>
    <w:rsid w:val="00336971"/>
    <w:rsid w:val="00336BBA"/>
    <w:rsid w:val="00336D7F"/>
    <w:rsid w:val="0033745A"/>
    <w:rsid w:val="003378B2"/>
    <w:rsid w:val="00337A53"/>
    <w:rsid w:val="00337E61"/>
    <w:rsid w:val="003403D0"/>
    <w:rsid w:val="003403EB"/>
    <w:rsid w:val="00340527"/>
    <w:rsid w:val="00340A5D"/>
    <w:rsid w:val="0034112B"/>
    <w:rsid w:val="0034124D"/>
    <w:rsid w:val="003415E1"/>
    <w:rsid w:val="00341BDA"/>
    <w:rsid w:val="003426FD"/>
    <w:rsid w:val="00342D53"/>
    <w:rsid w:val="0034352F"/>
    <w:rsid w:val="00343B4F"/>
    <w:rsid w:val="003446EB"/>
    <w:rsid w:val="003459CA"/>
    <w:rsid w:val="003463A8"/>
    <w:rsid w:val="00347185"/>
    <w:rsid w:val="00350474"/>
    <w:rsid w:val="003504E2"/>
    <w:rsid w:val="00350851"/>
    <w:rsid w:val="003508FE"/>
    <w:rsid w:val="0035092F"/>
    <w:rsid w:val="003514FF"/>
    <w:rsid w:val="003515ED"/>
    <w:rsid w:val="00352074"/>
    <w:rsid w:val="0035251A"/>
    <w:rsid w:val="00352849"/>
    <w:rsid w:val="0035351B"/>
    <w:rsid w:val="00353EFA"/>
    <w:rsid w:val="00354F58"/>
    <w:rsid w:val="00355164"/>
    <w:rsid w:val="0035535D"/>
    <w:rsid w:val="003561F3"/>
    <w:rsid w:val="00357140"/>
    <w:rsid w:val="00357C62"/>
    <w:rsid w:val="0036013A"/>
    <w:rsid w:val="00361295"/>
    <w:rsid w:val="0036179F"/>
    <w:rsid w:val="0036208E"/>
    <w:rsid w:val="00362450"/>
    <w:rsid w:val="00362855"/>
    <w:rsid w:val="00363093"/>
    <w:rsid w:val="00363737"/>
    <w:rsid w:val="00363C48"/>
    <w:rsid w:val="00363CB1"/>
    <w:rsid w:val="003643D0"/>
    <w:rsid w:val="00364507"/>
    <w:rsid w:val="00364C31"/>
    <w:rsid w:val="003653EB"/>
    <w:rsid w:val="003656E8"/>
    <w:rsid w:val="00365916"/>
    <w:rsid w:val="00366411"/>
    <w:rsid w:val="00366717"/>
    <w:rsid w:val="00367216"/>
    <w:rsid w:val="0036765E"/>
    <w:rsid w:val="00367B9F"/>
    <w:rsid w:val="00367C7E"/>
    <w:rsid w:val="003701FC"/>
    <w:rsid w:val="00370739"/>
    <w:rsid w:val="003709C6"/>
    <w:rsid w:val="00370D63"/>
    <w:rsid w:val="003718EB"/>
    <w:rsid w:val="003719DA"/>
    <w:rsid w:val="00371ADB"/>
    <w:rsid w:val="00372C34"/>
    <w:rsid w:val="003732C6"/>
    <w:rsid w:val="00373365"/>
    <w:rsid w:val="003737E4"/>
    <w:rsid w:val="003738D3"/>
    <w:rsid w:val="003741DF"/>
    <w:rsid w:val="00375FBA"/>
    <w:rsid w:val="0037758A"/>
    <w:rsid w:val="003779AE"/>
    <w:rsid w:val="00377AAE"/>
    <w:rsid w:val="00377C1A"/>
    <w:rsid w:val="00377DB3"/>
    <w:rsid w:val="00377ECD"/>
    <w:rsid w:val="003804EE"/>
    <w:rsid w:val="003813B0"/>
    <w:rsid w:val="00381653"/>
    <w:rsid w:val="00381A0F"/>
    <w:rsid w:val="00382081"/>
    <w:rsid w:val="00382BBD"/>
    <w:rsid w:val="00382D3E"/>
    <w:rsid w:val="00383285"/>
    <w:rsid w:val="003832A8"/>
    <w:rsid w:val="003839DE"/>
    <w:rsid w:val="00383BF8"/>
    <w:rsid w:val="00383D51"/>
    <w:rsid w:val="003853E0"/>
    <w:rsid w:val="00385436"/>
    <w:rsid w:val="0038587D"/>
    <w:rsid w:val="00385EF6"/>
    <w:rsid w:val="00386C16"/>
    <w:rsid w:val="00387061"/>
    <w:rsid w:val="00387350"/>
    <w:rsid w:val="00387893"/>
    <w:rsid w:val="00387C62"/>
    <w:rsid w:val="00390B50"/>
    <w:rsid w:val="00391081"/>
    <w:rsid w:val="00391A0E"/>
    <w:rsid w:val="00391E04"/>
    <w:rsid w:val="0039202D"/>
    <w:rsid w:val="003927FA"/>
    <w:rsid w:val="003934ED"/>
    <w:rsid w:val="00393AB6"/>
    <w:rsid w:val="00394F3E"/>
    <w:rsid w:val="0039545E"/>
    <w:rsid w:val="00395738"/>
    <w:rsid w:val="00396031"/>
    <w:rsid w:val="00396618"/>
    <w:rsid w:val="00396AEF"/>
    <w:rsid w:val="00397F81"/>
    <w:rsid w:val="003A0256"/>
    <w:rsid w:val="003A041B"/>
    <w:rsid w:val="003A07A3"/>
    <w:rsid w:val="003A08B9"/>
    <w:rsid w:val="003A0F35"/>
    <w:rsid w:val="003A1999"/>
    <w:rsid w:val="003A21C5"/>
    <w:rsid w:val="003A2696"/>
    <w:rsid w:val="003A2836"/>
    <w:rsid w:val="003A2E15"/>
    <w:rsid w:val="003A2F98"/>
    <w:rsid w:val="003A367B"/>
    <w:rsid w:val="003A4858"/>
    <w:rsid w:val="003A4F08"/>
    <w:rsid w:val="003A5481"/>
    <w:rsid w:val="003A58F9"/>
    <w:rsid w:val="003A5EAB"/>
    <w:rsid w:val="003A659E"/>
    <w:rsid w:val="003A6E29"/>
    <w:rsid w:val="003A73B3"/>
    <w:rsid w:val="003A7870"/>
    <w:rsid w:val="003A7A42"/>
    <w:rsid w:val="003A7B10"/>
    <w:rsid w:val="003B26B7"/>
    <w:rsid w:val="003B2FE2"/>
    <w:rsid w:val="003B3011"/>
    <w:rsid w:val="003B33EA"/>
    <w:rsid w:val="003B52FD"/>
    <w:rsid w:val="003B537A"/>
    <w:rsid w:val="003B608D"/>
    <w:rsid w:val="003B63C0"/>
    <w:rsid w:val="003B6484"/>
    <w:rsid w:val="003B6CF5"/>
    <w:rsid w:val="003B7005"/>
    <w:rsid w:val="003B70E1"/>
    <w:rsid w:val="003C037C"/>
    <w:rsid w:val="003C08DD"/>
    <w:rsid w:val="003C1E58"/>
    <w:rsid w:val="003C27DC"/>
    <w:rsid w:val="003C28D5"/>
    <w:rsid w:val="003C3983"/>
    <w:rsid w:val="003C3B73"/>
    <w:rsid w:val="003C3FA4"/>
    <w:rsid w:val="003C42CB"/>
    <w:rsid w:val="003C4704"/>
    <w:rsid w:val="003C4CC2"/>
    <w:rsid w:val="003C62D8"/>
    <w:rsid w:val="003C6536"/>
    <w:rsid w:val="003C7C64"/>
    <w:rsid w:val="003C7F32"/>
    <w:rsid w:val="003D00B8"/>
    <w:rsid w:val="003D026A"/>
    <w:rsid w:val="003D0900"/>
    <w:rsid w:val="003D11C6"/>
    <w:rsid w:val="003D133A"/>
    <w:rsid w:val="003D144D"/>
    <w:rsid w:val="003D15C7"/>
    <w:rsid w:val="003D16B4"/>
    <w:rsid w:val="003D22B0"/>
    <w:rsid w:val="003D2755"/>
    <w:rsid w:val="003D275B"/>
    <w:rsid w:val="003D34CE"/>
    <w:rsid w:val="003D3703"/>
    <w:rsid w:val="003D4C98"/>
    <w:rsid w:val="003D5401"/>
    <w:rsid w:val="003D5828"/>
    <w:rsid w:val="003D65C9"/>
    <w:rsid w:val="003D69A5"/>
    <w:rsid w:val="003D7719"/>
    <w:rsid w:val="003E0C74"/>
    <w:rsid w:val="003E15B4"/>
    <w:rsid w:val="003E1898"/>
    <w:rsid w:val="003E1A29"/>
    <w:rsid w:val="003E1B1F"/>
    <w:rsid w:val="003E1E04"/>
    <w:rsid w:val="003E1EB9"/>
    <w:rsid w:val="003E2D6B"/>
    <w:rsid w:val="003E2EDA"/>
    <w:rsid w:val="003E3507"/>
    <w:rsid w:val="003E379D"/>
    <w:rsid w:val="003E3906"/>
    <w:rsid w:val="003E3C7A"/>
    <w:rsid w:val="003E415A"/>
    <w:rsid w:val="003E58D0"/>
    <w:rsid w:val="003E6224"/>
    <w:rsid w:val="003E6319"/>
    <w:rsid w:val="003E7334"/>
    <w:rsid w:val="003E73C3"/>
    <w:rsid w:val="003E7585"/>
    <w:rsid w:val="003F02CE"/>
    <w:rsid w:val="003F0719"/>
    <w:rsid w:val="003F1095"/>
    <w:rsid w:val="003F15F1"/>
    <w:rsid w:val="003F1C63"/>
    <w:rsid w:val="003F1CEC"/>
    <w:rsid w:val="003F1FFC"/>
    <w:rsid w:val="003F2CCE"/>
    <w:rsid w:val="003F304C"/>
    <w:rsid w:val="003F6172"/>
    <w:rsid w:val="003F63EA"/>
    <w:rsid w:val="003F6583"/>
    <w:rsid w:val="003F6B6D"/>
    <w:rsid w:val="003F7121"/>
    <w:rsid w:val="004000F4"/>
    <w:rsid w:val="00400D48"/>
    <w:rsid w:val="004010C5"/>
    <w:rsid w:val="00402970"/>
    <w:rsid w:val="00402DFB"/>
    <w:rsid w:val="00402F2C"/>
    <w:rsid w:val="00403208"/>
    <w:rsid w:val="0040382D"/>
    <w:rsid w:val="004038AB"/>
    <w:rsid w:val="00403959"/>
    <w:rsid w:val="00403C3D"/>
    <w:rsid w:val="00403DC2"/>
    <w:rsid w:val="00404094"/>
    <w:rsid w:val="004041B0"/>
    <w:rsid w:val="00404244"/>
    <w:rsid w:val="004052A0"/>
    <w:rsid w:val="00405CDB"/>
    <w:rsid w:val="0040636E"/>
    <w:rsid w:val="0040657A"/>
    <w:rsid w:val="00406DFA"/>
    <w:rsid w:val="004073CD"/>
    <w:rsid w:val="00407B93"/>
    <w:rsid w:val="00407DB9"/>
    <w:rsid w:val="00407F1E"/>
    <w:rsid w:val="004101DB"/>
    <w:rsid w:val="0041072D"/>
    <w:rsid w:val="00411EA5"/>
    <w:rsid w:val="004120F8"/>
    <w:rsid w:val="00412B5C"/>
    <w:rsid w:val="00413111"/>
    <w:rsid w:val="004132FC"/>
    <w:rsid w:val="00413517"/>
    <w:rsid w:val="00413705"/>
    <w:rsid w:val="00413A57"/>
    <w:rsid w:val="00413D3A"/>
    <w:rsid w:val="00413E1C"/>
    <w:rsid w:val="00414268"/>
    <w:rsid w:val="004162BD"/>
    <w:rsid w:val="004163C4"/>
    <w:rsid w:val="00417728"/>
    <w:rsid w:val="00417FB1"/>
    <w:rsid w:val="00420004"/>
    <w:rsid w:val="00420AE6"/>
    <w:rsid w:val="00420C0F"/>
    <w:rsid w:val="004214F5"/>
    <w:rsid w:val="00421D34"/>
    <w:rsid w:val="00421F88"/>
    <w:rsid w:val="0042222E"/>
    <w:rsid w:val="0042228D"/>
    <w:rsid w:val="0042243C"/>
    <w:rsid w:val="00422D2C"/>
    <w:rsid w:val="00423267"/>
    <w:rsid w:val="0042374D"/>
    <w:rsid w:val="00423794"/>
    <w:rsid w:val="00423DAC"/>
    <w:rsid w:val="004244F3"/>
    <w:rsid w:val="00426EBE"/>
    <w:rsid w:val="00426FDD"/>
    <w:rsid w:val="004273AB"/>
    <w:rsid w:val="00427469"/>
    <w:rsid w:val="00427C84"/>
    <w:rsid w:val="00430274"/>
    <w:rsid w:val="00430496"/>
    <w:rsid w:val="00430610"/>
    <w:rsid w:val="00430733"/>
    <w:rsid w:val="004307F1"/>
    <w:rsid w:val="00431250"/>
    <w:rsid w:val="00431694"/>
    <w:rsid w:val="00432FEB"/>
    <w:rsid w:val="004330D3"/>
    <w:rsid w:val="00433CF0"/>
    <w:rsid w:val="00434504"/>
    <w:rsid w:val="004346B1"/>
    <w:rsid w:val="00434749"/>
    <w:rsid w:val="004348B4"/>
    <w:rsid w:val="00434E91"/>
    <w:rsid w:val="00435101"/>
    <w:rsid w:val="0043579F"/>
    <w:rsid w:val="00436294"/>
    <w:rsid w:val="004368F2"/>
    <w:rsid w:val="00436D69"/>
    <w:rsid w:val="00440590"/>
    <w:rsid w:val="004406FF"/>
    <w:rsid w:val="00440AEB"/>
    <w:rsid w:val="004416DC"/>
    <w:rsid w:val="004416F5"/>
    <w:rsid w:val="0044175F"/>
    <w:rsid w:val="00442383"/>
    <w:rsid w:val="00442A1E"/>
    <w:rsid w:val="0044318F"/>
    <w:rsid w:val="00443588"/>
    <w:rsid w:val="00443B5B"/>
    <w:rsid w:val="00443CF6"/>
    <w:rsid w:val="00443F6B"/>
    <w:rsid w:val="004441F3"/>
    <w:rsid w:val="004444CB"/>
    <w:rsid w:val="004447C6"/>
    <w:rsid w:val="00444903"/>
    <w:rsid w:val="004449B2"/>
    <w:rsid w:val="00444DC5"/>
    <w:rsid w:val="00445242"/>
    <w:rsid w:val="00445548"/>
    <w:rsid w:val="004455AF"/>
    <w:rsid w:val="00445C0B"/>
    <w:rsid w:val="00445F92"/>
    <w:rsid w:val="004460E7"/>
    <w:rsid w:val="00446124"/>
    <w:rsid w:val="0044617B"/>
    <w:rsid w:val="004466DC"/>
    <w:rsid w:val="00446FBC"/>
    <w:rsid w:val="00447E98"/>
    <w:rsid w:val="004507CB"/>
    <w:rsid w:val="00450D32"/>
    <w:rsid w:val="0045102B"/>
    <w:rsid w:val="00451903"/>
    <w:rsid w:val="00452129"/>
    <w:rsid w:val="004522A1"/>
    <w:rsid w:val="00452349"/>
    <w:rsid w:val="004523A9"/>
    <w:rsid w:val="004524D4"/>
    <w:rsid w:val="0045335A"/>
    <w:rsid w:val="00453AAE"/>
    <w:rsid w:val="00453BCE"/>
    <w:rsid w:val="00453D11"/>
    <w:rsid w:val="00454778"/>
    <w:rsid w:val="00454BDF"/>
    <w:rsid w:val="00456033"/>
    <w:rsid w:val="0045705F"/>
    <w:rsid w:val="004578AC"/>
    <w:rsid w:val="004578E4"/>
    <w:rsid w:val="00457BCC"/>
    <w:rsid w:val="004602A3"/>
    <w:rsid w:val="004602ED"/>
    <w:rsid w:val="00461182"/>
    <w:rsid w:val="004619E9"/>
    <w:rsid w:val="00461E3F"/>
    <w:rsid w:val="0046280F"/>
    <w:rsid w:val="0046318F"/>
    <w:rsid w:val="00463698"/>
    <w:rsid w:val="0046376A"/>
    <w:rsid w:val="00463B73"/>
    <w:rsid w:val="00463E19"/>
    <w:rsid w:val="00464283"/>
    <w:rsid w:val="00464293"/>
    <w:rsid w:val="00464369"/>
    <w:rsid w:val="004646D8"/>
    <w:rsid w:val="00464B47"/>
    <w:rsid w:val="00465121"/>
    <w:rsid w:val="0046522A"/>
    <w:rsid w:val="00466100"/>
    <w:rsid w:val="00466218"/>
    <w:rsid w:val="0046648C"/>
    <w:rsid w:val="0046702E"/>
    <w:rsid w:val="00467373"/>
    <w:rsid w:val="004673FA"/>
    <w:rsid w:val="00467C25"/>
    <w:rsid w:val="004701A3"/>
    <w:rsid w:val="00470417"/>
    <w:rsid w:val="0047151D"/>
    <w:rsid w:val="0047179E"/>
    <w:rsid w:val="00471B01"/>
    <w:rsid w:val="00472655"/>
    <w:rsid w:val="00472A05"/>
    <w:rsid w:val="00472F5A"/>
    <w:rsid w:val="0047314D"/>
    <w:rsid w:val="0047406A"/>
    <w:rsid w:val="004762BB"/>
    <w:rsid w:val="0047672D"/>
    <w:rsid w:val="00476D6E"/>
    <w:rsid w:val="00476DA4"/>
    <w:rsid w:val="00477966"/>
    <w:rsid w:val="00482485"/>
    <w:rsid w:val="004825F2"/>
    <w:rsid w:val="004829DF"/>
    <w:rsid w:val="00482FAD"/>
    <w:rsid w:val="004839CE"/>
    <w:rsid w:val="00483A78"/>
    <w:rsid w:val="00483BC8"/>
    <w:rsid w:val="00484CED"/>
    <w:rsid w:val="00485095"/>
    <w:rsid w:val="004852CB"/>
    <w:rsid w:val="004855BF"/>
    <w:rsid w:val="0048569C"/>
    <w:rsid w:val="00485729"/>
    <w:rsid w:val="004862A4"/>
    <w:rsid w:val="004863B8"/>
    <w:rsid w:val="0048695E"/>
    <w:rsid w:val="00490F8F"/>
    <w:rsid w:val="00491069"/>
    <w:rsid w:val="0049114D"/>
    <w:rsid w:val="004911E0"/>
    <w:rsid w:val="00491962"/>
    <w:rsid w:val="00492089"/>
    <w:rsid w:val="0049258D"/>
    <w:rsid w:val="004925D4"/>
    <w:rsid w:val="004927D9"/>
    <w:rsid w:val="00492A4F"/>
    <w:rsid w:val="00492DB8"/>
    <w:rsid w:val="00493E2F"/>
    <w:rsid w:val="00494D7E"/>
    <w:rsid w:val="00494F7C"/>
    <w:rsid w:val="00495018"/>
    <w:rsid w:val="0049569A"/>
    <w:rsid w:val="00495B96"/>
    <w:rsid w:val="00495D85"/>
    <w:rsid w:val="004964DC"/>
    <w:rsid w:val="004965F0"/>
    <w:rsid w:val="004A0B5C"/>
    <w:rsid w:val="004A0CBA"/>
    <w:rsid w:val="004A1153"/>
    <w:rsid w:val="004A18C4"/>
    <w:rsid w:val="004A248A"/>
    <w:rsid w:val="004A24D1"/>
    <w:rsid w:val="004A3352"/>
    <w:rsid w:val="004A47A0"/>
    <w:rsid w:val="004A491A"/>
    <w:rsid w:val="004A55CA"/>
    <w:rsid w:val="004A60E3"/>
    <w:rsid w:val="004A64E0"/>
    <w:rsid w:val="004A64E2"/>
    <w:rsid w:val="004A6A44"/>
    <w:rsid w:val="004A7106"/>
    <w:rsid w:val="004A73A9"/>
    <w:rsid w:val="004B0601"/>
    <w:rsid w:val="004B10CA"/>
    <w:rsid w:val="004B17F7"/>
    <w:rsid w:val="004B1B19"/>
    <w:rsid w:val="004B1C25"/>
    <w:rsid w:val="004B1DE3"/>
    <w:rsid w:val="004B269C"/>
    <w:rsid w:val="004B27CF"/>
    <w:rsid w:val="004B36D3"/>
    <w:rsid w:val="004B3B2D"/>
    <w:rsid w:val="004B4785"/>
    <w:rsid w:val="004B4ABE"/>
    <w:rsid w:val="004B6111"/>
    <w:rsid w:val="004B69F4"/>
    <w:rsid w:val="004B734B"/>
    <w:rsid w:val="004B7981"/>
    <w:rsid w:val="004B7B37"/>
    <w:rsid w:val="004C072D"/>
    <w:rsid w:val="004C151A"/>
    <w:rsid w:val="004C1C37"/>
    <w:rsid w:val="004C1E31"/>
    <w:rsid w:val="004C27A2"/>
    <w:rsid w:val="004C3FAD"/>
    <w:rsid w:val="004C5613"/>
    <w:rsid w:val="004C5C08"/>
    <w:rsid w:val="004C6031"/>
    <w:rsid w:val="004C682D"/>
    <w:rsid w:val="004C6925"/>
    <w:rsid w:val="004C6E3B"/>
    <w:rsid w:val="004C728B"/>
    <w:rsid w:val="004C793C"/>
    <w:rsid w:val="004C7E25"/>
    <w:rsid w:val="004D00B0"/>
    <w:rsid w:val="004D0DD6"/>
    <w:rsid w:val="004D18A7"/>
    <w:rsid w:val="004D21A8"/>
    <w:rsid w:val="004D2B96"/>
    <w:rsid w:val="004D345A"/>
    <w:rsid w:val="004D3AF7"/>
    <w:rsid w:val="004D458F"/>
    <w:rsid w:val="004D4923"/>
    <w:rsid w:val="004D4C7F"/>
    <w:rsid w:val="004D4DDF"/>
    <w:rsid w:val="004D4ED8"/>
    <w:rsid w:val="004D4FA8"/>
    <w:rsid w:val="004D58E0"/>
    <w:rsid w:val="004D5941"/>
    <w:rsid w:val="004D61BA"/>
    <w:rsid w:val="004D75FA"/>
    <w:rsid w:val="004D7798"/>
    <w:rsid w:val="004E17F0"/>
    <w:rsid w:val="004E1C79"/>
    <w:rsid w:val="004E1D2B"/>
    <w:rsid w:val="004E1FC8"/>
    <w:rsid w:val="004E2953"/>
    <w:rsid w:val="004E2D8D"/>
    <w:rsid w:val="004E31FE"/>
    <w:rsid w:val="004E37C9"/>
    <w:rsid w:val="004E3867"/>
    <w:rsid w:val="004E40E6"/>
    <w:rsid w:val="004E4633"/>
    <w:rsid w:val="004E47EF"/>
    <w:rsid w:val="004E4EA2"/>
    <w:rsid w:val="004E5686"/>
    <w:rsid w:val="004E5D33"/>
    <w:rsid w:val="004E5FA4"/>
    <w:rsid w:val="004E6121"/>
    <w:rsid w:val="004E6741"/>
    <w:rsid w:val="004E67FC"/>
    <w:rsid w:val="004E736C"/>
    <w:rsid w:val="004E77E8"/>
    <w:rsid w:val="004F01DD"/>
    <w:rsid w:val="004F0D2A"/>
    <w:rsid w:val="004F215D"/>
    <w:rsid w:val="004F21EC"/>
    <w:rsid w:val="004F22B7"/>
    <w:rsid w:val="004F23A1"/>
    <w:rsid w:val="004F27C9"/>
    <w:rsid w:val="004F3059"/>
    <w:rsid w:val="004F364D"/>
    <w:rsid w:val="004F371B"/>
    <w:rsid w:val="004F44E7"/>
    <w:rsid w:val="004F4E7A"/>
    <w:rsid w:val="004F4F63"/>
    <w:rsid w:val="004F50DA"/>
    <w:rsid w:val="004F5852"/>
    <w:rsid w:val="004F5928"/>
    <w:rsid w:val="004F79C2"/>
    <w:rsid w:val="004F7A9D"/>
    <w:rsid w:val="004F7BB4"/>
    <w:rsid w:val="004F7DF3"/>
    <w:rsid w:val="00500376"/>
    <w:rsid w:val="0050048C"/>
    <w:rsid w:val="005006D0"/>
    <w:rsid w:val="005015C0"/>
    <w:rsid w:val="00501773"/>
    <w:rsid w:val="00502698"/>
    <w:rsid w:val="00502AC9"/>
    <w:rsid w:val="00503080"/>
    <w:rsid w:val="005032C1"/>
    <w:rsid w:val="005034B3"/>
    <w:rsid w:val="005036EB"/>
    <w:rsid w:val="005037E3"/>
    <w:rsid w:val="00503BDF"/>
    <w:rsid w:val="00503F53"/>
    <w:rsid w:val="0050415F"/>
    <w:rsid w:val="00504528"/>
    <w:rsid w:val="005046BF"/>
    <w:rsid w:val="00504F59"/>
    <w:rsid w:val="00505361"/>
    <w:rsid w:val="00505C29"/>
    <w:rsid w:val="00505EA0"/>
    <w:rsid w:val="00507212"/>
    <w:rsid w:val="00507606"/>
    <w:rsid w:val="00507ADE"/>
    <w:rsid w:val="00507AFB"/>
    <w:rsid w:val="00507D14"/>
    <w:rsid w:val="00511742"/>
    <w:rsid w:val="00511B18"/>
    <w:rsid w:val="00512035"/>
    <w:rsid w:val="0051313D"/>
    <w:rsid w:val="00513928"/>
    <w:rsid w:val="00513CB5"/>
    <w:rsid w:val="005146DC"/>
    <w:rsid w:val="00514A99"/>
    <w:rsid w:val="00514CEC"/>
    <w:rsid w:val="00514D36"/>
    <w:rsid w:val="0051597A"/>
    <w:rsid w:val="00516200"/>
    <w:rsid w:val="00516AB0"/>
    <w:rsid w:val="00517233"/>
    <w:rsid w:val="0051768C"/>
    <w:rsid w:val="005179C8"/>
    <w:rsid w:val="00520B3B"/>
    <w:rsid w:val="00522045"/>
    <w:rsid w:val="005226FA"/>
    <w:rsid w:val="00522B0E"/>
    <w:rsid w:val="00523BF4"/>
    <w:rsid w:val="0052453C"/>
    <w:rsid w:val="00524AF1"/>
    <w:rsid w:val="00524F33"/>
    <w:rsid w:val="00525196"/>
    <w:rsid w:val="00525874"/>
    <w:rsid w:val="00525B0E"/>
    <w:rsid w:val="00525B82"/>
    <w:rsid w:val="00526934"/>
    <w:rsid w:val="00527582"/>
    <w:rsid w:val="00527801"/>
    <w:rsid w:val="0053069D"/>
    <w:rsid w:val="00530720"/>
    <w:rsid w:val="00530BEF"/>
    <w:rsid w:val="00530ECE"/>
    <w:rsid w:val="00530FBD"/>
    <w:rsid w:val="0053100B"/>
    <w:rsid w:val="005310F0"/>
    <w:rsid w:val="005318AE"/>
    <w:rsid w:val="00532206"/>
    <w:rsid w:val="005322A0"/>
    <w:rsid w:val="0053244D"/>
    <w:rsid w:val="005326AD"/>
    <w:rsid w:val="00532841"/>
    <w:rsid w:val="00532995"/>
    <w:rsid w:val="00532F06"/>
    <w:rsid w:val="005331C4"/>
    <w:rsid w:val="00533840"/>
    <w:rsid w:val="00533941"/>
    <w:rsid w:val="005341C5"/>
    <w:rsid w:val="0053515B"/>
    <w:rsid w:val="005354AC"/>
    <w:rsid w:val="00535AB5"/>
    <w:rsid w:val="00536656"/>
    <w:rsid w:val="00536F48"/>
    <w:rsid w:val="00537145"/>
    <w:rsid w:val="005375DB"/>
    <w:rsid w:val="005377A7"/>
    <w:rsid w:val="00537BC2"/>
    <w:rsid w:val="00537D57"/>
    <w:rsid w:val="00540328"/>
    <w:rsid w:val="005407E8"/>
    <w:rsid w:val="005412C4"/>
    <w:rsid w:val="005412FC"/>
    <w:rsid w:val="0054158D"/>
    <w:rsid w:val="005422F9"/>
    <w:rsid w:val="005423B6"/>
    <w:rsid w:val="005427D8"/>
    <w:rsid w:val="00542AD6"/>
    <w:rsid w:val="00542B74"/>
    <w:rsid w:val="00542CD9"/>
    <w:rsid w:val="00542D7C"/>
    <w:rsid w:val="005433A8"/>
    <w:rsid w:val="0054357D"/>
    <w:rsid w:val="00544AA3"/>
    <w:rsid w:val="005450BC"/>
    <w:rsid w:val="00545581"/>
    <w:rsid w:val="0054591A"/>
    <w:rsid w:val="00545F54"/>
    <w:rsid w:val="0054604A"/>
    <w:rsid w:val="005462F7"/>
    <w:rsid w:val="00546324"/>
    <w:rsid w:val="005465FB"/>
    <w:rsid w:val="00546C19"/>
    <w:rsid w:val="00546F0D"/>
    <w:rsid w:val="00547296"/>
    <w:rsid w:val="00547846"/>
    <w:rsid w:val="00550E26"/>
    <w:rsid w:val="00550F7D"/>
    <w:rsid w:val="00550FD9"/>
    <w:rsid w:val="00551626"/>
    <w:rsid w:val="00551B29"/>
    <w:rsid w:val="00551D94"/>
    <w:rsid w:val="00551EEF"/>
    <w:rsid w:val="005520C0"/>
    <w:rsid w:val="00552B24"/>
    <w:rsid w:val="005535A6"/>
    <w:rsid w:val="00553BD4"/>
    <w:rsid w:val="005547AE"/>
    <w:rsid w:val="00554AD3"/>
    <w:rsid w:val="00554BFA"/>
    <w:rsid w:val="00554CCC"/>
    <w:rsid w:val="005558D1"/>
    <w:rsid w:val="00555A04"/>
    <w:rsid w:val="0055666C"/>
    <w:rsid w:val="00557C82"/>
    <w:rsid w:val="00560216"/>
    <w:rsid w:val="00560FB2"/>
    <w:rsid w:val="00561C7C"/>
    <w:rsid w:val="00561F9F"/>
    <w:rsid w:val="0056333C"/>
    <w:rsid w:val="0056336A"/>
    <w:rsid w:val="00563791"/>
    <w:rsid w:val="00563BFC"/>
    <w:rsid w:val="00564207"/>
    <w:rsid w:val="00564746"/>
    <w:rsid w:val="00564C44"/>
    <w:rsid w:val="00564EEF"/>
    <w:rsid w:val="0056544D"/>
    <w:rsid w:val="005657C8"/>
    <w:rsid w:val="00565D38"/>
    <w:rsid w:val="0056615D"/>
    <w:rsid w:val="00566EC6"/>
    <w:rsid w:val="005671D8"/>
    <w:rsid w:val="00567380"/>
    <w:rsid w:val="00567557"/>
    <w:rsid w:val="005678C1"/>
    <w:rsid w:val="00567A89"/>
    <w:rsid w:val="00567AE4"/>
    <w:rsid w:val="00570354"/>
    <w:rsid w:val="00570A33"/>
    <w:rsid w:val="005710E5"/>
    <w:rsid w:val="0057169D"/>
    <w:rsid w:val="00571FC5"/>
    <w:rsid w:val="00572878"/>
    <w:rsid w:val="00572DDF"/>
    <w:rsid w:val="005730A5"/>
    <w:rsid w:val="005734F0"/>
    <w:rsid w:val="005738CA"/>
    <w:rsid w:val="00573A1C"/>
    <w:rsid w:val="00573A7D"/>
    <w:rsid w:val="00573E18"/>
    <w:rsid w:val="00573E31"/>
    <w:rsid w:val="00574125"/>
    <w:rsid w:val="00574A4D"/>
    <w:rsid w:val="00574D3E"/>
    <w:rsid w:val="00574E0C"/>
    <w:rsid w:val="00575420"/>
    <w:rsid w:val="0057582D"/>
    <w:rsid w:val="005760BB"/>
    <w:rsid w:val="0057656F"/>
    <w:rsid w:val="00576627"/>
    <w:rsid w:val="00576BA4"/>
    <w:rsid w:val="00577038"/>
    <w:rsid w:val="0057740C"/>
    <w:rsid w:val="005777DE"/>
    <w:rsid w:val="00580BD9"/>
    <w:rsid w:val="00581405"/>
    <w:rsid w:val="005818B3"/>
    <w:rsid w:val="00581CC0"/>
    <w:rsid w:val="00581DC6"/>
    <w:rsid w:val="00581E4A"/>
    <w:rsid w:val="00581F68"/>
    <w:rsid w:val="00582438"/>
    <w:rsid w:val="00582D22"/>
    <w:rsid w:val="00582DB6"/>
    <w:rsid w:val="00583210"/>
    <w:rsid w:val="005832DC"/>
    <w:rsid w:val="00583873"/>
    <w:rsid w:val="00583875"/>
    <w:rsid w:val="00583A68"/>
    <w:rsid w:val="005841CA"/>
    <w:rsid w:val="005844E5"/>
    <w:rsid w:val="00584688"/>
    <w:rsid w:val="00584800"/>
    <w:rsid w:val="00584A61"/>
    <w:rsid w:val="005850BC"/>
    <w:rsid w:val="005850FC"/>
    <w:rsid w:val="00585D63"/>
    <w:rsid w:val="00586DA9"/>
    <w:rsid w:val="00586FA2"/>
    <w:rsid w:val="00587643"/>
    <w:rsid w:val="00587D7E"/>
    <w:rsid w:val="00590F9B"/>
    <w:rsid w:val="0059152B"/>
    <w:rsid w:val="00591A0A"/>
    <w:rsid w:val="00591B65"/>
    <w:rsid w:val="0059287E"/>
    <w:rsid w:val="005928A6"/>
    <w:rsid w:val="00592C21"/>
    <w:rsid w:val="00592C34"/>
    <w:rsid w:val="00593F90"/>
    <w:rsid w:val="005941F0"/>
    <w:rsid w:val="0059435B"/>
    <w:rsid w:val="005945DD"/>
    <w:rsid w:val="00594C7D"/>
    <w:rsid w:val="00594E48"/>
    <w:rsid w:val="005951EE"/>
    <w:rsid w:val="00596313"/>
    <w:rsid w:val="00596CC5"/>
    <w:rsid w:val="00596D18"/>
    <w:rsid w:val="00597019"/>
    <w:rsid w:val="00597B56"/>
    <w:rsid w:val="00597E51"/>
    <w:rsid w:val="005A0373"/>
    <w:rsid w:val="005A10C5"/>
    <w:rsid w:val="005A1A0A"/>
    <w:rsid w:val="005A1CE5"/>
    <w:rsid w:val="005A1D68"/>
    <w:rsid w:val="005A238D"/>
    <w:rsid w:val="005A2F38"/>
    <w:rsid w:val="005A3036"/>
    <w:rsid w:val="005A3E21"/>
    <w:rsid w:val="005A4185"/>
    <w:rsid w:val="005A4E0E"/>
    <w:rsid w:val="005A55CB"/>
    <w:rsid w:val="005A565E"/>
    <w:rsid w:val="005A5C0B"/>
    <w:rsid w:val="005A62E0"/>
    <w:rsid w:val="005A67ED"/>
    <w:rsid w:val="005B00AD"/>
    <w:rsid w:val="005B03D6"/>
    <w:rsid w:val="005B0657"/>
    <w:rsid w:val="005B0F1B"/>
    <w:rsid w:val="005B1453"/>
    <w:rsid w:val="005B1482"/>
    <w:rsid w:val="005B1AF7"/>
    <w:rsid w:val="005B1AFC"/>
    <w:rsid w:val="005B23D8"/>
    <w:rsid w:val="005B2465"/>
    <w:rsid w:val="005B29BE"/>
    <w:rsid w:val="005B3459"/>
    <w:rsid w:val="005B34C5"/>
    <w:rsid w:val="005B3985"/>
    <w:rsid w:val="005B4215"/>
    <w:rsid w:val="005B46F6"/>
    <w:rsid w:val="005B4BB8"/>
    <w:rsid w:val="005B4F3F"/>
    <w:rsid w:val="005B56FD"/>
    <w:rsid w:val="005B641D"/>
    <w:rsid w:val="005B64D6"/>
    <w:rsid w:val="005B66F4"/>
    <w:rsid w:val="005B6A08"/>
    <w:rsid w:val="005B6D2A"/>
    <w:rsid w:val="005B70A0"/>
    <w:rsid w:val="005B72A3"/>
    <w:rsid w:val="005B7A4C"/>
    <w:rsid w:val="005C06DC"/>
    <w:rsid w:val="005C0EDF"/>
    <w:rsid w:val="005C1721"/>
    <w:rsid w:val="005C29AA"/>
    <w:rsid w:val="005C2FC5"/>
    <w:rsid w:val="005C3329"/>
    <w:rsid w:val="005C362C"/>
    <w:rsid w:val="005C5B35"/>
    <w:rsid w:val="005C6BF2"/>
    <w:rsid w:val="005C72B1"/>
    <w:rsid w:val="005C7668"/>
    <w:rsid w:val="005C7CBE"/>
    <w:rsid w:val="005D046B"/>
    <w:rsid w:val="005D0ADC"/>
    <w:rsid w:val="005D12DD"/>
    <w:rsid w:val="005D1FB6"/>
    <w:rsid w:val="005D2C25"/>
    <w:rsid w:val="005D2C2F"/>
    <w:rsid w:val="005D30BD"/>
    <w:rsid w:val="005D33BA"/>
    <w:rsid w:val="005D4E55"/>
    <w:rsid w:val="005D55F1"/>
    <w:rsid w:val="005D5B0B"/>
    <w:rsid w:val="005D60FF"/>
    <w:rsid w:val="005D6736"/>
    <w:rsid w:val="005D6F37"/>
    <w:rsid w:val="005D732B"/>
    <w:rsid w:val="005D7839"/>
    <w:rsid w:val="005D7A34"/>
    <w:rsid w:val="005D7B35"/>
    <w:rsid w:val="005E0238"/>
    <w:rsid w:val="005E023F"/>
    <w:rsid w:val="005E0A93"/>
    <w:rsid w:val="005E0EDB"/>
    <w:rsid w:val="005E1FCF"/>
    <w:rsid w:val="005E222D"/>
    <w:rsid w:val="005E22A3"/>
    <w:rsid w:val="005E2597"/>
    <w:rsid w:val="005E2BF1"/>
    <w:rsid w:val="005E3371"/>
    <w:rsid w:val="005E3B53"/>
    <w:rsid w:val="005E4BD8"/>
    <w:rsid w:val="005E542E"/>
    <w:rsid w:val="005E550A"/>
    <w:rsid w:val="005E592B"/>
    <w:rsid w:val="005E64D8"/>
    <w:rsid w:val="005E6C66"/>
    <w:rsid w:val="005E6D9E"/>
    <w:rsid w:val="005E7377"/>
    <w:rsid w:val="005F0195"/>
    <w:rsid w:val="005F04B2"/>
    <w:rsid w:val="005F09CA"/>
    <w:rsid w:val="005F0F78"/>
    <w:rsid w:val="005F1349"/>
    <w:rsid w:val="005F1966"/>
    <w:rsid w:val="005F19BB"/>
    <w:rsid w:val="005F1A16"/>
    <w:rsid w:val="005F1AC0"/>
    <w:rsid w:val="005F1F4B"/>
    <w:rsid w:val="005F3C87"/>
    <w:rsid w:val="005F3F3A"/>
    <w:rsid w:val="005F4076"/>
    <w:rsid w:val="005F4FA3"/>
    <w:rsid w:val="005F51CB"/>
    <w:rsid w:val="005F5C22"/>
    <w:rsid w:val="005F5F42"/>
    <w:rsid w:val="005F63A3"/>
    <w:rsid w:val="005F6E13"/>
    <w:rsid w:val="005F7259"/>
    <w:rsid w:val="005F775F"/>
    <w:rsid w:val="005F7F0F"/>
    <w:rsid w:val="0060076C"/>
    <w:rsid w:val="006007DA"/>
    <w:rsid w:val="00601198"/>
    <w:rsid w:val="00602804"/>
    <w:rsid w:val="00602DF2"/>
    <w:rsid w:val="006030FA"/>
    <w:rsid w:val="00603114"/>
    <w:rsid w:val="0060328D"/>
    <w:rsid w:val="00603E63"/>
    <w:rsid w:val="00604624"/>
    <w:rsid w:val="00604F91"/>
    <w:rsid w:val="00604FA1"/>
    <w:rsid w:val="0060502B"/>
    <w:rsid w:val="00605052"/>
    <w:rsid w:val="00605AA2"/>
    <w:rsid w:val="00606F72"/>
    <w:rsid w:val="0060725E"/>
    <w:rsid w:val="00607687"/>
    <w:rsid w:val="00610656"/>
    <w:rsid w:val="0061090B"/>
    <w:rsid w:val="00610A2F"/>
    <w:rsid w:val="00610F2D"/>
    <w:rsid w:val="006117E3"/>
    <w:rsid w:val="00611A24"/>
    <w:rsid w:val="00612235"/>
    <w:rsid w:val="00613248"/>
    <w:rsid w:val="006141BD"/>
    <w:rsid w:val="0061428D"/>
    <w:rsid w:val="00614BB5"/>
    <w:rsid w:val="00615533"/>
    <w:rsid w:val="00616599"/>
    <w:rsid w:val="0061685F"/>
    <w:rsid w:val="00616925"/>
    <w:rsid w:val="006170D6"/>
    <w:rsid w:val="006171E3"/>
    <w:rsid w:val="006172F7"/>
    <w:rsid w:val="0061743A"/>
    <w:rsid w:val="0061768E"/>
    <w:rsid w:val="00617C31"/>
    <w:rsid w:val="00620041"/>
    <w:rsid w:val="0062025B"/>
    <w:rsid w:val="00620A6D"/>
    <w:rsid w:val="0062101B"/>
    <w:rsid w:val="00621089"/>
    <w:rsid w:val="00621820"/>
    <w:rsid w:val="0062213D"/>
    <w:rsid w:val="00622354"/>
    <w:rsid w:val="006224FF"/>
    <w:rsid w:val="00622C26"/>
    <w:rsid w:val="00622CA6"/>
    <w:rsid w:val="006230D0"/>
    <w:rsid w:val="00623A62"/>
    <w:rsid w:val="006242F3"/>
    <w:rsid w:val="00624440"/>
    <w:rsid w:val="00624761"/>
    <w:rsid w:val="00624CA9"/>
    <w:rsid w:val="00624E3F"/>
    <w:rsid w:val="00625293"/>
    <w:rsid w:val="00626212"/>
    <w:rsid w:val="00626947"/>
    <w:rsid w:val="00626BB7"/>
    <w:rsid w:val="006270AB"/>
    <w:rsid w:val="006272D8"/>
    <w:rsid w:val="00631848"/>
    <w:rsid w:val="00631F2F"/>
    <w:rsid w:val="00631F3D"/>
    <w:rsid w:val="00632303"/>
    <w:rsid w:val="006324F9"/>
    <w:rsid w:val="00632646"/>
    <w:rsid w:val="00632A4C"/>
    <w:rsid w:val="0063388C"/>
    <w:rsid w:val="00635003"/>
    <w:rsid w:val="0063527F"/>
    <w:rsid w:val="00635A6D"/>
    <w:rsid w:val="00636E07"/>
    <w:rsid w:val="00636EE9"/>
    <w:rsid w:val="00637E5F"/>
    <w:rsid w:val="00637F12"/>
    <w:rsid w:val="0064050D"/>
    <w:rsid w:val="00641108"/>
    <w:rsid w:val="006412A0"/>
    <w:rsid w:val="006412BA"/>
    <w:rsid w:val="006414FE"/>
    <w:rsid w:val="0064214F"/>
    <w:rsid w:val="0064272D"/>
    <w:rsid w:val="00642EB0"/>
    <w:rsid w:val="00643E60"/>
    <w:rsid w:val="00643F84"/>
    <w:rsid w:val="00644056"/>
    <w:rsid w:val="00644ADE"/>
    <w:rsid w:val="00644DF9"/>
    <w:rsid w:val="006452F8"/>
    <w:rsid w:val="006458DE"/>
    <w:rsid w:val="006460EB"/>
    <w:rsid w:val="006465BC"/>
    <w:rsid w:val="0064765D"/>
    <w:rsid w:val="00650016"/>
    <w:rsid w:val="006508EC"/>
    <w:rsid w:val="00651812"/>
    <w:rsid w:val="0065196D"/>
    <w:rsid w:val="00651CFB"/>
    <w:rsid w:val="00652012"/>
    <w:rsid w:val="00652135"/>
    <w:rsid w:val="00652309"/>
    <w:rsid w:val="0065304E"/>
    <w:rsid w:val="00654459"/>
    <w:rsid w:val="0065567B"/>
    <w:rsid w:val="00655783"/>
    <w:rsid w:val="0065657A"/>
    <w:rsid w:val="00656725"/>
    <w:rsid w:val="00657A56"/>
    <w:rsid w:val="00657B58"/>
    <w:rsid w:val="00657C38"/>
    <w:rsid w:val="006603CF"/>
    <w:rsid w:val="00660472"/>
    <w:rsid w:val="006605B3"/>
    <w:rsid w:val="006607A4"/>
    <w:rsid w:val="00661015"/>
    <w:rsid w:val="00661066"/>
    <w:rsid w:val="00661489"/>
    <w:rsid w:val="0066210F"/>
    <w:rsid w:val="006625D6"/>
    <w:rsid w:val="0066309C"/>
    <w:rsid w:val="00663158"/>
    <w:rsid w:val="0066318B"/>
    <w:rsid w:val="00663BCE"/>
    <w:rsid w:val="006644B8"/>
    <w:rsid w:val="00664504"/>
    <w:rsid w:val="00664817"/>
    <w:rsid w:val="00664CB4"/>
    <w:rsid w:val="00664D6D"/>
    <w:rsid w:val="00665786"/>
    <w:rsid w:val="00665A30"/>
    <w:rsid w:val="00665C98"/>
    <w:rsid w:val="00665DA9"/>
    <w:rsid w:val="00665DF1"/>
    <w:rsid w:val="00666B4A"/>
    <w:rsid w:val="00666E25"/>
    <w:rsid w:val="00667FC5"/>
    <w:rsid w:val="006703DC"/>
    <w:rsid w:val="006704A0"/>
    <w:rsid w:val="006721F3"/>
    <w:rsid w:val="0067245D"/>
    <w:rsid w:val="00672833"/>
    <w:rsid w:val="00673A6B"/>
    <w:rsid w:val="00674C42"/>
    <w:rsid w:val="00674D35"/>
    <w:rsid w:val="00674E5A"/>
    <w:rsid w:val="006759F7"/>
    <w:rsid w:val="00675A70"/>
    <w:rsid w:val="00676540"/>
    <w:rsid w:val="006771D0"/>
    <w:rsid w:val="00677354"/>
    <w:rsid w:val="00677569"/>
    <w:rsid w:val="00677C2E"/>
    <w:rsid w:val="00680143"/>
    <w:rsid w:val="00681A36"/>
    <w:rsid w:val="00681E1B"/>
    <w:rsid w:val="006821CD"/>
    <w:rsid w:val="006825C7"/>
    <w:rsid w:val="00683823"/>
    <w:rsid w:val="006839DF"/>
    <w:rsid w:val="00683C0A"/>
    <w:rsid w:val="00684783"/>
    <w:rsid w:val="00684CBC"/>
    <w:rsid w:val="00685292"/>
    <w:rsid w:val="0068590D"/>
    <w:rsid w:val="00686A70"/>
    <w:rsid w:val="00686D74"/>
    <w:rsid w:val="0068795E"/>
    <w:rsid w:val="006901BA"/>
    <w:rsid w:val="00690540"/>
    <w:rsid w:val="00690A5F"/>
    <w:rsid w:val="00691742"/>
    <w:rsid w:val="00691814"/>
    <w:rsid w:val="00692217"/>
    <w:rsid w:val="0069266A"/>
    <w:rsid w:val="006928DA"/>
    <w:rsid w:val="0069335A"/>
    <w:rsid w:val="00694512"/>
    <w:rsid w:val="006954EC"/>
    <w:rsid w:val="00695857"/>
    <w:rsid w:val="006959A7"/>
    <w:rsid w:val="006960E8"/>
    <w:rsid w:val="0069671C"/>
    <w:rsid w:val="006A0466"/>
    <w:rsid w:val="006A0AD6"/>
    <w:rsid w:val="006A1436"/>
    <w:rsid w:val="006A1437"/>
    <w:rsid w:val="006A1D0C"/>
    <w:rsid w:val="006A1DE2"/>
    <w:rsid w:val="006A3644"/>
    <w:rsid w:val="006A3920"/>
    <w:rsid w:val="006A3A68"/>
    <w:rsid w:val="006A3B8E"/>
    <w:rsid w:val="006A4048"/>
    <w:rsid w:val="006A4164"/>
    <w:rsid w:val="006A58B2"/>
    <w:rsid w:val="006A5C81"/>
    <w:rsid w:val="006A5DDC"/>
    <w:rsid w:val="006A6022"/>
    <w:rsid w:val="006A6130"/>
    <w:rsid w:val="006A6140"/>
    <w:rsid w:val="006A6724"/>
    <w:rsid w:val="006A695F"/>
    <w:rsid w:val="006A6982"/>
    <w:rsid w:val="006A7B2F"/>
    <w:rsid w:val="006B0A58"/>
    <w:rsid w:val="006B1892"/>
    <w:rsid w:val="006B2B7B"/>
    <w:rsid w:val="006B2CA3"/>
    <w:rsid w:val="006B36B7"/>
    <w:rsid w:val="006B3A6C"/>
    <w:rsid w:val="006B3CE4"/>
    <w:rsid w:val="006B44B6"/>
    <w:rsid w:val="006B4EAD"/>
    <w:rsid w:val="006B5181"/>
    <w:rsid w:val="006B5355"/>
    <w:rsid w:val="006B56BC"/>
    <w:rsid w:val="006B5CB1"/>
    <w:rsid w:val="006B640E"/>
    <w:rsid w:val="006B678B"/>
    <w:rsid w:val="006C015F"/>
    <w:rsid w:val="006C0AEE"/>
    <w:rsid w:val="006C0FCF"/>
    <w:rsid w:val="006C1175"/>
    <w:rsid w:val="006C1C18"/>
    <w:rsid w:val="006C2226"/>
    <w:rsid w:val="006C33B4"/>
    <w:rsid w:val="006C3546"/>
    <w:rsid w:val="006C37F7"/>
    <w:rsid w:val="006C3DB1"/>
    <w:rsid w:val="006C48DA"/>
    <w:rsid w:val="006C4BA7"/>
    <w:rsid w:val="006C4DBB"/>
    <w:rsid w:val="006C4FE4"/>
    <w:rsid w:val="006C5393"/>
    <w:rsid w:val="006C53A9"/>
    <w:rsid w:val="006C53AE"/>
    <w:rsid w:val="006C54FA"/>
    <w:rsid w:val="006C5A32"/>
    <w:rsid w:val="006C5F97"/>
    <w:rsid w:val="006C64ED"/>
    <w:rsid w:val="006C6DE8"/>
    <w:rsid w:val="006C7726"/>
    <w:rsid w:val="006C7A59"/>
    <w:rsid w:val="006D0BE7"/>
    <w:rsid w:val="006D0EFE"/>
    <w:rsid w:val="006D10BB"/>
    <w:rsid w:val="006D1835"/>
    <w:rsid w:val="006D25ED"/>
    <w:rsid w:val="006D2E16"/>
    <w:rsid w:val="006D3044"/>
    <w:rsid w:val="006D30C1"/>
    <w:rsid w:val="006D3140"/>
    <w:rsid w:val="006D35C0"/>
    <w:rsid w:val="006D3B03"/>
    <w:rsid w:val="006D496E"/>
    <w:rsid w:val="006D4A69"/>
    <w:rsid w:val="006D5490"/>
    <w:rsid w:val="006D55DB"/>
    <w:rsid w:val="006D5612"/>
    <w:rsid w:val="006D63D4"/>
    <w:rsid w:val="006D72F1"/>
    <w:rsid w:val="006D7EB2"/>
    <w:rsid w:val="006E1AE4"/>
    <w:rsid w:val="006E1E81"/>
    <w:rsid w:val="006E1EB4"/>
    <w:rsid w:val="006E2889"/>
    <w:rsid w:val="006E33DD"/>
    <w:rsid w:val="006E3878"/>
    <w:rsid w:val="006E3C0E"/>
    <w:rsid w:val="006E4699"/>
    <w:rsid w:val="006E4808"/>
    <w:rsid w:val="006E4BDB"/>
    <w:rsid w:val="006E5086"/>
    <w:rsid w:val="006E61A6"/>
    <w:rsid w:val="006E61BB"/>
    <w:rsid w:val="006E6605"/>
    <w:rsid w:val="006E6D06"/>
    <w:rsid w:val="006E75D5"/>
    <w:rsid w:val="006E7F8E"/>
    <w:rsid w:val="006F04FB"/>
    <w:rsid w:val="006F0BC4"/>
    <w:rsid w:val="006F0E18"/>
    <w:rsid w:val="006F12D0"/>
    <w:rsid w:val="006F1922"/>
    <w:rsid w:val="006F19D0"/>
    <w:rsid w:val="006F1B9E"/>
    <w:rsid w:val="006F28D4"/>
    <w:rsid w:val="006F2A8D"/>
    <w:rsid w:val="006F3115"/>
    <w:rsid w:val="006F3458"/>
    <w:rsid w:val="006F3799"/>
    <w:rsid w:val="006F3C61"/>
    <w:rsid w:val="006F3D4E"/>
    <w:rsid w:val="006F48DC"/>
    <w:rsid w:val="006F4B0C"/>
    <w:rsid w:val="006F5028"/>
    <w:rsid w:val="006F5220"/>
    <w:rsid w:val="006F545D"/>
    <w:rsid w:val="006F555D"/>
    <w:rsid w:val="006F561F"/>
    <w:rsid w:val="006F5804"/>
    <w:rsid w:val="006F584F"/>
    <w:rsid w:val="006F59FB"/>
    <w:rsid w:val="006F5E71"/>
    <w:rsid w:val="006F69BA"/>
    <w:rsid w:val="006F719A"/>
    <w:rsid w:val="006F763B"/>
    <w:rsid w:val="006F76A2"/>
    <w:rsid w:val="006F7E74"/>
    <w:rsid w:val="00700EEB"/>
    <w:rsid w:val="00701C4D"/>
    <w:rsid w:val="00702040"/>
    <w:rsid w:val="007020D4"/>
    <w:rsid w:val="00703249"/>
    <w:rsid w:val="00703D03"/>
    <w:rsid w:val="00703DDA"/>
    <w:rsid w:val="00703E60"/>
    <w:rsid w:val="0070417A"/>
    <w:rsid w:val="007044B7"/>
    <w:rsid w:val="007046D6"/>
    <w:rsid w:val="00704AAF"/>
    <w:rsid w:val="00704E54"/>
    <w:rsid w:val="00704ED3"/>
    <w:rsid w:val="00704F12"/>
    <w:rsid w:val="00705070"/>
    <w:rsid w:val="00705783"/>
    <w:rsid w:val="00705CCA"/>
    <w:rsid w:val="007062A8"/>
    <w:rsid w:val="00706976"/>
    <w:rsid w:val="007076E2"/>
    <w:rsid w:val="00707832"/>
    <w:rsid w:val="00707F48"/>
    <w:rsid w:val="00710915"/>
    <w:rsid w:val="00710C30"/>
    <w:rsid w:val="00711504"/>
    <w:rsid w:val="00711BEC"/>
    <w:rsid w:val="00712A1F"/>
    <w:rsid w:val="00712B70"/>
    <w:rsid w:val="007130BC"/>
    <w:rsid w:val="0071378B"/>
    <w:rsid w:val="007138BA"/>
    <w:rsid w:val="00713BD2"/>
    <w:rsid w:val="00713D73"/>
    <w:rsid w:val="007140A7"/>
    <w:rsid w:val="00714156"/>
    <w:rsid w:val="007152C6"/>
    <w:rsid w:val="00715978"/>
    <w:rsid w:val="007159A5"/>
    <w:rsid w:val="0071669A"/>
    <w:rsid w:val="007167C8"/>
    <w:rsid w:val="0071787E"/>
    <w:rsid w:val="00717A9B"/>
    <w:rsid w:val="00717BB8"/>
    <w:rsid w:val="00717C1F"/>
    <w:rsid w:val="007204B5"/>
    <w:rsid w:val="007213E1"/>
    <w:rsid w:val="007214B3"/>
    <w:rsid w:val="00721828"/>
    <w:rsid w:val="00721BFF"/>
    <w:rsid w:val="0072207E"/>
    <w:rsid w:val="0072217A"/>
    <w:rsid w:val="007222F4"/>
    <w:rsid w:val="00722F45"/>
    <w:rsid w:val="00723122"/>
    <w:rsid w:val="00723A9B"/>
    <w:rsid w:val="00723BDB"/>
    <w:rsid w:val="0072409B"/>
    <w:rsid w:val="007247E9"/>
    <w:rsid w:val="00724A53"/>
    <w:rsid w:val="00724D5F"/>
    <w:rsid w:val="00724F9D"/>
    <w:rsid w:val="00725237"/>
    <w:rsid w:val="007257B9"/>
    <w:rsid w:val="007259FA"/>
    <w:rsid w:val="00725FE9"/>
    <w:rsid w:val="00726989"/>
    <w:rsid w:val="007269B9"/>
    <w:rsid w:val="00726DF3"/>
    <w:rsid w:val="0072718A"/>
    <w:rsid w:val="00727878"/>
    <w:rsid w:val="00727B48"/>
    <w:rsid w:val="0073010B"/>
    <w:rsid w:val="007301B4"/>
    <w:rsid w:val="007304DE"/>
    <w:rsid w:val="007308F2"/>
    <w:rsid w:val="00731273"/>
    <w:rsid w:val="00732AF4"/>
    <w:rsid w:val="00733950"/>
    <w:rsid w:val="00734033"/>
    <w:rsid w:val="00734586"/>
    <w:rsid w:val="007345C7"/>
    <w:rsid w:val="00734964"/>
    <w:rsid w:val="00734F27"/>
    <w:rsid w:val="007355D4"/>
    <w:rsid w:val="00735BEE"/>
    <w:rsid w:val="00736098"/>
    <w:rsid w:val="00737C08"/>
    <w:rsid w:val="0074023B"/>
    <w:rsid w:val="00740358"/>
    <w:rsid w:val="007409F5"/>
    <w:rsid w:val="00740A78"/>
    <w:rsid w:val="00740BD2"/>
    <w:rsid w:val="007415AD"/>
    <w:rsid w:val="00741B97"/>
    <w:rsid w:val="00741EB1"/>
    <w:rsid w:val="00742328"/>
    <w:rsid w:val="007424FF"/>
    <w:rsid w:val="007425A3"/>
    <w:rsid w:val="007429F5"/>
    <w:rsid w:val="00742D0D"/>
    <w:rsid w:val="00743C35"/>
    <w:rsid w:val="0074405E"/>
    <w:rsid w:val="007440E4"/>
    <w:rsid w:val="007449C8"/>
    <w:rsid w:val="00744A25"/>
    <w:rsid w:val="00744CF5"/>
    <w:rsid w:val="007451A3"/>
    <w:rsid w:val="007453AA"/>
    <w:rsid w:val="00745BD2"/>
    <w:rsid w:val="00745F0D"/>
    <w:rsid w:val="00747889"/>
    <w:rsid w:val="007479C3"/>
    <w:rsid w:val="00747B2E"/>
    <w:rsid w:val="00747C30"/>
    <w:rsid w:val="007502EB"/>
    <w:rsid w:val="007503C5"/>
    <w:rsid w:val="00750A33"/>
    <w:rsid w:val="00750CC8"/>
    <w:rsid w:val="00751329"/>
    <w:rsid w:val="007519A9"/>
    <w:rsid w:val="0075219B"/>
    <w:rsid w:val="00752CC5"/>
    <w:rsid w:val="0075385C"/>
    <w:rsid w:val="00753927"/>
    <w:rsid w:val="00753BB9"/>
    <w:rsid w:val="00753E8A"/>
    <w:rsid w:val="00754701"/>
    <w:rsid w:val="00754A2A"/>
    <w:rsid w:val="007553C4"/>
    <w:rsid w:val="00755446"/>
    <w:rsid w:val="0075582D"/>
    <w:rsid w:val="00755F91"/>
    <w:rsid w:val="007574E6"/>
    <w:rsid w:val="00757AB0"/>
    <w:rsid w:val="00757DF4"/>
    <w:rsid w:val="00757F18"/>
    <w:rsid w:val="007600F3"/>
    <w:rsid w:val="007605DD"/>
    <w:rsid w:val="007616A0"/>
    <w:rsid w:val="00762790"/>
    <w:rsid w:val="00762EE3"/>
    <w:rsid w:val="00763357"/>
    <w:rsid w:val="00763A60"/>
    <w:rsid w:val="007658D4"/>
    <w:rsid w:val="00765AA2"/>
    <w:rsid w:val="00765AE6"/>
    <w:rsid w:val="00765C11"/>
    <w:rsid w:val="00765D28"/>
    <w:rsid w:val="0076671D"/>
    <w:rsid w:val="00767578"/>
    <w:rsid w:val="00770155"/>
    <w:rsid w:val="007701C0"/>
    <w:rsid w:val="00770F9A"/>
    <w:rsid w:val="00771037"/>
    <w:rsid w:val="0077186A"/>
    <w:rsid w:val="007724DD"/>
    <w:rsid w:val="00772B23"/>
    <w:rsid w:val="00773A54"/>
    <w:rsid w:val="00773ADD"/>
    <w:rsid w:val="00775188"/>
    <w:rsid w:val="007754B8"/>
    <w:rsid w:val="00775AAD"/>
    <w:rsid w:val="00776130"/>
    <w:rsid w:val="00776415"/>
    <w:rsid w:val="00776E1F"/>
    <w:rsid w:val="007804C2"/>
    <w:rsid w:val="0078051F"/>
    <w:rsid w:val="00780D7F"/>
    <w:rsid w:val="00780F78"/>
    <w:rsid w:val="007817F8"/>
    <w:rsid w:val="00781DC5"/>
    <w:rsid w:val="00782409"/>
    <w:rsid w:val="00782EC7"/>
    <w:rsid w:val="00782FF2"/>
    <w:rsid w:val="00783CDC"/>
    <w:rsid w:val="00783DBA"/>
    <w:rsid w:val="0078431C"/>
    <w:rsid w:val="00784820"/>
    <w:rsid w:val="00784BBA"/>
    <w:rsid w:val="00785078"/>
    <w:rsid w:val="0078537C"/>
    <w:rsid w:val="0078585F"/>
    <w:rsid w:val="00785BBE"/>
    <w:rsid w:val="0078606B"/>
    <w:rsid w:val="00786078"/>
    <w:rsid w:val="00786346"/>
    <w:rsid w:val="0078643A"/>
    <w:rsid w:val="0078686D"/>
    <w:rsid w:val="0078786A"/>
    <w:rsid w:val="007902E1"/>
    <w:rsid w:val="00790896"/>
    <w:rsid w:val="00791178"/>
    <w:rsid w:val="00791354"/>
    <w:rsid w:val="00792189"/>
    <w:rsid w:val="007921E8"/>
    <w:rsid w:val="0079245A"/>
    <w:rsid w:val="0079312A"/>
    <w:rsid w:val="007931C6"/>
    <w:rsid w:val="007935DF"/>
    <w:rsid w:val="00793716"/>
    <w:rsid w:val="00793E9B"/>
    <w:rsid w:val="007951E6"/>
    <w:rsid w:val="007954F7"/>
    <w:rsid w:val="007956FE"/>
    <w:rsid w:val="00795D09"/>
    <w:rsid w:val="007967EF"/>
    <w:rsid w:val="00796E17"/>
    <w:rsid w:val="0079706A"/>
    <w:rsid w:val="00797DEC"/>
    <w:rsid w:val="007A0311"/>
    <w:rsid w:val="007A2185"/>
    <w:rsid w:val="007A230E"/>
    <w:rsid w:val="007A2C6A"/>
    <w:rsid w:val="007A3202"/>
    <w:rsid w:val="007A3215"/>
    <w:rsid w:val="007A361B"/>
    <w:rsid w:val="007A417E"/>
    <w:rsid w:val="007A4930"/>
    <w:rsid w:val="007A56FC"/>
    <w:rsid w:val="007A6389"/>
    <w:rsid w:val="007A646C"/>
    <w:rsid w:val="007A6E2C"/>
    <w:rsid w:val="007A7249"/>
    <w:rsid w:val="007A784D"/>
    <w:rsid w:val="007B01C2"/>
    <w:rsid w:val="007B05A1"/>
    <w:rsid w:val="007B07D5"/>
    <w:rsid w:val="007B0F1B"/>
    <w:rsid w:val="007B11D7"/>
    <w:rsid w:val="007B15AD"/>
    <w:rsid w:val="007B2317"/>
    <w:rsid w:val="007B3D6D"/>
    <w:rsid w:val="007B3EA7"/>
    <w:rsid w:val="007B49D6"/>
    <w:rsid w:val="007B4DB2"/>
    <w:rsid w:val="007B4EA1"/>
    <w:rsid w:val="007B52B8"/>
    <w:rsid w:val="007B5722"/>
    <w:rsid w:val="007B5FCB"/>
    <w:rsid w:val="007B7173"/>
    <w:rsid w:val="007C035F"/>
    <w:rsid w:val="007C075E"/>
    <w:rsid w:val="007C0BC0"/>
    <w:rsid w:val="007C0BC3"/>
    <w:rsid w:val="007C18F6"/>
    <w:rsid w:val="007C1B87"/>
    <w:rsid w:val="007C1FBE"/>
    <w:rsid w:val="007C23ED"/>
    <w:rsid w:val="007C2AC4"/>
    <w:rsid w:val="007C32C3"/>
    <w:rsid w:val="007C3CA8"/>
    <w:rsid w:val="007C3D2F"/>
    <w:rsid w:val="007C40BB"/>
    <w:rsid w:val="007C4760"/>
    <w:rsid w:val="007C4BE0"/>
    <w:rsid w:val="007C4DB1"/>
    <w:rsid w:val="007C56CE"/>
    <w:rsid w:val="007C67CC"/>
    <w:rsid w:val="007C6C93"/>
    <w:rsid w:val="007C6D0E"/>
    <w:rsid w:val="007C7BF3"/>
    <w:rsid w:val="007D00CE"/>
    <w:rsid w:val="007D0FD1"/>
    <w:rsid w:val="007D250C"/>
    <w:rsid w:val="007D30F8"/>
    <w:rsid w:val="007D4645"/>
    <w:rsid w:val="007D4816"/>
    <w:rsid w:val="007D4A51"/>
    <w:rsid w:val="007D4AA9"/>
    <w:rsid w:val="007D4C90"/>
    <w:rsid w:val="007D54E0"/>
    <w:rsid w:val="007D57DC"/>
    <w:rsid w:val="007D6896"/>
    <w:rsid w:val="007D6B7F"/>
    <w:rsid w:val="007D779B"/>
    <w:rsid w:val="007E049E"/>
    <w:rsid w:val="007E04F3"/>
    <w:rsid w:val="007E0638"/>
    <w:rsid w:val="007E069F"/>
    <w:rsid w:val="007E12F6"/>
    <w:rsid w:val="007E1AC0"/>
    <w:rsid w:val="007E1EE4"/>
    <w:rsid w:val="007E340A"/>
    <w:rsid w:val="007E3638"/>
    <w:rsid w:val="007E3B20"/>
    <w:rsid w:val="007E3D0C"/>
    <w:rsid w:val="007E5463"/>
    <w:rsid w:val="007E5AF1"/>
    <w:rsid w:val="007E5E75"/>
    <w:rsid w:val="007E66D2"/>
    <w:rsid w:val="007E6AC6"/>
    <w:rsid w:val="007E7653"/>
    <w:rsid w:val="007E790F"/>
    <w:rsid w:val="007E7D82"/>
    <w:rsid w:val="007E7FDE"/>
    <w:rsid w:val="007F06F4"/>
    <w:rsid w:val="007F0A2E"/>
    <w:rsid w:val="007F0A47"/>
    <w:rsid w:val="007F1A19"/>
    <w:rsid w:val="007F2765"/>
    <w:rsid w:val="007F2B27"/>
    <w:rsid w:val="007F2B4F"/>
    <w:rsid w:val="007F2FEA"/>
    <w:rsid w:val="007F338B"/>
    <w:rsid w:val="007F35B1"/>
    <w:rsid w:val="007F3929"/>
    <w:rsid w:val="007F3B0D"/>
    <w:rsid w:val="007F3F58"/>
    <w:rsid w:val="007F3FDF"/>
    <w:rsid w:val="007F5072"/>
    <w:rsid w:val="007F5289"/>
    <w:rsid w:val="007F55E0"/>
    <w:rsid w:val="007F599E"/>
    <w:rsid w:val="007F5FDC"/>
    <w:rsid w:val="007F644A"/>
    <w:rsid w:val="007F67C0"/>
    <w:rsid w:val="007F6EE8"/>
    <w:rsid w:val="007F78FA"/>
    <w:rsid w:val="008002BC"/>
    <w:rsid w:val="00800632"/>
    <w:rsid w:val="0080140A"/>
    <w:rsid w:val="00801BBE"/>
    <w:rsid w:val="00804289"/>
    <w:rsid w:val="00804ABC"/>
    <w:rsid w:val="00804E1F"/>
    <w:rsid w:val="008050CB"/>
    <w:rsid w:val="00806115"/>
    <w:rsid w:val="00806615"/>
    <w:rsid w:val="008067BB"/>
    <w:rsid w:val="00806871"/>
    <w:rsid w:val="00806A95"/>
    <w:rsid w:val="00806E20"/>
    <w:rsid w:val="00806E25"/>
    <w:rsid w:val="00806E47"/>
    <w:rsid w:val="008071CA"/>
    <w:rsid w:val="00807280"/>
    <w:rsid w:val="008072D4"/>
    <w:rsid w:val="0080733C"/>
    <w:rsid w:val="0080772D"/>
    <w:rsid w:val="008102C3"/>
    <w:rsid w:val="008120C2"/>
    <w:rsid w:val="00812D03"/>
    <w:rsid w:val="008146AC"/>
    <w:rsid w:val="00814C31"/>
    <w:rsid w:val="00814EC5"/>
    <w:rsid w:val="00814F9B"/>
    <w:rsid w:val="0081574A"/>
    <w:rsid w:val="0081591B"/>
    <w:rsid w:val="0081597F"/>
    <w:rsid w:val="008163F1"/>
    <w:rsid w:val="00816F6B"/>
    <w:rsid w:val="00817B56"/>
    <w:rsid w:val="00817E3D"/>
    <w:rsid w:val="008202CD"/>
    <w:rsid w:val="008206D7"/>
    <w:rsid w:val="00820A66"/>
    <w:rsid w:val="0082107F"/>
    <w:rsid w:val="008210E6"/>
    <w:rsid w:val="008214D1"/>
    <w:rsid w:val="008215FD"/>
    <w:rsid w:val="008227EF"/>
    <w:rsid w:val="00822BEA"/>
    <w:rsid w:val="008240BB"/>
    <w:rsid w:val="00824532"/>
    <w:rsid w:val="008255DD"/>
    <w:rsid w:val="008257BA"/>
    <w:rsid w:val="00825801"/>
    <w:rsid w:val="00826C6B"/>
    <w:rsid w:val="00827022"/>
    <w:rsid w:val="008272A0"/>
    <w:rsid w:val="008278B1"/>
    <w:rsid w:val="00827D4D"/>
    <w:rsid w:val="00830673"/>
    <w:rsid w:val="008308BA"/>
    <w:rsid w:val="00830BED"/>
    <w:rsid w:val="00831C12"/>
    <w:rsid w:val="00831E19"/>
    <w:rsid w:val="00832394"/>
    <w:rsid w:val="00832C9C"/>
    <w:rsid w:val="008331E4"/>
    <w:rsid w:val="00833326"/>
    <w:rsid w:val="00833481"/>
    <w:rsid w:val="00833D07"/>
    <w:rsid w:val="0083430C"/>
    <w:rsid w:val="0083522D"/>
    <w:rsid w:val="0083526A"/>
    <w:rsid w:val="008353AC"/>
    <w:rsid w:val="00836C77"/>
    <w:rsid w:val="008375F6"/>
    <w:rsid w:val="00837615"/>
    <w:rsid w:val="00837DA5"/>
    <w:rsid w:val="008401F0"/>
    <w:rsid w:val="0084064F"/>
    <w:rsid w:val="008407E1"/>
    <w:rsid w:val="00840CDD"/>
    <w:rsid w:val="00840D8F"/>
    <w:rsid w:val="0084143A"/>
    <w:rsid w:val="008426F7"/>
    <w:rsid w:val="00842E94"/>
    <w:rsid w:val="00843066"/>
    <w:rsid w:val="00844263"/>
    <w:rsid w:val="008442A6"/>
    <w:rsid w:val="00845322"/>
    <w:rsid w:val="008458B3"/>
    <w:rsid w:val="00845924"/>
    <w:rsid w:val="00845EE4"/>
    <w:rsid w:val="0084608F"/>
    <w:rsid w:val="00846535"/>
    <w:rsid w:val="00846BC8"/>
    <w:rsid w:val="008470AD"/>
    <w:rsid w:val="00847789"/>
    <w:rsid w:val="00847A07"/>
    <w:rsid w:val="0085065E"/>
    <w:rsid w:val="00850821"/>
    <w:rsid w:val="00850B38"/>
    <w:rsid w:val="00850FEE"/>
    <w:rsid w:val="00851183"/>
    <w:rsid w:val="00851664"/>
    <w:rsid w:val="00851B27"/>
    <w:rsid w:val="008520B0"/>
    <w:rsid w:val="008520BE"/>
    <w:rsid w:val="0085214D"/>
    <w:rsid w:val="0085228E"/>
    <w:rsid w:val="00852414"/>
    <w:rsid w:val="00852BC4"/>
    <w:rsid w:val="00853457"/>
    <w:rsid w:val="0085353C"/>
    <w:rsid w:val="00853F6B"/>
    <w:rsid w:val="00854331"/>
    <w:rsid w:val="00854B13"/>
    <w:rsid w:val="00855688"/>
    <w:rsid w:val="0085586E"/>
    <w:rsid w:val="00855928"/>
    <w:rsid w:val="00855BA1"/>
    <w:rsid w:val="00855D02"/>
    <w:rsid w:val="0085600D"/>
    <w:rsid w:val="008560CB"/>
    <w:rsid w:val="00856660"/>
    <w:rsid w:val="00856713"/>
    <w:rsid w:val="008567C0"/>
    <w:rsid w:val="008569A6"/>
    <w:rsid w:val="00856C58"/>
    <w:rsid w:val="00857BF9"/>
    <w:rsid w:val="00860242"/>
    <w:rsid w:val="00860765"/>
    <w:rsid w:val="0086082E"/>
    <w:rsid w:val="00860866"/>
    <w:rsid w:val="00860BC2"/>
    <w:rsid w:val="00860BE1"/>
    <w:rsid w:val="008613B7"/>
    <w:rsid w:val="00862012"/>
    <w:rsid w:val="00862304"/>
    <w:rsid w:val="00862525"/>
    <w:rsid w:val="00862618"/>
    <w:rsid w:val="0086280C"/>
    <w:rsid w:val="00862AE6"/>
    <w:rsid w:val="00862FC4"/>
    <w:rsid w:val="0086380C"/>
    <w:rsid w:val="00863B7B"/>
    <w:rsid w:val="0086404B"/>
    <w:rsid w:val="00865EC6"/>
    <w:rsid w:val="0086711F"/>
    <w:rsid w:val="00867930"/>
    <w:rsid w:val="00867CE0"/>
    <w:rsid w:val="00871500"/>
    <w:rsid w:val="00871B0C"/>
    <w:rsid w:val="00871D34"/>
    <w:rsid w:val="00871EDB"/>
    <w:rsid w:val="00872AD8"/>
    <w:rsid w:val="00872C20"/>
    <w:rsid w:val="008731DF"/>
    <w:rsid w:val="0087326C"/>
    <w:rsid w:val="008733AD"/>
    <w:rsid w:val="00873A09"/>
    <w:rsid w:val="0087461C"/>
    <w:rsid w:val="00874D70"/>
    <w:rsid w:val="00875405"/>
    <w:rsid w:val="00875B18"/>
    <w:rsid w:val="00876EC3"/>
    <w:rsid w:val="00876F41"/>
    <w:rsid w:val="0088033A"/>
    <w:rsid w:val="00880515"/>
    <w:rsid w:val="0088056C"/>
    <w:rsid w:val="008817A9"/>
    <w:rsid w:val="0088221D"/>
    <w:rsid w:val="00882B2D"/>
    <w:rsid w:val="00882FA6"/>
    <w:rsid w:val="00883784"/>
    <w:rsid w:val="00883B47"/>
    <w:rsid w:val="00883F79"/>
    <w:rsid w:val="00884877"/>
    <w:rsid w:val="00885146"/>
    <w:rsid w:val="00885269"/>
    <w:rsid w:val="00885438"/>
    <w:rsid w:val="00885B4D"/>
    <w:rsid w:val="00885B75"/>
    <w:rsid w:val="00885BDF"/>
    <w:rsid w:val="008862A2"/>
    <w:rsid w:val="008870A9"/>
    <w:rsid w:val="0088718E"/>
    <w:rsid w:val="008871CD"/>
    <w:rsid w:val="008872BF"/>
    <w:rsid w:val="00887964"/>
    <w:rsid w:val="0089028D"/>
    <w:rsid w:val="00890441"/>
    <w:rsid w:val="00891991"/>
    <w:rsid w:val="008919F9"/>
    <w:rsid w:val="008924F1"/>
    <w:rsid w:val="008936E3"/>
    <w:rsid w:val="0089549C"/>
    <w:rsid w:val="008956E6"/>
    <w:rsid w:val="00897AEF"/>
    <w:rsid w:val="00897CFA"/>
    <w:rsid w:val="008A00C2"/>
    <w:rsid w:val="008A00D1"/>
    <w:rsid w:val="008A02A1"/>
    <w:rsid w:val="008A092C"/>
    <w:rsid w:val="008A0C7E"/>
    <w:rsid w:val="008A0E57"/>
    <w:rsid w:val="008A1405"/>
    <w:rsid w:val="008A1A91"/>
    <w:rsid w:val="008A2A6B"/>
    <w:rsid w:val="008A2B68"/>
    <w:rsid w:val="008A2FC8"/>
    <w:rsid w:val="008A3EBB"/>
    <w:rsid w:val="008A479F"/>
    <w:rsid w:val="008A5828"/>
    <w:rsid w:val="008A5AF4"/>
    <w:rsid w:val="008A6411"/>
    <w:rsid w:val="008B031A"/>
    <w:rsid w:val="008B0979"/>
    <w:rsid w:val="008B09ED"/>
    <w:rsid w:val="008B0C7B"/>
    <w:rsid w:val="008B0D70"/>
    <w:rsid w:val="008B0EFF"/>
    <w:rsid w:val="008B1FFA"/>
    <w:rsid w:val="008B2640"/>
    <w:rsid w:val="008B336D"/>
    <w:rsid w:val="008B34F1"/>
    <w:rsid w:val="008B4198"/>
    <w:rsid w:val="008B46E6"/>
    <w:rsid w:val="008B498B"/>
    <w:rsid w:val="008B4AE7"/>
    <w:rsid w:val="008B4CE6"/>
    <w:rsid w:val="008B4F9F"/>
    <w:rsid w:val="008B51C8"/>
    <w:rsid w:val="008B5662"/>
    <w:rsid w:val="008B6E0F"/>
    <w:rsid w:val="008B6FD5"/>
    <w:rsid w:val="008B7A14"/>
    <w:rsid w:val="008C0914"/>
    <w:rsid w:val="008C0E95"/>
    <w:rsid w:val="008C13BC"/>
    <w:rsid w:val="008C20EF"/>
    <w:rsid w:val="008C2656"/>
    <w:rsid w:val="008C2704"/>
    <w:rsid w:val="008C2A01"/>
    <w:rsid w:val="008C304E"/>
    <w:rsid w:val="008C3052"/>
    <w:rsid w:val="008C30EB"/>
    <w:rsid w:val="008C3897"/>
    <w:rsid w:val="008C3967"/>
    <w:rsid w:val="008C41F9"/>
    <w:rsid w:val="008C4A11"/>
    <w:rsid w:val="008C507E"/>
    <w:rsid w:val="008C57B7"/>
    <w:rsid w:val="008C5A6C"/>
    <w:rsid w:val="008C5C2D"/>
    <w:rsid w:val="008C6043"/>
    <w:rsid w:val="008C63E3"/>
    <w:rsid w:val="008C6887"/>
    <w:rsid w:val="008C6894"/>
    <w:rsid w:val="008C6D34"/>
    <w:rsid w:val="008C6E0A"/>
    <w:rsid w:val="008D035D"/>
    <w:rsid w:val="008D0588"/>
    <w:rsid w:val="008D087F"/>
    <w:rsid w:val="008D19FB"/>
    <w:rsid w:val="008D1B32"/>
    <w:rsid w:val="008D2684"/>
    <w:rsid w:val="008D2934"/>
    <w:rsid w:val="008D2A90"/>
    <w:rsid w:val="008D348E"/>
    <w:rsid w:val="008D39EB"/>
    <w:rsid w:val="008D3A95"/>
    <w:rsid w:val="008D3BD4"/>
    <w:rsid w:val="008D3C8F"/>
    <w:rsid w:val="008D3C9C"/>
    <w:rsid w:val="008D4499"/>
    <w:rsid w:val="008D48C4"/>
    <w:rsid w:val="008D5596"/>
    <w:rsid w:val="008D585B"/>
    <w:rsid w:val="008D7266"/>
    <w:rsid w:val="008E05C0"/>
    <w:rsid w:val="008E0FD5"/>
    <w:rsid w:val="008E14BE"/>
    <w:rsid w:val="008E16DA"/>
    <w:rsid w:val="008E1AA8"/>
    <w:rsid w:val="008E205B"/>
    <w:rsid w:val="008E3142"/>
    <w:rsid w:val="008E316D"/>
    <w:rsid w:val="008E4069"/>
    <w:rsid w:val="008E40F7"/>
    <w:rsid w:val="008E4206"/>
    <w:rsid w:val="008E46C2"/>
    <w:rsid w:val="008E4E1D"/>
    <w:rsid w:val="008E50E0"/>
    <w:rsid w:val="008E6825"/>
    <w:rsid w:val="008E68D9"/>
    <w:rsid w:val="008E6D07"/>
    <w:rsid w:val="008E6FCE"/>
    <w:rsid w:val="008E735E"/>
    <w:rsid w:val="008F010B"/>
    <w:rsid w:val="008F04B2"/>
    <w:rsid w:val="008F0882"/>
    <w:rsid w:val="008F09C8"/>
    <w:rsid w:val="008F0B76"/>
    <w:rsid w:val="008F1735"/>
    <w:rsid w:val="008F1F20"/>
    <w:rsid w:val="008F21D6"/>
    <w:rsid w:val="008F226D"/>
    <w:rsid w:val="008F2757"/>
    <w:rsid w:val="008F2A82"/>
    <w:rsid w:val="008F2C2A"/>
    <w:rsid w:val="008F2E55"/>
    <w:rsid w:val="008F46FE"/>
    <w:rsid w:val="008F489F"/>
    <w:rsid w:val="008F50D1"/>
    <w:rsid w:val="008F50E9"/>
    <w:rsid w:val="008F5BB8"/>
    <w:rsid w:val="008F6EA0"/>
    <w:rsid w:val="008F728A"/>
    <w:rsid w:val="008F75CB"/>
    <w:rsid w:val="00901354"/>
    <w:rsid w:val="00901C7C"/>
    <w:rsid w:val="00901F70"/>
    <w:rsid w:val="009021CE"/>
    <w:rsid w:val="00902823"/>
    <w:rsid w:val="009028EB"/>
    <w:rsid w:val="0090321E"/>
    <w:rsid w:val="00903224"/>
    <w:rsid w:val="00905629"/>
    <w:rsid w:val="00905B2F"/>
    <w:rsid w:val="00906628"/>
    <w:rsid w:val="0090682C"/>
    <w:rsid w:val="00906D7A"/>
    <w:rsid w:val="0090717E"/>
    <w:rsid w:val="009074A2"/>
    <w:rsid w:val="009106D0"/>
    <w:rsid w:val="00910FF1"/>
    <w:rsid w:val="009111DA"/>
    <w:rsid w:val="009113A3"/>
    <w:rsid w:val="009113EB"/>
    <w:rsid w:val="009117EF"/>
    <w:rsid w:val="00911910"/>
    <w:rsid w:val="00911BC2"/>
    <w:rsid w:val="0091203E"/>
    <w:rsid w:val="009135E3"/>
    <w:rsid w:val="00913AB0"/>
    <w:rsid w:val="00913AB5"/>
    <w:rsid w:val="00914274"/>
    <w:rsid w:val="00914286"/>
    <w:rsid w:val="00915246"/>
    <w:rsid w:val="00915D61"/>
    <w:rsid w:val="009167B4"/>
    <w:rsid w:val="00916ED3"/>
    <w:rsid w:val="00917C11"/>
    <w:rsid w:val="00917C2F"/>
    <w:rsid w:val="00917D81"/>
    <w:rsid w:val="00920305"/>
    <w:rsid w:val="00920625"/>
    <w:rsid w:val="00921C73"/>
    <w:rsid w:val="00921C9D"/>
    <w:rsid w:val="00921D99"/>
    <w:rsid w:val="009220BC"/>
    <w:rsid w:val="00922A79"/>
    <w:rsid w:val="00922DE3"/>
    <w:rsid w:val="00922E32"/>
    <w:rsid w:val="009239E7"/>
    <w:rsid w:val="009244D3"/>
    <w:rsid w:val="009247B2"/>
    <w:rsid w:val="00926326"/>
    <w:rsid w:val="00926781"/>
    <w:rsid w:val="00926DF1"/>
    <w:rsid w:val="009270FA"/>
    <w:rsid w:val="0093069C"/>
    <w:rsid w:val="009306A7"/>
    <w:rsid w:val="00930CCF"/>
    <w:rsid w:val="00930CFA"/>
    <w:rsid w:val="00931910"/>
    <w:rsid w:val="0093256C"/>
    <w:rsid w:val="00932A6A"/>
    <w:rsid w:val="00932AB0"/>
    <w:rsid w:val="00932C13"/>
    <w:rsid w:val="00932FC5"/>
    <w:rsid w:val="009336E6"/>
    <w:rsid w:val="0093377A"/>
    <w:rsid w:val="00933842"/>
    <w:rsid w:val="00933D55"/>
    <w:rsid w:val="00933F66"/>
    <w:rsid w:val="0093400B"/>
    <w:rsid w:val="00934ACF"/>
    <w:rsid w:val="009355FF"/>
    <w:rsid w:val="00935E2B"/>
    <w:rsid w:val="00936B00"/>
    <w:rsid w:val="00936B06"/>
    <w:rsid w:val="00936CC5"/>
    <w:rsid w:val="00936CE0"/>
    <w:rsid w:val="00936D1E"/>
    <w:rsid w:val="0093740A"/>
    <w:rsid w:val="00940123"/>
    <w:rsid w:val="009403EF"/>
    <w:rsid w:val="00940E2A"/>
    <w:rsid w:val="00941635"/>
    <w:rsid w:val="0094207B"/>
    <w:rsid w:val="00942124"/>
    <w:rsid w:val="00942276"/>
    <w:rsid w:val="009428AB"/>
    <w:rsid w:val="00942BBD"/>
    <w:rsid w:val="00942FA6"/>
    <w:rsid w:val="0094308B"/>
    <w:rsid w:val="00943693"/>
    <w:rsid w:val="00943BE5"/>
    <w:rsid w:val="00944355"/>
    <w:rsid w:val="009444C3"/>
    <w:rsid w:val="009451D3"/>
    <w:rsid w:val="00946006"/>
    <w:rsid w:val="009468BD"/>
    <w:rsid w:val="00946F5B"/>
    <w:rsid w:val="009473FB"/>
    <w:rsid w:val="00947F1F"/>
    <w:rsid w:val="00950181"/>
    <w:rsid w:val="00950470"/>
    <w:rsid w:val="0095054F"/>
    <w:rsid w:val="00950AAB"/>
    <w:rsid w:val="0095128A"/>
    <w:rsid w:val="0095162D"/>
    <w:rsid w:val="0095169C"/>
    <w:rsid w:val="00951D42"/>
    <w:rsid w:val="00952053"/>
    <w:rsid w:val="0095209D"/>
    <w:rsid w:val="00952135"/>
    <w:rsid w:val="009521F2"/>
    <w:rsid w:val="0095229B"/>
    <w:rsid w:val="009523E4"/>
    <w:rsid w:val="009527C5"/>
    <w:rsid w:val="00952961"/>
    <w:rsid w:val="00953212"/>
    <w:rsid w:val="0095365D"/>
    <w:rsid w:val="009546B3"/>
    <w:rsid w:val="00954D8F"/>
    <w:rsid w:val="009554E7"/>
    <w:rsid w:val="00955919"/>
    <w:rsid w:val="00955EB7"/>
    <w:rsid w:val="00956478"/>
    <w:rsid w:val="00956885"/>
    <w:rsid w:val="00956A8F"/>
    <w:rsid w:val="0096076F"/>
    <w:rsid w:val="00960FD1"/>
    <w:rsid w:val="009616B6"/>
    <w:rsid w:val="009616FE"/>
    <w:rsid w:val="00961CF6"/>
    <w:rsid w:val="00961FAE"/>
    <w:rsid w:val="0096262A"/>
    <w:rsid w:val="00962723"/>
    <w:rsid w:val="0096289B"/>
    <w:rsid w:val="00963FA3"/>
    <w:rsid w:val="0096423D"/>
    <w:rsid w:val="009669C5"/>
    <w:rsid w:val="00966E39"/>
    <w:rsid w:val="009670F3"/>
    <w:rsid w:val="0096714C"/>
    <w:rsid w:val="0096793A"/>
    <w:rsid w:val="00967A6F"/>
    <w:rsid w:val="00967D9E"/>
    <w:rsid w:val="00970437"/>
    <w:rsid w:val="009716CC"/>
    <w:rsid w:val="009724D5"/>
    <w:rsid w:val="009727CE"/>
    <w:rsid w:val="00972BBD"/>
    <w:rsid w:val="009734F7"/>
    <w:rsid w:val="00973DDF"/>
    <w:rsid w:val="009745E2"/>
    <w:rsid w:val="00974641"/>
    <w:rsid w:val="009756C2"/>
    <w:rsid w:val="00975C6C"/>
    <w:rsid w:val="00975F02"/>
    <w:rsid w:val="00975FB3"/>
    <w:rsid w:val="00975FDC"/>
    <w:rsid w:val="009765F4"/>
    <w:rsid w:val="00976DC5"/>
    <w:rsid w:val="00977CA7"/>
    <w:rsid w:val="00977D42"/>
    <w:rsid w:val="00977F92"/>
    <w:rsid w:val="009807CA"/>
    <w:rsid w:val="009813F9"/>
    <w:rsid w:val="00982206"/>
    <w:rsid w:val="00982385"/>
    <w:rsid w:val="00982AC0"/>
    <w:rsid w:val="00983C69"/>
    <w:rsid w:val="00983F70"/>
    <w:rsid w:val="00983FC5"/>
    <w:rsid w:val="00985192"/>
    <w:rsid w:val="00985199"/>
    <w:rsid w:val="00985BBB"/>
    <w:rsid w:val="009875EB"/>
    <w:rsid w:val="009878A6"/>
    <w:rsid w:val="00987D02"/>
    <w:rsid w:val="009911BE"/>
    <w:rsid w:val="009917AE"/>
    <w:rsid w:val="00991E76"/>
    <w:rsid w:val="00992609"/>
    <w:rsid w:val="00992ED2"/>
    <w:rsid w:val="009935EA"/>
    <w:rsid w:val="009949A6"/>
    <w:rsid w:val="00994C98"/>
    <w:rsid w:val="00995909"/>
    <w:rsid w:val="00995919"/>
    <w:rsid w:val="00995EAA"/>
    <w:rsid w:val="00996235"/>
    <w:rsid w:val="00996484"/>
    <w:rsid w:val="00996652"/>
    <w:rsid w:val="00996902"/>
    <w:rsid w:val="00996D03"/>
    <w:rsid w:val="009A0B87"/>
    <w:rsid w:val="009A0E37"/>
    <w:rsid w:val="009A1291"/>
    <w:rsid w:val="009A1481"/>
    <w:rsid w:val="009A207D"/>
    <w:rsid w:val="009A20F1"/>
    <w:rsid w:val="009A216D"/>
    <w:rsid w:val="009A2312"/>
    <w:rsid w:val="009A24EB"/>
    <w:rsid w:val="009A2791"/>
    <w:rsid w:val="009A3A3B"/>
    <w:rsid w:val="009A5327"/>
    <w:rsid w:val="009A556A"/>
    <w:rsid w:val="009A565A"/>
    <w:rsid w:val="009A61A0"/>
    <w:rsid w:val="009A6A05"/>
    <w:rsid w:val="009A7575"/>
    <w:rsid w:val="009A76B5"/>
    <w:rsid w:val="009B08BF"/>
    <w:rsid w:val="009B0F81"/>
    <w:rsid w:val="009B18D4"/>
    <w:rsid w:val="009B1E62"/>
    <w:rsid w:val="009B1F26"/>
    <w:rsid w:val="009B21FD"/>
    <w:rsid w:val="009B25A3"/>
    <w:rsid w:val="009B2978"/>
    <w:rsid w:val="009B2D3C"/>
    <w:rsid w:val="009B30BE"/>
    <w:rsid w:val="009B3118"/>
    <w:rsid w:val="009B38AB"/>
    <w:rsid w:val="009B4201"/>
    <w:rsid w:val="009B4518"/>
    <w:rsid w:val="009B530E"/>
    <w:rsid w:val="009B5CDD"/>
    <w:rsid w:val="009B6B94"/>
    <w:rsid w:val="009B6C44"/>
    <w:rsid w:val="009B6FE9"/>
    <w:rsid w:val="009B78A2"/>
    <w:rsid w:val="009C082C"/>
    <w:rsid w:val="009C0C86"/>
    <w:rsid w:val="009C0EDD"/>
    <w:rsid w:val="009C0F02"/>
    <w:rsid w:val="009C184C"/>
    <w:rsid w:val="009C22B1"/>
    <w:rsid w:val="009C2B42"/>
    <w:rsid w:val="009C2D62"/>
    <w:rsid w:val="009C31A1"/>
    <w:rsid w:val="009C32A1"/>
    <w:rsid w:val="009C3331"/>
    <w:rsid w:val="009C37F1"/>
    <w:rsid w:val="009C3DEC"/>
    <w:rsid w:val="009C42C8"/>
    <w:rsid w:val="009C4D49"/>
    <w:rsid w:val="009C5609"/>
    <w:rsid w:val="009C57DA"/>
    <w:rsid w:val="009C680C"/>
    <w:rsid w:val="009C69C4"/>
    <w:rsid w:val="009C6AA1"/>
    <w:rsid w:val="009D00C0"/>
    <w:rsid w:val="009D010D"/>
    <w:rsid w:val="009D024B"/>
    <w:rsid w:val="009D04D3"/>
    <w:rsid w:val="009D09DE"/>
    <w:rsid w:val="009D13CF"/>
    <w:rsid w:val="009D1A9D"/>
    <w:rsid w:val="009D242C"/>
    <w:rsid w:val="009D25D6"/>
    <w:rsid w:val="009D2EF7"/>
    <w:rsid w:val="009D325A"/>
    <w:rsid w:val="009D32DB"/>
    <w:rsid w:val="009D3F1F"/>
    <w:rsid w:val="009D4F3A"/>
    <w:rsid w:val="009D6BC3"/>
    <w:rsid w:val="009D6D8A"/>
    <w:rsid w:val="009D7D82"/>
    <w:rsid w:val="009E0589"/>
    <w:rsid w:val="009E07B0"/>
    <w:rsid w:val="009E2042"/>
    <w:rsid w:val="009E3025"/>
    <w:rsid w:val="009E3248"/>
    <w:rsid w:val="009E33EE"/>
    <w:rsid w:val="009E36CE"/>
    <w:rsid w:val="009E38E4"/>
    <w:rsid w:val="009E3D91"/>
    <w:rsid w:val="009E3E06"/>
    <w:rsid w:val="009E4856"/>
    <w:rsid w:val="009E55EF"/>
    <w:rsid w:val="009E63A1"/>
    <w:rsid w:val="009E687A"/>
    <w:rsid w:val="009E6D72"/>
    <w:rsid w:val="009E70C7"/>
    <w:rsid w:val="009E7AF5"/>
    <w:rsid w:val="009E7D2D"/>
    <w:rsid w:val="009F0CF7"/>
    <w:rsid w:val="009F109E"/>
    <w:rsid w:val="009F1D37"/>
    <w:rsid w:val="009F296D"/>
    <w:rsid w:val="009F2DB1"/>
    <w:rsid w:val="009F2F51"/>
    <w:rsid w:val="009F34B2"/>
    <w:rsid w:val="009F3CA2"/>
    <w:rsid w:val="009F3CB9"/>
    <w:rsid w:val="009F3EE7"/>
    <w:rsid w:val="009F4232"/>
    <w:rsid w:val="009F4969"/>
    <w:rsid w:val="009F49D8"/>
    <w:rsid w:val="009F5030"/>
    <w:rsid w:val="009F6641"/>
    <w:rsid w:val="009F70D5"/>
    <w:rsid w:val="009F70D6"/>
    <w:rsid w:val="009F7267"/>
    <w:rsid w:val="009F7AF7"/>
    <w:rsid w:val="009F7C6F"/>
    <w:rsid w:val="009F7EB8"/>
    <w:rsid w:val="00A00058"/>
    <w:rsid w:val="00A01474"/>
    <w:rsid w:val="00A01E82"/>
    <w:rsid w:val="00A01FF7"/>
    <w:rsid w:val="00A027FE"/>
    <w:rsid w:val="00A02BF3"/>
    <w:rsid w:val="00A02EFB"/>
    <w:rsid w:val="00A03209"/>
    <w:rsid w:val="00A03386"/>
    <w:rsid w:val="00A05224"/>
    <w:rsid w:val="00A05665"/>
    <w:rsid w:val="00A05CA4"/>
    <w:rsid w:val="00A05CD8"/>
    <w:rsid w:val="00A06B18"/>
    <w:rsid w:val="00A073E0"/>
    <w:rsid w:val="00A07560"/>
    <w:rsid w:val="00A07684"/>
    <w:rsid w:val="00A108A3"/>
    <w:rsid w:val="00A10CB8"/>
    <w:rsid w:val="00A10E14"/>
    <w:rsid w:val="00A11040"/>
    <w:rsid w:val="00A1172E"/>
    <w:rsid w:val="00A1183D"/>
    <w:rsid w:val="00A11CE9"/>
    <w:rsid w:val="00A11E5D"/>
    <w:rsid w:val="00A1233B"/>
    <w:rsid w:val="00A127DB"/>
    <w:rsid w:val="00A12931"/>
    <w:rsid w:val="00A136DF"/>
    <w:rsid w:val="00A13BD4"/>
    <w:rsid w:val="00A147B5"/>
    <w:rsid w:val="00A14E2C"/>
    <w:rsid w:val="00A150AE"/>
    <w:rsid w:val="00A15B5E"/>
    <w:rsid w:val="00A15E12"/>
    <w:rsid w:val="00A162F4"/>
    <w:rsid w:val="00A1641E"/>
    <w:rsid w:val="00A16666"/>
    <w:rsid w:val="00A17748"/>
    <w:rsid w:val="00A17AFA"/>
    <w:rsid w:val="00A21796"/>
    <w:rsid w:val="00A218A7"/>
    <w:rsid w:val="00A22318"/>
    <w:rsid w:val="00A224F3"/>
    <w:rsid w:val="00A22FE2"/>
    <w:rsid w:val="00A23476"/>
    <w:rsid w:val="00A2362C"/>
    <w:rsid w:val="00A242E7"/>
    <w:rsid w:val="00A249EB"/>
    <w:rsid w:val="00A24D53"/>
    <w:rsid w:val="00A256AE"/>
    <w:rsid w:val="00A25E67"/>
    <w:rsid w:val="00A261B9"/>
    <w:rsid w:val="00A2649C"/>
    <w:rsid w:val="00A26C51"/>
    <w:rsid w:val="00A2772B"/>
    <w:rsid w:val="00A27D13"/>
    <w:rsid w:val="00A3033B"/>
    <w:rsid w:val="00A306CD"/>
    <w:rsid w:val="00A30BC4"/>
    <w:rsid w:val="00A31375"/>
    <w:rsid w:val="00A3283D"/>
    <w:rsid w:val="00A32C47"/>
    <w:rsid w:val="00A3380C"/>
    <w:rsid w:val="00A33A45"/>
    <w:rsid w:val="00A34614"/>
    <w:rsid w:val="00A34ADA"/>
    <w:rsid w:val="00A34BB3"/>
    <w:rsid w:val="00A350AD"/>
    <w:rsid w:val="00A35195"/>
    <w:rsid w:val="00A3561B"/>
    <w:rsid w:val="00A35DD8"/>
    <w:rsid w:val="00A36596"/>
    <w:rsid w:val="00A37D1A"/>
    <w:rsid w:val="00A40570"/>
    <w:rsid w:val="00A407D1"/>
    <w:rsid w:val="00A40988"/>
    <w:rsid w:val="00A40B20"/>
    <w:rsid w:val="00A40B3B"/>
    <w:rsid w:val="00A40E66"/>
    <w:rsid w:val="00A40F19"/>
    <w:rsid w:val="00A40F1E"/>
    <w:rsid w:val="00A414CF"/>
    <w:rsid w:val="00A41642"/>
    <w:rsid w:val="00A4189A"/>
    <w:rsid w:val="00A42112"/>
    <w:rsid w:val="00A4292F"/>
    <w:rsid w:val="00A42BC9"/>
    <w:rsid w:val="00A4370D"/>
    <w:rsid w:val="00A4390C"/>
    <w:rsid w:val="00A43DF2"/>
    <w:rsid w:val="00A4401C"/>
    <w:rsid w:val="00A44846"/>
    <w:rsid w:val="00A45033"/>
    <w:rsid w:val="00A45B3F"/>
    <w:rsid w:val="00A460B4"/>
    <w:rsid w:val="00A4624D"/>
    <w:rsid w:val="00A46DAE"/>
    <w:rsid w:val="00A47C49"/>
    <w:rsid w:val="00A47DCF"/>
    <w:rsid w:val="00A47E78"/>
    <w:rsid w:val="00A5033D"/>
    <w:rsid w:val="00A51112"/>
    <w:rsid w:val="00A512E8"/>
    <w:rsid w:val="00A5170D"/>
    <w:rsid w:val="00A51F76"/>
    <w:rsid w:val="00A52593"/>
    <w:rsid w:val="00A5265F"/>
    <w:rsid w:val="00A526FB"/>
    <w:rsid w:val="00A52781"/>
    <w:rsid w:val="00A52AD5"/>
    <w:rsid w:val="00A52C8D"/>
    <w:rsid w:val="00A536DC"/>
    <w:rsid w:val="00A53A09"/>
    <w:rsid w:val="00A54166"/>
    <w:rsid w:val="00A54705"/>
    <w:rsid w:val="00A54A36"/>
    <w:rsid w:val="00A54D28"/>
    <w:rsid w:val="00A56163"/>
    <w:rsid w:val="00A56768"/>
    <w:rsid w:val="00A56A21"/>
    <w:rsid w:val="00A56A24"/>
    <w:rsid w:val="00A56D23"/>
    <w:rsid w:val="00A56F1B"/>
    <w:rsid w:val="00A56F8F"/>
    <w:rsid w:val="00A5708E"/>
    <w:rsid w:val="00A574D5"/>
    <w:rsid w:val="00A57795"/>
    <w:rsid w:val="00A5790F"/>
    <w:rsid w:val="00A57C0A"/>
    <w:rsid w:val="00A57F2B"/>
    <w:rsid w:val="00A607E6"/>
    <w:rsid w:val="00A6123D"/>
    <w:rsid w:val="00A614F9"/>
    <w:rsid w:val="00A62064"/>
    <w:rsid w:val="00A621EC"/>
    <w:rsid w:val="00A623BF"/>
    <w:rsid w:val="00A625F7"/>
    <w:rsid w:val="00A6260F"/>
    <w:rsid w:val="00A629F1"/>
    <w:rsid w:val="00A62B1B"/>
    <w:rsid w:val="00A6397D"/>
    <w:rsid w:val="00A63C0C"/>
    <w:rsid w:val="00A643A4"/>
    <w:rsid w:val="00A649F1"/>
    <w:rsid w:val="00A65276"/>
    <w:rsid w:val="00A65ED8"/>
    <w:rsid w:val="00A671CE"/>
    <w:rsid w:val="00A67693"/>
    <w:rsid w:val="00A67B8C"/>
    <w:rsid w:val="00A67E46"/>
    <w:rsid w:val="00A70011"/>
    <w:rsid w:val="00A70984"/>
    <w:rsid w:val="00A71363"/>
    <w:rsid w:val="00A71B57"/>
    <w:rsid w:val="00A720DA"/>
    <w:rsid w:val="00A7211A"/>
    <w:rsid w:val="00A722D2"/>
    <w:rsid w:val="00A724F1"/>
    <w:rsid w:val="00A72B43"/>
    <w:rsid w:val="00A72FDE"/>
    <w:rsid w:val="00A73613"/>
    <w:rsid w:val="00A73995"/>
    <w:rsid w:val="00A73A0A"/>
    <w:rsid w:val="00A73CF2"/>
    <w:rsid w:val="00A741B8"/>
    <w:rsid w:val="00A74330"/>
    <w:rsid w:val="00A7494B"/>
    <w:rsid w:val="00A7502C"/>
    <w:rsid w:val="00A757E9"/>
    <w:rsid w:val="00A76089"/>
    <w:rsid w:val="00A77E69"/>
    <w:rsid w:val="00A80008"/>
    <w:rsid w:val="00A8050B"/>
    <w:rsid w:val="00A814C2"/>
    <w:rsid w:val="00A81B02"/>
    <w:rsid w:val="00A82076"/>
    <w:rsid w:val="00A82107"/>
    <w:rsid w:val="00A8311E"/>
    <w:rsid w:val="00A833EB"/>
    <w:rsid w:val="00A83859"/>
    <w:rsid w:val="00A83DAC"/>
    <w:rsid w:val="00A83E80"/>
    <w:rsid w:val="00A84B39"/>
    <w:rsid w:val="00A84E1B"/>
    <w:rsid w:val="00A85A90"/>
    <w:rsid w:val="00A86EC5"/>
    <w:rsid w:val="00A876DD"/>
    <w:rsid w:val="00A87C26"/>
    <w:rsid w:val="00A903BE"/>
    <w:rsid w:val="00A905BD"/>
    <w:rsid w:val="00A909D0"/>
    <w:rsid w:val="00A90A36"/>
    <w:rsid w:val="00A91D66"/>
    <w:rsid w:val="00A93102"/>
    <w:rsid w:val="00A93116"/>
    <w:rsid w:val="00A93617"/>
    <w:rsid w:val="00A947BA"/>
    <w:rsid w:val="00A9543A"/>
    <w:rsid w:val="00A95BE1"/>
    <w:rsid w:val="00A96EA2"/>
    <w:rsid w:val="00A9701D"/>
    <w:rsid w:val="00A974FF"/>
    <w:rsid w:val="00AA0132"/>
    <w:rsid w:val="00AA06B3"/>
    <w:rsid w:val="00AA0BCB"/>
    <w:rsid w:val="00AA0DDA"/>
    <w:rsid w:val="00AA1E36"/>
    <w:rsid w:val="00AA2419"/>
    <w:rsid w:val="00AA3758"/>
    <w:rsid w:val="00AA4D20"/>
    <w:rsid w:val="00AA4DA1"/>
    <w:rsid w:val="00AA5216"/>
    <w:rsid w:val="00AA57B5"/>
    <w:rsid w:val="00AA583B"/>
    <w:rsid w:val="00AA5AE1"/>
    <w:rsid w:val="00AA5CC9"/>
    <w:rsid w:val="00AA65C7"/>
    <w:rsid w:val="00AA7088"/>
    <w:rsid w:val="00AA757B"/>
    <w:rsid w:val="00AA75A6"/>
    <w:rsid w:val="00AA7649"/>
    <w:rsid w:val="00AA7964"/>
    <w:rsid w:val="00AA7DEF"/>
    <w:rsid w:val="00AA7E83"/>
    <w:rsid w:val="00AB005D"/>
    <w:rsid w:val="00AB02E8"/>
    <w:rsid w:val="00AB1B71"/>
    <w:rsid w:val="00AB2201"/>
    <w:rsid w:val="00AB28A8"/>
    <w:rsid w:val="00AB2E7E"/>
    <w:rsid w:val="00AB3FA1"/>
    <w:rsid w:val="00AB4313"/>
    <w:rsid w:val="00AB441A"/>
    <w:rsid w:val="00AB45E5"/>
    <w:rsid w:val="00AB46C0"/>
    <w:rsid w:val="00AB4EDC"/>
    <w:rsid w:val="00AB5257"/>
    <w:rsid w:val="00AB5420"/>
    <w:rsid w:val="00AB59AE"/>
    <w:rsid w:val="00AB5E26"/>
    <w:rsid w:val="00AB5E68"/>
    <w:rsid w:val="00AB6132"/>
    <w:rsid w:val="00AB625B"/>
    <w:rsid w:val="00AB626D"/>
    <w:rsid w:val="00AB750A"/>
    <w:rsid w:val="00AC07CD"/>
    <w:rsid w:val="00AC0891"/>
    <w:rsid w:val="00AC254E"/>
    <w:rsid w:val="00AC25D8"/>
    <w:rsid w:val="00AC27ED"/>
    <w:rsid w:val="00AC28F1"/>
    <w:rsid w:val="00AC2AF6"/>
    <w:rsid w:val="00AC2BB5"/>
    <w:rsid w:val="00AC311E"/>
    <w:rsid w:val="00AC334A"/>
    <w:rsid w:val="00AC33CE"/>
    <w:rsid w:val="00AC3586"/>
    <w:rsid w:val="00AC3C70"/>
    <w:rsid w:val="00AC4419"/>
    <w:rsid w:val="00AC49B9"/>
    <w:rsid w:val="00AC6174"/>
    <w:rsid w:val="00AC61CF"/>
    <w:rsid w:val="00AC6665"/>
    <w:rsid w:val="00AC6824"/>
    <w:rsid w:val="00AC6EFF"/>
    <w:rsid w:val="00AC6F66"/>
    <w:rsid w:val="00AC7603"/>
    <w:rsid w:val="00AC7F2F"/>
    <w:rsid w:val="00AD01BF"/>
    <w:rsid w:val="00AD02F3"/>
    <w:rsid w:val="00AD0692"/>
    <w:rsid w:val="00AD127A"/>
    <w:rsid w:val="00AD1CF6"/>
    <w:rsid w:val="00AD1F9A"/>
    <w:rsid w:val="00AD28FB"/>
    <w:rsid w:val="00AD3210"/>
    <w:rsid w:val="00AD38D1"/>
    <w:rsid w:val="00AD3C19"/>
    <w:rsid w:val="00AD41E1"/>
    <w:rsid w:val="00AD41FC"/>
    <w:rsid w:val="00AD426F"/>
    <w:rsid w:val="00AD5B15"/>
    <w:rsid w:val="00AD5BBA"/>
    <w:rsid w:val="00AD5D49"/>
    <w:rsid w:val="00AD5FD9"/>
    <w:rsid w:val="00AD60F6"/>
    <w:rsid w:val="00AD618F"/>
    <w:rsid w:val="00AD6803"/>
    <w:rsid w:val="00AD6D5C"/>
    <w:rsid w:val="00AD7127"/>
    <w:rsid w:val="00AD7421"/>
    <w:rsid w:val="00AD797B"/>
    <w:rsid w:val="00AD7FE1"/>
    <w:rsid w:val="00AE10BD"/>
    <w:rsid w:val="00AE15D2"/>
    <w:rsid w:val="00AE1ACE"/>
    <w:rsid w:val="00AE1C9F"/>
    <w:rsid w:val="00AE1D18"/>
    <w:rsid w:val="00AE28D2"/>
    <w:rsid w:val="00AE2A3D"/>
    <w:rsid w:val="00AE2B9B"/>
    <w:rsid w:val="00AE37F7"/>
    <w:rsid w:val="00AE4427"/>
    <w:rsid w:val="00AE5015"/>
    <w:rsid w:val="00AE5056"/>
    <w:rsid w:val="00AE5368"/>
    <w:rsid w:val="00AE53AC"/>
    <w:rsid w:val="00AE601A"/>
    <w:rsid w:val="00AE7919"/>
    <w:rsid w:val="00AE7F7F"/>
    <w:rsid w:val="00AF0CD1"/>
    <w:rsid w:val="00AF105C"/>
    <w:rsid w:val="00AF10CC"/>
    <w:rsid w:val="00AF1420"/>
    <w:rsid w:val="00AF148A"/>
    <w:rsid w:val="00AF1AC5"/>
    <w:rsid w:val="00AF1CEC"/>
    <w:rsid w:val="00AF2101"/>
    <w:rsid w:val="00AF2132"/>
    <w:rsid w:val="00AF2168"/>
    <w:rsid w:val="00AF2DE2"/>
    <w:rsid w:val="00AF307B"/>
    <w:rsid w:val="00AF3AC9"/>
    <w:rsid w:val="00AF3EF9"/>
    <w:rsid w:val="00AF56EE"/>
    <w:rsid w:val="00AF57C1"/>
    <w:rsid w:val="00AF638C"/>
    <w:rsid w:val="00AF64DF"/>
    <w:rsid w:val="00AF6826"/>
    <w:rsid w:val="00AF684A"/>
    <w:rsid w:val="00AF6BE4"/>
    <w:rsid w:val="00AF6D29"/>
    <w:rsid w:val="00AF724F"/>
    <w:rsid w:val="00AF72C8"/>
    <w:rsid w:val="00B0025E"/>
    <w:rsid w:val="00B00499"/>
    <w:rsid w:val="00B010B1"/>
    <w:rsid w:val="00B01552"/>
    <w:rsid w:val="00B01713"/>
    <w:rsid w:val="00B01766"/>
    <w:rsid w:val="00B0181E"/>
    <w:rsid w:val="00B019CD"/>
    <w:rsid w:val="00B01EAE"/>
    <w:rsid w:val="00B03235"/>
    <w:rsid w:val="00B03A98"/>
    <w:rsid w:val="00B040D9"/>
    <w:rsid w:val="00B04297"/>
    <w:rsid w:val="00B04B0F"/>
    <w:rsid w:val="00B0519B"/>
    <w:rsid w:val="00B0572B"/>
    <w:rsid w:val="00B06181"/>
    <w:rsid w:val="00B06D9D"/>
    <w:rsid w:val="00B06DA0"/>
    <w:rsid w:val="00B0717B"/>
    <w:rsid w:val="00B073ED"/>
    <w:rsid w:val="00B104D7"/>
    <w:rsid w:val="00B10A74"/>
    <w:rsid w:val="00B10BCD"/>
    <w:rsid w:val="00B10E65"/>
    <w:rsid w:val="00B113B1"/>
    <w:rsid w:val="00B11444"/>
    <w:rsid w:val="00B115A3"/>
    <w:rsid w:val="00B1160B"/>
    <w:rsid w:val="00B11AA8"/>
    <w:rsid w:val="00B11B72"/>
    <w:rsid w:val="00B11B9F"/>
    <w:rsid w:val="00B11EDA"/>
    <w:rsid w:val="00B12504"/>
    <w:rsid w:val="00B12849"/>
    <w:rsid w:val="00B130E1"/>
    <w:rsid w:val="00B132E6"/>
    <w:rsid w:val="00B13D2A"/>
    <w:rsid w:val="00B13DFB"/>
    <w:rsid w:val="00B14A16"/>
    <w:rsid w:val="00B15EFD"/>
    <w:rsid w:val="00B161E5"/>
    <w:rsid w:val="00B163F2"/>
    <w:rsid w:val="00B16E95"/>
    <w:rsid w:val="00B17C9B"/>
    <w:rsid w:val="00B20A5D"/>
    <w:rsid w:val="00B210D2"/>
    <w:rsid w:val="00B21C00"/>
    <w:rsid w:val="00B2213A"/>
    <w:rsid w:val="00B22303"/>
    <w:rsid w:val="00B226DB"/>
    <w:rsid w:val="00B23732"/>
    <w:rsid w:val="00B23C3C"/>
    <w:rsid w:val="00B246D8"/>
    <w:rsid w:val="00B2485D"/>
    <w:rsid w:val="00B25204"/>
    <w:rsid w:val="00B253BC"/>
    <w:rsid w:val="00B253FC"/>
    <w:rsid w:val="00B2559B"/>
    <w:rsid w:val="00B255B1"/>
    <w:rsid w:val="00B25DE9"/>
    <w:rsid w:val="00B26380"/>
    <w:rsid w:val="00B2668E"/>
    <w:rsid w:val="00B27149"/>
    <w:rsid w:val="00B27A30"/>
    <w:rsid w:val="00B300E7"/>
    <w:rsid w:val="00B30471"/>
    <w:rsid w:val="00B30674"/>
    <w:rsid w:val="00B3136A"/>
    <w:rsid w:val="00B31847"/>
    <w:rsid w:val="00B32933"/>
    <w:rsid w:val="00B34321"/>
    <w:rsid w:val="00B34387"/>
    <w:rsid w:val="00B34F8F"/>
    <w:rsid w:val="00B35429"/>
    <w:rsid w:val="00B35558"/>
    <w:rsid w:val="00B3561B"/>
    <w:rsid w:val="00B356BD"/>
    <w:rsid w:val="00B3585C"/>
    <w:rsid w:val="00B35C43"/>
    <w:rsid w:val="00B36519"/>
    <w:rsid w:val="00B366F8"/>
    <w:rsid w:val="00B366FE"/>
    <w:rsid w:val="00B36A97"/>
    <w:rsid w:val="00B3769F"/>
    <w:rsid w:val="00B37BF6"/>
    <w:rsid w:val="00B37C99"/>
    <w:rsid w:val="00B37D63"/>
    <w:rsid w:val="00B41378"/>
    <w:rsid w:val="00B41497"/>
    <w:rsid w:val="00B42511"/>
    <w:rsid w:val="00B42E85"/>
    <w:rsid w:val="00B43958"/>
    <w:rsid w:val="00B43A11"/>
    <w:rsid w:val="00B43EE2"/>
    <w:rsid w:val="00B44B9F"/>
    <w:rsid w:val="00B44D3E"/>
    <w:rsid w:val="00B457DB"/>
    <w:rsid w:val="00B4588C"/>
    <w:rsid w:val="00B46087"/>
    <w:rsid w:val="00B460E8"/>
    <w:rsid w:val="00B463A5"/>
    <w:rsid w:val="00B463A9"/>
    <w:rsid w:val="00B4696F"/>
    <w:rsid w:val="00B4714B"/>
    <w:rsid w:val="00B47893"/>
    <w:rsid w:val="00B47B86"/>
    <w:rsid w:val="00B47C56"/>
    <w:rsid w:val="00B502B7"/>
    <w:rsid w:val="00B5095B"/>
    <w:rsid w:val="00B51727"/>
    <w:rsid w:val="00B51892"/>
    <w:rsid w:val="00B52161"/>
    <w:rsid w:val="00B5380C"/>
    <w:rsid w:val="00B53C55"/>
    <w:rsid w:val="00B548E1"/>
    <w:rsid w:val="00B54A49"/>
    <w:rsid w:val="00B55A84"/>
    <w:rsid w:val="00B55F5F"/>
    <w:rsid w:val="00B5617F"/>
    <w:rsid w:val="00B56596"/>
    <w:rsid w:val="00B567A4"/>
    <w:rsid w:val="00B5694C"/>
    <w:rsid w:val="00B570ED"/>
    <w:rsid w:val="00B57285"/>
    <w:rsid w:val="00B60588"/>
    <w:rsid w:val="00B61197"/>
    <w:rsid w:val="00B611E7"/>
    <w:rsid w:val="00B61430"/>
    <w:rsid w:val="00B615E4"/>
    <w:rsid w:val="00B61A99"/>
    <w:rsid w:val="00B62DB0"/>
    <w:rsid w:val="00B62FB4"/>
    <w:rsid w:val="00B6401A"/>
    <w:rsid w:val="00B64A61"/>
    <w:rsid w:val="00B64B23"/>
    <w:rsid w:val="00B656A7"/>
    <w:rsid w:val="00B65878"/>
    <w:rsid w:val="00B65BBE"/>
    <w:rsid w:val="00B65CAD"/>
    <w:rsid w:val="00B65F5C"/>
    <w:rsid w:val="00B6629B"/>
    <w:rsid w:val="00B663D9"/>
    <w:rsid w:val="00B666E2"/>
    <w:rsid w:val="00B6696D"/>
    <w:rsid w:val="00B67098"/>
    <w:rsid w:val="00B6762F"/>
    <w:rsid w:val="00B676EC"/>
    <w:rsid w:val="00B67D9C"/>
    <w:rsid w:val="00B70691"/>
    <w:rsid w:val="00B7185F"/>
    <w:rsid w:val="00B71B03"/>
    <w:rsid w:val="00B72315"/>
    <w:rsid w:val="00B72D8F"/>
    <w:rsid w:val="00B734A0"/>
    <w:rsid w:val="00B736C7"/>
    <w:rsid w:val="00B74064"/>
    <w:rsid w:val="00B7411B"/>
    <w:rsid w:val="00B742F7"/>
    <w:rsid w:val="00B749F0"/>
    <w:rsid w:val="00B75198"/>
    <w:rsid w:val="00B7530E"/>
    <w:rsid w:val="00B75FCD"/>
    <w:rsid w:val="00B76919"/>
    <w:rsid w:val="00B778B9"/>
    <w:rsid w:val="00B77F85"/>
    <w:rsid w:val="00B801E2"/>
    <w:rsid w:val="00B8086A"/>
    <w:rsid w:val="00B809D5"/>
    <w:rsid w:val="00B80FE2"/>
    <w:rsid w:val="00B8179B"/>
    <w:rsid w:val="00B81ED7"/>
    <w:rsid w:val="00B82C89"/>
    <w:rsid w:val="00B83AEC"/>
    <w:rsid w:val="00B84035"/>
    <w:rsid w:val="00B847FC"/>
    <w:rsid w:val="00B85C6C"/>
    <w:rsid w:val="00B86131"/>
    <w:rsid w:val="00B86E6A"/>
    <w:rsid w:val="00B873E7"/>
    <w:rsid w:val="00B87A5A"/>
    <w:rsid w:val="00B87D30"/>
    <w:rsid w:val="00B87E86"/>
    <w:rsid w:val="00B90041"/>
    <w:rsid w:val="00B90059"/>
    <w:rsid w:val="00B91EE6"/>
    <w:rsid w:val="00B92895"/>
    <w:rsid w:val="00B92E82"/>
    <w:rsid w:val="00B92E93"/>
    <w:rsid w:val="00B938D2"/>
    <w:rsid w:val="00B939AD"/>
    <w:rsid w:val="00B93B87"/>
    <w:rsid w:val="00B93C57"/>
    <w:rsid w:val="00B946C5"/>
    <w:rsid w:val="00B951C4"/>
    <w:rsid w:val="00B96254"/>
    <w:rsid w:val="00B963A0"/>
    <w:rsid w:val="00B96721"/>
    <w:rsid w:val="00B97A40"/>
    <w:rsid w:val="00B97C1E"/>
    <w:rsid w:val="00B97E1B"/>
    <w:rsid w:val="00B97EEA"/>
    <w:rsid w:val="00BA0031"/>
    <w:rsid w:val="00BA0857"/>
    <w:rsid w:val="00BA105D"/>
    <w:rsid w:val="00BA1DA1"/>
    <w:rsid w:val="00BA2057"/>
    <w:rsid w:val="00BA2176"/>
    <w:rsid w:val="00BA23B9"/>
    <w:rsid w:val="00BA2529"/>
    <w:rsid w:val="00BA2CA5"/>
    <w:rsid w:val="00BA31C2"/>
    <w:rsid w:val="00BA3AEE"/>
    <w:rsid w:val="00BA3FD2"/>
    <w:rsid w:val="00BA4186"/>
    <w:rsid w:val="00BA49BD"/>
    <w:rsid w:val="00BA4A6B"/>
    <w:rsid w:val="00BA4E45"/>
    <w:rsid w:val="00BA4E76"/>
    <w:rsid w:val="00BA4EC3"/>
    <w:rsid w:val="00BA53F3"/>
    <w:rsid w:val="00BA63A9"/>
    <w:rsid w:val="00BA69CB"/>
    <w:rsid w:val="00BA71B1"/>
    <w:rsid w:val="00BA7BEE"/>
    <w:rsid w:val="00BA7D38"/>
    <w:rsid w:val="00BA7EE7"/>
    <w:rsid w:val="00BB06EB"/>
    <w:rsid w:val="00BB103F"/>
    <w:rsid w:val="00BB15C3"/>
    <w:rsid w:val="00BB1C12"/>
    <w:rsid w:val="00BB2C3E"/>
    <w:rsid w:val="00BB2FE4"/>
    <w:rsid w:val="00BB484A"/>
    <w:rsid w:val="00BB6504"/>
    <w:rsid w:val="00BB68C8"/>
    <w:rsid w:val="00BB68F1"/>
    <w:rsid w:val="00BB6A3F"/>
    <w:rsid w:val="00BB73DD"/>
    <w:rsid w:val="00BC05FB"/>
    <w:rsid w:val="00BC104B"/>
    <w:rsid w:val="00BC1586"/>
    <w:rsid w:val="00BC2441"/>
    <w:rsid w:val="00BC2D76"/>
    <w:rsid w:val="00BC3B0F"/>
    <w:rsid w:val="00BC3E54"/>
    <w:rsid w:val="00BC3FA3"/>
    <w:rsid w:val="00BC4520"/>
    <w:rsid w:val="00BC4BD8"/>
    <w:rsid w:val="00BC4F3F"/>
    <w:rsid w:val="00BC58A7"/>
    <w:rsid w:val="00BC5C64"/>
    <w:rsid w:val="00BC5DD9"/>
    <w:rsid w:val="00BC674D"/>
    <w:rsid w:val="00BC6CB4"/>
    <w:rsid w:val="00BC7207"/>
    <w:rsid w:val="00BC72EC"/>
    <w:rsid w:val="00BC793F"/>
    <w:rsid w:val="00BC7F5F"/>
    <w:rsid w:val="00BD0518"/>
    <w:rsid w:val="00BD1CBC"/>
    <w:rsid w:val="00BD29DA"/>
    <w:rsid w:val="00BD2F04"/>
    <w:rsid w:val="00BD30A8"/>
    <w:rsid w:val="00BD3560"/>
    <w:rsid w:val="00BD3D04"/>
    <w:rsid w:val="00BD4EEF"/>
    <w:rsid w:val="00BD5121"/>
    <w:rsid w:val="00BD54CA"/>
    <w:rsid w:val="00BD5709"/>
    <w:rsid w:val="00BD5CB7"/>
    <w:rsid w:val="00BD6601"/>
    <w:rsid w:val="00BD6A70"/>
    <w:rsid w:val="00BD6E27"/>
    <w:rsid w:val="00BD7883"/>
    <w:rsid w:val="00BD7EF1"/>
    <w:rsid w:val="00BE0A5E"/>
    <w:rsid w:val="00BE0A83"/>
    <w:rsid w:val="00BE0E38"/>
    <w:rsid w:val="00BE16E6"/>
    <w:rsid w:val="00BE1740"/>
    <w:rsid w:val="00BE1DB8"/>
    <w:rsid w:val="00BE2416"/>
    <w:rsid w:val="00BE2DFE"/>
    <w:rsid w:val="00BE2F1A"/>
    <w:rsid w:val="00BE30B6"/>
    <w:rsid w:val="00BE3909"/>
    <w:rsid w:val="00BE3BBF"/>
    <w:rsid w:val="00BE4937"/>
    <w:rsid w:val="00BE49CA"/>
    <w:rsid w:val="00BE4BA5"/>
    <w:rsid w:val="00BE4EA7"/>
    <w:rsid w:val="00BE574C"/>
    <w:rsid w:val="00BE5CA3"/>
    <w:rsid w:val="00BE6956"/>
    <w:rsid w:val="00BE6E6D"/>
    <w:rsid w:val="00BE7812"/>
    <w:rsid w:val="00BE7840"/>
    <w:rsid w:val="00BE7A21"/>
    <w:rsid w:val="00BF09E0"/>
    <w:rsid w:val="00BF0D3E"/>
    <w:rsid w:val="00BF0E7A"/>
    <w:rsid w:val="00BF1404"/>
    <w:rsid w:val="00BF1974"/>
    <w:rsid w:val="00BF1C04"/>
    <w:rsid w:val="00BF20B0"/>
    <w:rsid w:val="00BF21F4"/>
    <w:rsid w:val="00BF23F4"/>
    <w:rsid w:val="00BF3284"/>
    <w:rsid w:val="00BF3608"/>
    <w:rsid w:val="00BF3908"/>
    <w:rsid w:val="00BF3D1F"/>
    <w:rsid w:val="00BF3FEB"/>
    <w:rsid w:val="00BF4DE2"/>
    <w:rsid w:val="00BF4F1A"/>
    <w:rsid w:val="00BF57C3"/>
    <w:rsid w:val="00BF5FC8"/>
    <w:rsid w:val="00BF6657"/>
    <w:rsid w:val="00BF6844"/>
    <w:rsid w:val="00BF6849"/>
    <w:rsid w:val="00BF6875"/>
    <w:rsid w:val="00BF68C2"/>
    <w:rsid w:val="00BF690A"/>
    <w:rsid w:val="00BF705F"/>
    <w:rsid w:val="00BF7CA2"/>
    <w:rsid w:val="00BF7DC5"/>
    <w:rsid w:val="00C000B9"/>
    <w:rsid w:val="00C0128E"/>
    <w:rsid w:val="00C014BB"/>
    <w:rsid w:val="00C01CAB"/>
    <w:rsid w:val="00C0353F"/>
    <w:rsid w:val="00C03FC4"/>
    <w:rsid w:val="00C0409E"/>
    <w:rsid w:val="00C04188"/>
    <w:rsid w:val="00C04BEA"/>
    <w:rsid w:val="00C04E17"/>
    <w:rsid w:val="00C0503C"/>
    <w:rsid w:val="00C05539"/>
    <w:rsid w:val="00C06032"/>
    <w:rsid w:val="00C0648F"/>
    <w:rsid w:val="00C06494"/>
    <w:rsid w:val="00C064E2"/>
    <w:rsid w:val="00C0715A"/>
    <w:rsid w:val="00C108A4"/>
    <w:rsid w:val="00C10E70"/>
    <w:rsid w:val="00C11C09"/>
    <w:rsid w:val="00C12BD4"/>
    <w:rsid w:val="00C12C69"/>
    <w:rsid w:val="00C134C1"/>
    <w:rsid w:val="00C1387C"/>
    <w:rsid w:val="00C13DF1"/>
    <w:rsid w:val="00C14A93"/>
    <w:rsid w:val="00C14B95"/>
    <w:rsid w:val="00C151D8"/>
    <w:rsid w:val="00C155B6"/>
    <w:rsid w:val="00C169CD"/>
    <w:rsid w:val="00C17DBC"/>
    <w:rsid w:val="00C2021E"/>
    <w:rsid w:val="00C21117"/>
    <w:rsid w:val="00C21802"/>
    <w:rsid w:val="00C219FF"/>
    <w:rsid w:val="00C21B6B"/>
    <w:rsid w:val="00C21F52"/>
    <w:rsid w:val="00C21FE1"/>
    <w:rsid w:val="00C234AE"/>
    <w:rsid w:val="00C25BD1"/>
    <w:rsid w:val="00C25E7E"/>
    <w:rsid w:val="00C3151D"/>
    <w:rsid w:val="00C31859"/>
    <w:rsid w:val="00C32226"/>
    <w:rsid w:val="00C32680"/>
    <w:rsid w:val="00C32947"/>
    <w:rsid w:val="00C32EE1"/>
    <w:rsid w:val="00C33443"/>
    <w:rsid w:val="00C336FE"/>
    <w:rsid w:val="00C339CD"/>
    <w:rsid w:val="00C33AB8"/>
    <w:rsid w:val="00C34355"/>
    <w:rsid w:val="00C34550"/>
    <w:rsid w:val="00C34B47"/>
    <w:rsid w:val="00C3555E"/>
    <w:rsid w:val="00C35B5F"/>
    <w:rsid w:val="00C35E29"/>
    <w:rsid w:val="00C360E2"/>
    <w:rsid w:val="00C37613"/>
    <w:rsid w:val="00C401BB"/>
    <w:rsid w:val="00C401EC"/>
    <w:rsid w:val="00C402F5"/>
    <w:rsid w:val="00C408A6"/>
    <w:rsid w:val="00C40900"/>
    <w:rsid w:val="00C40A7F"/>
    <w:rsid w:val="00C40E24"/>
    <w:rsid w:val="00C40F16"/>
    <w:rsid w:val="00C40FDD"/>
    <w:rsid w:val="00C41C4A"/>
    <w:rsid w:val="00C422BD"/>
    <w:rsid w:val="00C42341"/>
    <w:rsid w:val="00C423EE"/>
    <w:rsid w:val="00C4374F"/>
    <w:rsid w:val="00C43B2E"/>
    <w:rsid w:val="00C447DE"/>
    <w:rsid w:val="00C447F3"/>
    <w:rsid w:val="00C449B0"/>
    <w:rsid w:val="00C45129"/>
    <w:rsid w:val="00C45D90"/>
    <w:rsid w:val="00C45E56"/>
    <w:rsid w:val="00C45FA4"/>
    <w:rsid w:val="00C460E0"/>
    <w:rsid w:val="00C46474"/>
    <w:rsid w:val="00C47551"/>
    <w:rsid w:val="00C50658"/>
    <w:rsid w:val="00C519D9"/>
    <w:rsid w:val="00C52838"/>
    <w:rsid w:val="00C52B6C"/>
    <w:rsid w:val="00C53A98"/>
    <w:rsid w:val="00C53D52"/>
    <w:rsid w:val="00C53FFF"/>
    <w:rsid w:val="00C54DC6"/>
    <w:rsid w:val="00C55BF1"/>
    <w:rsid w:val="00C55E00"/>
    <w:rsid w:val="00C5782B"/>
    <w:rsid w:val="00C57D83"/>
    <w:rsid w:val="00C60078"/>
    <w:rsid w:val="00C601A8"/>
    <w:rsid w:val="00C60E4F"/>
    <w:rsid w:val="00C6189B"/>
    <w:rsid w:val="00C61EF7"/>
    <w:rsid w:val="00C62458"/>
    <w:rsid w:val="00C62B91"/>
    <w:rsid w:val="00C63111"/>
    <w:rsid w:val="00C63EA9"/>
    <w:rsid w:val="00C63F96"/>
    <w:rsid w:val="00C641C4"/>
    <w:rsid w:val="00C64246"/>
    <w:rsid w:val="00C64EE9"/>
    <w:rsid w:val="00C64F27"/>
    <w:rsid w:val="00C65BFB"/>
    <w:rsid w:val="00C660FD"/>
    <w:rsid w:val="00C66632"/>
    <w:rsid w:val="00C676EB"/>
    <w:rsid w:val="00C67738"/>
    <w:rsid w:val="00C67AB5"/>
    <w:rsid w:val="00C67C47"/>
    <w:rsid w:val="00C67F1C"/>
    <w:rsid w:val="00C70420"/>
    <w:rsid w:val="00C704CB"/>
    <w:rsid w:val="00C7062E"/>
    <w:rsid w:val="00C70758"/>
    <w:rsid w:val="00C70834"/>
    <w:rsid w:val="00C70D34"/>
    <w:rsid w:val="00C70DF2"/>
    <w:rsid w:val="00C714A2"/>
    <w:rsid w:val="00C7175A"/>
    <w:rsid w:val="00C721DB"/>
    <w:rsid w:val="00C72438"/>
    <w:rsid w:val="00C7277E"/>
    <w:rsid w:val="00C72D6C"/>
    <w:rsid w:val="00C739EE"/>
    <w:rsid w:val="00C7417A"/>
    <w:rsid w:val="00C741D6"/>
    <w:rsid w:val="00C74823"/>
    <w:rsid w:val="00C74915"/>
    <w:rsid w:val="00C74B41"/>
    <w:rsid w:val="00C75169"/>
    <w:rsid w:val="00C754EE"/>
    <w:rsid w:val="00C77568"/>
    <w:rsid w:val="00C778C3"/>
    <w:rsid w:val="00C802F5"/>
    <w:rsid w:val="00C803F2"/>
    <w:rsid w:val="00C8040F"/>
    <w:rsid w:val="00C81413"/>
    <w:rsid w:val="00C81544"/>
    <w:rsid w:val="00C81FDB"/>
    <w:rsid w:val="00C822A6"/>
    <w:rsid w:val="00C8251D"/>
    <w:rsid w:val="00C8272E"/>
    <w:rsid w:val="00C82A05"/>
    <w:rsid w:val="00C843F7"/>
    <w:rsid w:val="00C84A5C"/>
    <w:rsid w:val="00C84C08"/>
    <w:rsid w:val="00C8610C"/>
    <w:rsid w:val="00C861E6"/>
    <w:rsid w:val="00C86270"/>
    <w:rsid w:val="00C86424"/>
    <w:rsid w:val="00C86CA7"/>
    <w:rsid w:val="00C86E22"/>
    <w:rsid w:val="00C878DF"/>
    <w:rsid w:val="00C87C02"/>
    <w:rsid w:val="00C9002E"/>
    <w:rsid w:val="00C909A2"/>
    <w:rsid w:val="00C9131C"/>
    <w:rsid w:val="00C91F15"/>
    <w:rsid w:val="00C9209C"/>
    <w:rsid w:val="00C92455"/>
    <w:rsid w:val="00C92828"/>
    <w:rsid w:val="00C92FCC"/>
    <w:rsid w:val="00C9323B"/>
    <w:rsid w:val="00C94083"/>
    <w:rsid w:val="00C940C5"/>
    <w:rsid w:val="00C940E5"/>
    <w:rsid w:val="00C942B5"/>
    <w:rsid w:val="00C94BEC"/>
    <w:rsid w:val="00C9504D"/>
    <w:rsid w:val="00C95322"/>
    <w:rsid w:val="00C9577B"/>
    <w:rsid w:val="00C95ABB"/>
    <w:rsid w:val="00C95EC4"/>
    <w:rsid w:val="00C95F5B"/>
    <w:rsid w:val="00C9641B"/>
    <w:rsid w:val="00CA04D4"/>
    <w:rsid w:val="00CA07E0"/>
    <w:rsid w:val="00CA0AAF"/>
    <w:rsid w:val="00CA0ADC"/>
    <w:rsid w:val="00CA0B34"/>
    <w:rsid w:val="00CA0F06"/>
    <w:rsid w:val="00CA2B8D"/>
    <w:rsid w:val="00CA3775"/>
    <w:rsid w:val="00CA3C8E"/>
    <w:rsid w:val="00CA3F83"/>
    <w:rsid w:val="00CA489F"/>
    <w:rsid w:val="00CA5DD9"/>
    <w:rsid w:val="00CA60E8"/>
    <w:rsid w:val="00CA64A1"/>
    <w:rsid w:val="00CA685A"/>
    <w:rsid w:val="00CA7041"/>
    <w:rsid w:val="00CA741D"/>
    <w:rsid w:val="00CA7AF4"/>
    <w:rsid w:val="00CA7DCD"/>
    <w:rsid w:val="00CB01B2"/>
    <w:rsid w:val="00CB024F"/>
    <w:rsid w:val="00CB0A82"/>
    <w:rsid w:val="00CB0ABA"/>
    <w:rsid w:val="00CB0ADA"/>
    <w:rsid w:val="00CB11F0"/>
    <w:rsid w:val="00CB2350"/>
    <w:rsid w:val="00CB2B29"/>
    <w:rsid w:val="00CB2D9D"/>
    <w:rsid w:val="00CB2F87"/>
    <w:rsid w:val="00CB3114"/>
    <w:rsid w:val="00CB336D"/>
    <w:rsid w:val="00CB35AF"/>
    <w:rsid w:val="00CB3A6C"/>
    <w:rsid w:val="00CB462D"/>
    <w:rsid w:val="00CB469F"/>
    <w:rsid w:val="00CB581F"/>
    <w:rsid w:val="00CB6828"/>
    <w:rsid w:val="00CB72D3"/>
    <w:rsid w:val="00CB765A"/>
    <w:rsid w:val="00CC00BA"/>
    <w:rsid w:val="00CC09C6"/>
    <w:rsid w:val="00CC1074"/>
    <w:rsid w:val="00CC19CF"/>
    <w:rsid w:val="00CC1B81"/>
    <w:rsid w:val="00CC1D27"/>
    <w:rsid w:val="00CC1D91"/>
    <w:rsid w:val="00CC1E44"/>
    <w:rsid w:val="00CC1E58"/>
    <w:rsid w:val="00CC2272"/>
    <w:rsid w:val="00CC2296"/>
    <w:rsid w:val="00CC237C"/>
    <w:rsid w:val="00CC27D5"/>
    <w:rsid w:val="00CC2817"/>
    <w:rsid w:val="00CC2AC9"/>
    <w:rsid w:val="00CC2F7C"/>
    <w:rsid w:val="00CC30DF"/>
    <w:rsid w:val="00CC30EF"/>
    <w:rsid w:val="00CC32C4"/>
    <w:rsid w:val="00CC3A96"/>
    <w:rsid w:val="00CC3CA1"/>
    <w:rsid w:val="00CC3CDB"/>
    <w:rsid w:val="00CC49CF"/>
    <w:rsid w:val="00CC4FA2"/>
    <w:rsid w:val="00CC511A"/>
    <w:rsid w:val="00CC515E"/>
    <w:rsid w:val="00CC560B"/>
    <w:rsid w:val="00CC6868"/>
    <w:rsid w:val="00CC6C63"/>
    <w:rsid w:val="00CC74C7"/>
    <w:rsid w:val="00CC778A"/>
    <w:rsid w:val="00CC7D61"/>
    <w:rsid w:val="00CD05B1"/>
    <w:rsid w:val="00CD1237"/>
    <w:rsid w:val="00CD15FB"/>
    <w:rsid w:val="00CD3CEA"/>
    <w:rsid w:val="00CD3DB0"/>
    <w:rsid w:val="00CD3E56"/>
    <w:rsid w:val="00CD4DAA"/>
    <w:rsid w:val="00CD51D0"/>
    <w:rsid w:val="00CD5373"/>
    <w:rsid w:val="00CD6668"/>
    <w:rsid w:val="00CD6733"/>
    <w:rsid w:val="00CD7831"/>
    <w:rsid w:val="00CD78C2"/>
    <w:rsid w:val="00CD7E6A"/>
    <w:rsid w:val="00CE0B5E"/>
    <w:rsid w:val="00CE0C70"/>
    <w:rsid w:val="00CE0E71"/>
    <w:rsid w:val="00CE18C9"/>
    <w:rsid w:val="00CE1C36"/>
    <w:rsid w:val="00CE205A"/>
    <w:rsid w:val="00CE25FE"/>
    <w:rsid w:val="00CE2C5F"/>
    <w:rsid w:val="00CE2C92"/>
    <w:rsid w:val="00CE427F"/>
    <w:rsid w:val="00CE4607"/>
    <w:rsid w:val="00CE46AD"/>
    <w:rsid w:val="00CE496A"/>
    <w:rsid w:val="00CE5116"/>
    <w:rsid w:val="00CE5303"/>
    <w:rsid w:val="00CE5335"/>
    <w:rsid w:val="00CE57E2"/>
    <w:rsid w:val="00CE57FD"/>
    <w:rsid w:val="00CE5ADA"/>
    <w:rsid w:val="00CE5C68"/>
    <w:rsid w:val="00CE62F0"/>
    <w:rsid w:val="00CE6A63"/>
    <w:rsid w:val="00CE6F70"/>
    <w:rsid w:val="00CE6FC3"/>
    <w:rsid w:val="00CF04EA"/>
    <w:rsid w:val="00CF054B"/>
    <w:rsid w:val="00CF0A9F"/>
    <w:rsid w:val="00CF0DCF"/>
    <w:rsid w:val="00CF1919"/>
    <w:rsid w:val="00CF1D1F"/>
    <w:rsid w:val="00CF1FDD"/>
    <w:rsid w:val="00CF21D9"/>
    <w:rsid w:val="00CF2AA2"/>
    <w:rsid w:val="00CF2AAD"/>
    <w:rsid w:val="00CF2B1E"/>
    <w:rsid w:val="00CF2D40"/>
    <w:rsid w:val="00CF30D0"/>
    <w:rsid w:val="00CF4133"/>
    <w:rsid w:val="00CF4165"/>
    <w:rsid w:val="00CF41B8"/>
    <w:rsid w:val="00CF4A5C"/>
    <w:rsid w:val="00CF4B17"/>
    <w:rsid w:val="00CF55E3"/>
    <w:rsid w:val="00CF65D9"/>
    <w:rsid w:val="00CF6A86"/>
    <w:rsid w:val="00CF6E86"/>
    <w:rsid w:val="00CF7E4E"/>
    <w:rsid w:val="00D00035"/>
    <w:rsid w:val="00D0075A"/>
    <w:rsid w:val="00D0106A"/>
    <w:rsid w:val="00D0132C"/>
    <w:rsid w:val="00D01B05"/>
    <w:rsid w:val="00D01B09"/>
    <w:rsid w:val="00D01F47"/>
    <w:rsid w:val="00D02870"/>
    <w:rsid w:val="00D02B55"/>
    <w:rsid w:val="00D02C98"/>
    <w:rsid w:val="00D02FE0"/>
    <w:rsid w:val="00D03315"/>
    <w:rsid w:val="00D03D6C"/>
    <w:rsid w:val="00D0401E"/>
    <w:rsid w:val="00D040DF"/>
    <w:rsid w:val="00D04274"/>
    <w:rsid w:val="00D04790"/>
    <w:rsid w:val="00D05166"/>
    <w:rsid w:val="00D057E8"/>
    <w:rsid w:val="00D05896"/>
    <w:rsid w:val="00D05FA2"/>
    <w:rsid w:val="00D0602D"/>
    <w:rsid w:val="00D0644C"/>
    <w:rsid w:val="00D06E37"/>
    <w:rsid w:val="00D07269"/>
    <w:rsid w:val="00D0740E"/>
    <w:rsid w:val="00D078A0"/>
    <w:rsid w:val="00D1007B"/>
    <w:rsid w:val="00D1016E"/>
    <w:rsid w:val="00D10A68"/>
    <w:rsid w:val="00D10E3E"/>
    <w:rsid w:val="00D1156D"/>
    <w:rsid w:val="00D124DB"/>
    <w:rsid w:val="00D12E1A"/>
    <w:rsid w:val="00D1399C"/>
    <w:rsid w:val="00D148B2"/>
    <w:rsid w:val="00D148F6"/>
    <w:rsid w:val="00D14B09"/>
    <w:rsid w:val="00D14C14"/>
    <w:rsid w:val="00D15B3B"/>
    <w:rsid w:val="00D15C25"/>
    <w:rsid w:val="00D16100"/>
    <w:rsid w:val="00D1618B"/>
    <w:rsid w:val="00D1696A"/>
    <w:rsid w:val="00D16B7A"/>
    <w:rsid w:val="00D17477"/>
    <w:rsid w:val="00D177CD"/>
    <w:rsid w:val="00D17B2B"/>
    <w:rsid w:val="00D17D4F"/>
    <w:rsid w:val="00D200AE"/>
    <w:rsid w:val="00D216FB"/>
    <w:rsid w:val="00D21A52"/>
    <w:rsid w:val="00D2274D"/>
    <w:rsid w:val="00D22AB8"/>
    <w:rsid w:val="00D230A3"/>
    <w:rsid w:val="00D23455"/>
    <w:rsid w:val="00D2355C"/>
    <w:rsid w:val="00D23CD0"/>
    <w:rsid w:val="00D24E28"/>
    <w:rsid w:val="00D259D5"/>
    <w:rsid w:val="00D261D4"/>
    <w:rsid w:val="00D26789"/>
    <w:rsid w:val="00D26957"/>
    <w:rsid w:val="00D26E28"/>
    <w:rsid w:val="00D26E94"/>
    <w:rsid w:val="00D2723A"/>
    <w:rsid w:val="00D301BC"/>
    <w:rsid w:val="00D303AA"/>
    <w:rsid w:val="00D30A42"/>
    <w:rsid w:val="00D31093"/>
    <w:rsid w:val="00D31201"/>
    <w:rsid w:val="00D31963"/>
    <w:rsid w:val="00D31D76"/>
    <w:rsid w:val="00D31EA6"/>
    <w:rsid w:val="00D3267C"/>
    <w:rsid w:val="00D33010"/>
    <w:rsid w:val="00D33446"/>
    <w:rsid w:val="00D33C12"/>
    <w:rsid w:val="00D341E5"/>
    <w:rsid w:val="00D34B6D"/>
    <w:rsid w:val="00D352B9"/>
    <w:rsid w:val="00D35315"/>
    <w:rsid w:val="00D35A43"/>
    <w:rsid w:val="00D35CB8"/>
    <w:rsid w:val="00D36200"/>
    <w:rsid w:val="00D3757F"/>
    <w:rsid w:val="00D378F4"/>
    <w:rsid w:val="00D37951"/>
    <w:rsid w:val="00D37F4F"/>
    <w:rsid w:val="00D40C38"/>
    <w:rsid w:val="00D40CB3"/>
    <w:rsid w:val="00D41AF6"/>
    <w:rsid w:val="00D41EA6"/>
    <w:rsid w:val="00D42046"/>
    <w:rsid w:val="00D42079"/>
    <w:rsid w:val="00D4284F"/>
    <w:rsid w:val="00D4309F"/>
    <w:rsid w:val="00D43383"/>
    <w:rsid w:val="00D43482"/>
    <w:rsid w:val="00D43B7D"/>
    <w:rsid w:val="00D43B85"/>
    <w:rsid w:val="00D44022"/>
    <w:rsid w:val="00D4494B"/>
    <w:rsid w:val="00D44A49"/>
    <w:rsid w:val="00D44AE0"/>
    <w:rsid w:val="00D46162"/>
    <w:rsid w:val="00D4636C"/>
    <w:rsid w:val="00D46860"/>
    <w:rsid w:val="00D46D7C"/>
    <w:rsid w:val="00D478CB"/>
    <w:rsid w:val="00D47F4D"/>
    <w:rsid w:val="00D500FE"/>
    <w:rsid w:val="00D50535"/>
    <w:rsid w:val="00D50A6A"/>
    <w:rsid w:val="00D50FFA"/>
    <w:rsid w:val="00D51C35"/>
    <w:rsid w:val="00D52CDA"/>
    <w:rsid w:val="00D53332"/>
    <w:rsid w:val="00D5399A"/>
    <w:rsid w:val="00D53CBA"/>
    <w:rsid w:val="00D53D19"/>
    <w:rsid w:val="00D53E67"/>
    <w:rsid w:val="00D54026"/>
    <w:rsid w:val="00D54028"/>
    <w:rsid w:val="00D54106"/>
    <w:rsid w:val="00D544EC"/>
    <w:rsid w:val="00D55533"/>
    <w:rsid w:val="00D5556B"/>
    <w:rsid w:val="00D55AC9"/>
    <w:rsid w:val="00D55EA0"/>
    <w:rsid w:val="00D55EC0"/>
    <w:rsid w:val="00D56370"/>
    <w:rsid w:val="00D564C8"/>
    <w:rsid w:val="00D57443"/>
    <w:rsid w:val="00D57B92"/>
    <w:rsid w:val="00D57BC5"/>
    <w:rsid w:val="00D57E30"/>
    <w:rsid w:val="00D57FE6"/>
    <w:rsid w:val="00D60A24"/>
    <w:rsid w:val="00D60AEA"/>
    <w:rsid w:val="00D610E0"/>
    <w:rsid w:val="00D61619"/>
    <w:rsid w:val="00D618C2"/>
    <w:rsid w:val="00D619F9"/>
    <w:rsid w:val="00D61DD7"/>
    <w:rsid w:val="00D620CB"/>
    <w:rsid w:val="00D62AE1"/>
    <w:rsid w:val="00D62E82"/>
    <w:rsid w:val="00D6513D"/>
    <w:rsid w:val="00D65435"/>
    <w:rsid w:val="00D66688"/>
    <w:rsid w:val="00D667FD"/>
    <w:rsid w:val="00D6694D"/>
    <w:rsid w:val="00D66AAC"/>
    <w:rsid w:val="00D66BD3"/>
    <w:rsid w:val="00D66EA6"/>
    <w:rsid w:val="00D67866"/>
    <w:rsid w:val="00D67E49"/>
    <w:rsid w:val="00D70654"/>
    <w:rsid w:val="00D70EF6"/>
    <w:rsid w:val="00D71519"/>
    <w:rsid w:val="00D7185A"/>
    <w:rsid w:val="00D720A6"/>
    <w:rsid w:val="00D72209"/>
    <w:rsid w:val="00D7235B"/>
    <w:rsid w:val="00D723AE"/>
    <w:rsid w:val="00D72608"/>
    <w:rsid w:val="00D72764"/>
    <w:rsid w:val="00D72CB9"/>
    <w:rsid w:val="00D7342D"/>
    <w:rsid w:val="00D734D1"/>
    <w:rsid w:val="00D756CA"/>
    <w:rsid w:val="00D758E1"/>
    <w:rsid w:val="00D75BAD"/>
    <w:rsid w:val="00D767A2"/>
    <w:rsid w:val="00D76F3B"/>
    <w:rsid w:val="00D773D1"/>
    <w:rsid w:val="00D77BBC"/>
    <w:rsid w:val="00D77D34"/>
    <w:rsid w:val="00D80B86"/>
    <w:rsid w:val="00D814FF"/>
    <w:rsid w:val="00D81544"/>
    <w:rsid w:val="00D81F60"/>
    <w:rsid w:val="00D824F2"/>
    <w:rsid w:val="00D82534"/>
    <w:rsid w:val="00D83C3D"/>
    <w:rsid w:val="00D83D2D"/>
    <w:rsid w:val="00D84ACC"/>
    <w:rsid w:val="00D850F9"/>
    <w:rsid w:val="00D8532F"/>
    <w:rsid w:val="00D85562"/>
    <w:rsid w:val="00D86D92"/>
    <w:rsid w:val="00D87FF3"/>
    <w:rsid w:val="00D907AE"/>
    <w:rsid w:val="00D90DA3"/>
    <w:rsid w:val="00D90F1F"/>
    <w:rsid w:val="00D9129F"/>
    <w:rsid w:val="00D9151A"/>
    <w:rsid w:val="00D91738"/>
    <w:rsid w:val="00D918EC"/>
    <w:rsid w:val="00D91C30"/>
    <w:rsid w:val="00D91DAD"/>
    <w:rsid w:val="00D91F15"/>
    <w:rsid w:val="00D92175"/>
    <w:rsid w:val="00D927FC"/>
    <w:rsid w:val="00D92EE8"/>
    <w:rsid w:val="00D92FBE"/>
    <w:rsid w:val="00D93534"/>
    <w:rsid w:val="00D93A51"/>
    <w:rsid w:val="00D93BF0"/>
    <w:rsid w:val="00D93F90"/>
    <w:rsid w:val="00D94194"/>
    <w:rsid w:val="00D941A3"/>
    <w:rsid w:val="00D94923"/>
    <w:rsid w:val="00D9492B"/>
    <w:rsid w:val="00D95232"/>
    <w:rsid w:val="00D955E4"/>
    <w:rsid w:val="00D95B04"/>
    <w:rsid w:val="00D96043"/>
    <w:rsid w:val="00D966B2"/>
    <w:rsid w:val="00D967B6"/>
    <w:rsid w:val="00D96BD3"/>
    <w:rsid w:val="00D96E36"/>
    <w:rsid w:val="00DA06E3"/>
    <w:rsid w:val="00DA2BF8"/>
    <w:rsid w:val="00DA3409"/>
    <w:rsid w:val="00DA3EB7"/>
    <w:rsid w:val="00DA443E"/>
    <w:rsid w:val="00DA4717"/>
    <w:rsid w:val="00DA4EFB"/>
    <w:rsid w:val="00DA4FF9"/>
    <w:rsid w:val="00DA5221"/>
    <w:rsid w:val="00DA5572"/>
    <w:rsid w:val="00DA5C6F"/>
    <w:rsid w:val="00DA5DBF"/>
    <w:rsid w:val="00DA5E51"/>
    <w:rsid w:val="00DA5EED"/>
    <w:rsid w:val="00DA6064"/>
    <w:rsid w:val="00DA653D"/>
    <w:rsid w:val="00DA73A9"/>
    <w:rsid w:val="00DB18DA"/>
    <w:rsid w:val="00DB1A80"/>
    <w:rsid w:val="00DB1BDB"/>
    <w:rsid w:val="00DB1D3B"/>
    <w:rsid w:val="00DB27D9"/>
    <w:rsid w:val="00DB34E0"/>
    <w:rsid w:val="00DB378B"/>
    <w:rsid w:val="00DB37B4"/>
    <w:rsid w:val="00DB3EA0"/>
    <w:rsid w:val="00DB3EE1"/>
    <w:rsid w:val="00DB4E8B"/>
    <w:rsid w:val="00DB53C9"/>
    <w:rsid w:val="00DB5A26"/>
    <w:rsid w:val="00DB6C15"/>
    <w:rsid w:val="00DB7205"/>
    <w:rsid w:val="00DB74E6"/>
    <w:rsid w:val="00DB760D"/>
    <w:rsid w:val="00DC04D9"/>
    <w:rsid w:val="00DC05D4"/>
    <w:rsid w:val="00DC105C"/>
    <w:rsid w:val="00DC14EB"/>
    <w:rsid w:val="00DC18DD"/>
    <w:rsid w:val="00DC1CF6"/>
    <w:rsid w:val="00DC2A12"/>
    <w:rsid w:val="00DC2CDD"/>
    <w:rsid w:val="00DC3FAB"/>
    <w:rsid w:val="00DC42B2"/>
    <w:rsid w:val="00DC4CFF"/>
    <w:rsid w:val="00DC4FFB"/>
    <w:rsid w:val="00DC51A6"/>
    <w:rsid w:val="00DC5573"/>
    <w:rsid w:val="00DC5DBD"/>
    <w:rsid w:val="00DC5F33"/>
    <w:rsid w:val="00DC638E"/>
    <w:rsid w:val="00DC643B"/>
    <w:rsid w:val="00DC6A72"/>
    <w:rsid w:val="00DC6D8F"/>
    <w:rsid w:val="00DC6DA1"/>
    <w:rsid w:val="00DC6F9E"/>
    <w:rsid w:val="00DC7204"/>
    <w:rsid w:val="00DD0A9B"/>
    <w:rsid w:val="00DD1553"/>
    <w:rsid w:val="00DD16E1"/>
    <w:rsid w:val="00DD1DE6"/>
    <w:rsid w:val="00DD257E"/>
    <w:rsid w:val="00DD473C"/>
    <w:rsid w:val="00DD4CC2"/>
    <w:rsid w:val="00DD5414"/>
    <w:rsid w:val="00DD5647"/>
    <w:rsid w:val="00DD5907"/>
    <w:rsid w:val="00DD5BB6"/>
    <w:rsid w:val="00DD5C67"/>
    <w:rsid w:val="00DD6819"/>
    <w:rsid w:val="00DD68A9"/>
    <w:rsid w:val="00DD6CBE"/>
    <w:rsid w:val="00DD732B"/>
    <w:rsid w:val="00DD74C9"/>
    <w:rsid w:val="00DE06F6"/>
    <w:rsid w:val="00DE1182"/>
    <w:rsid w:val="00DE1AC6"/>
    <w:rsid w:val="00DE243B"/>
    <w:rsid w:val="00DE2442"/>
    <w:rsid w:val="00DE27BA"/>
    <w:rsid w:val="00DE2B74"/>
    <w:rsid w:val="00DE2FED"/>
    <w:rsid w:val="00DE3599"/>
    <w:rsid w:val="00DE416F"/>
    <w:rsid w:val="00DE4625"/>
    <w:rsid w:val="00DE49AE"/>
    <w:rsid w:val="00DE52CD"/>
    <w:rsid w:val="00DE55FE"/>
    <w:rsid w:val="00DE5C9A"/>
    <w:rsid w:val="00DE5DBE"/>
    <w:rsid w:val="00DE686D"/>
    <w:rsid w:val="00DE720F"/>
    <w:rsid w:val="00DE73A0"/>
    <w:rsid w:val="00DE74F3"/>
    <w:rsid w:val="00DE7ABD"/>
    <w:rsid w:val="00DE7DC1"/>
    <w:rsid w:val="00DF0589"/>
    <w:rsid w:val="00DF0E41"/>
    <w:rsid w:val="00DF11AD"/>
    <w:rsid w:val="00DF274E"/>
    <w:rsid w:val="00DF31F2"/>
    <w:rsid w:val="00DF3C6E"/>
    <w:rsid w:val="00DF4056"/>
    <w:rsid w:val="00DF4C69"/>
    <w:rsid w:val="00DF53AA"/>
    <w:rsid w:val="00DF561C"/>
    <w:rsid w:val="00DF5A86"/>
    <w:rsid w:val="00DF5E39"/>
    <w:rsid w:val="00DF6076"/>
    <w:rsid w:val="00DF643F"/>
    <w:rsid w:val="00DF65B2"/>
    <w:rsid w:val="00DF6A8F"/>
    <w:rsid w:val="00E002A9"/>
    <w:rsid w:val="00E00484"/>
    <w:rsid w:val="00E00F06"/>
    <w:rsid w:val="00E01243"/>
    <w:rsid w:val="00E012C1"/>
    <w:rsid w:val="00E01530"/>
    <w:rsid w:val="00E01793"/>
    <w:rsid w:val="00E01B72"/>
    <w:rsid w:val="00E01C7D"/>
    <w:rsid w:val="00E04FD7"/>
    <w:rsid w:val="00E05D34"/>
    <w:rsid w:val="00E070BE"/>
    <w:rsid w:val="00E0754E"/>
    <w:rsid w:val="00E104FA"/>
    <w:rsid w:val="00E10E3D"/>
    <w:rsid w:val="00E112F0"/>
    <w:rsid w:val="00E113D8"/>
    <w:rsid w:val="00E1159B"/>
    <w:rsid w:val="00E116EF"/>
    <w:rsid w:val="00E1176B"/>
    <w:rsid w:val="00E11A14"/>
    <w:rsid w:val="00E11D03"/>
    <w:rsid w:val="00E11E4B"/>
    <w:rsid w:val="00E12142"/>
    <w:rsid w:val="00E1225B"/>
    <w:rsid w:val="00E1257B"/>
    <w:rsid w:val="00E12DEC"/>
    <w:rsid w:val="00E14106"/>
    <w:rsid w:val="00E1449D"/>
    <w:rsid w:val="00E149DC"/>
    <w:rsid w:val="00E150DC"/>
    <w:rsid w:val="00E154EE"/>
    <w:rsid w:val="00E16078"/>
    <w:rsid w:val="00E17A14"/>
    <w:rsid w:val="00E17B45"/>
    <w:rsid w:val="00E17F2E"/>
    <w:rsid w:val="00E2085E"/>
    <w:rsid w:val="00E208E2"/>
    <w:rsid w:val="00E20EFE"/>
    <w:rsid w:val="00E20FE7"/>
    <w:rsid w:val="00E21E75"/>
    <w:rsid w:val="00E21F05"/>
    <w:rsid w:val="00E223C0"/>
    <w:rsid w:val="00E225AF"/>
    <w:rsid w:val="00E22B30"/>
    <w:rsid w:val="00E23A91"/>
    <w:rsid w:val="00E23BED"/>
    <w:rsid w:val="00E23CA0"/>
    <w:rsid w:val="00E23CFA"/>
    <w:rsid w:val="00E24EA5"/>
    <w:rsid w:val="00E25128"/>
    <w:rsid w:val="00E252ED"/>
    <w:rsid w:val="00E25EC7"/>
    <w:rsid w:val="00E2645A"/>
    <w:rsid w:val="00E279B3"/>
    <w:rsid w:val="00E27A5B"/>
    <w:rsid w:val="00E30191"/>
    <w:rsid w:val="00E3045B"/>
    <w:rsid w:val="00E30FF1"/>
    <w:rsid w:val="00E31781"/>
    <w:rsid w:val="00E31ACE"/>
    <w:rsid w:val="00E3248A"/>
    <w:rsid w:val="00E32610"/>
    <w:rsid w:val="00E33265"/>
    <w:rsid w:val="00E3328E"/>
    <w:rsid w:val="00E33602"/>
    <w:rsid w:val="00E33FBD"/>
    <w:rsid w:val="00E343D3"/>
    <w:rsid w:val="00E34749"/>
    <w:rsid w:val="00E34D5D"/>
    <w:rsid w:val="00E35EA8"/>
    <w:rsid w:val="00E35FF6"/>
    <w:rsid w:val="00E36347"/>
    <w:rsid w:val="00E3727C"/>
    <w:rsid w:val="00E372E2"/>
    <w:rsid w:val="00E3772A"/>
    <w:rsid w:val="00E40237"/>
    <w:rsid w:val="00E402FD"/>
    <w:rsid w:val="00E4078E"/>
    <w:rsid w:val="00E41018"/>
    <w:rsid w:val="00E4253B"/>
    <w:rsid w:val="00E4261F"/>
    <w:rsid w:val="00E46003"/>
    <w:rsid w:val="00E46DB9"/>
    <w:rsid w:val="00E470CE"/>
    <w:rsid w:val="00E475A9"/>
    <w:rsid w:val="00E504A3"/>
    <w:rsid w:val="00E50B3F"/>
    <w:rsid w:val="00E50FB8"/>
    <w:rsid w:val="00E51720"/>
    <w:rsid w:val="00E51D7A"/>
    <w:rsid w:val="00E523AA"/>
    <w:rsid w:val="00E5261C"/>
    <w:rsid w:val="00E52627"/>
    <w:rsid w:val="00E5278B"/>
    <w:rsid w:val="00E52A01"/>
    <w:rsid w:val="00E5477F"/>
    <w:rsid w:val="00E54A5E"/>
    <w:rsid w:val="00E54E79"/>
    <w:rsid w:val="00E55998"/>
    <w:rsid w:val="00E55F5B"/>
    <w:rsid w:val="00E569E2"/>
    <w:rsid w:val="00E56C8E"/>
    <w:rsid w:val="00E57ECB"/>
    <w:rsid w:val="00E604A2"/>
    <w:rsid w:val="00E61394"/>
    <w:rsid w:val="00E61724"/>
    <w:rsid w:val="00E61987"/>
    <w:rsid w:val="00E62E47"/>
    <w:rsid w:val="00E6390A"/>
    <w:rsid w:val="00E6393F"/>
    <w:rsid w:val="00E63940"/>
    <w:rsid w:val="00E63A91"/>
    <w:rsid w:val="00E63B61"/>
    <w:rsid w:val="00E64522"/>
    <w:rsid w:val="00E64570"/>
    <w:rsid w:val="00E64A92"/>
    <w:rsid w:val="00E64F28"/>
    <w:rsid w:val="00E65F51"/>
    <w:rsid w:val="00E66778"/>
    <w:rsid w:val="00E66B6D"/>
    <w:rsid w:val="00E66C7C"/>
    <w:rsid w:val="00E670D2"/>
    <w:rsid w:val="00E67BBC"/>
    <w:rsid w:val="00E67C0D"/>
    <w:rsid w:val="00E7004B"/>
    <w:rsid w:val="00E71C38"/>
    <w:rsid w:val="00E71D2E"/>
    <w:rsid w:val="00E720C1"/>
    <w:rsid w:val="00E7215B"/>
    <w:rsid w:val="00E721A8"/>
    <w:rsid w:val="00E726FA"/>
    <w:rsid w:val="00E72EF0"/>
    <w:rsid w:val="00E731DF"/>
    <w:rsid w:val="00E7529D"/>
    <w:rsid w:val="00E753DA"/>
    <w:rsid w:val="00E754BB"/>
    <w:rsid w:val="00E7686D"/>
    <w:rsid w:val="00E76964"/>
    <w:rsid w:val="00E76A80"/>
    <w:rsid w:val="00E76A99"/>
    <w:rsid w:val="00E76E7A"/>
    <w:rsid w:val="00E77501"/>
    <w:rsid w:val="00E800B9"/>
    <w:rsid w:val="00E807A6"/>
    <w:rsid w:val="00E815AB"/>
    <w:rsid w:val="00E81C61"/>
    <w:rsid w:val="00E8218F"/>
    <w:rsid w:val="00E8239E"/>
    <w:rsid w:val="00E8325A"/>
    <w:rsid w:val="00E83DCB"/>
    <w:rsid w:val="00E84462"/>
    <w:rsid w:val="00E84A1C"/>
    <w:rsid w:val="00E84A32"/>
    <w:rsid w:val="00E84D1A"/>
    <w:rsid w:val="00E855E2"/>
    <w:rsid w:val="00E85724"/>
    <w:rsid w:val="00E8590D"/>
    <w:rsid w:val="00E85C8C"/>
    <w:rsid w:val="00E863A2"/>
    <w:rsid w:val="00E87E70"/>
    <w:rsid w:val="00E9033D"/>
    <w:rsid w:val="00E90F10"/>
    <w:rsid w:val="00E911B8"/>
    <w:rsid w:val="00E91931"/>
    <w:rsid w:val="00E91D69"/>
    <w:rsid w:val="00E91D86"/>
    <w:rsid w:val="00E92F99"/>
    <w:rsid w:val="00E9320B"/>
    <w:rsid w:val="00E93633"/>
    <w:rsid w:val="00E937D3"/>
    <w:rsid w:val="00E939E1"/>
    <w:rsid w:val="00E93F5D"/>
    <w:rsid w:val="00E9466A"/>
    <w:rsid w:val="00E94F12"/>
    <w:rsid w:val="00E94F14"/>
    <w:rsid w:val="00E9555E"/>
    <w:rsid w:val="00E95BA4"/>
    <w:rsid w:val="00E96368"/>
    <w:rsid w:val="00E96F7E"/>
    <w:rsid w:val="00E974D1"/>
    <w:rsid w:val="00EA02DC"/>
    <w:rsid w:val="00EA074D"/>
    <w:rsid w:val="00EA12AE"/>
    <w:rsid w:val="00EA14D3"/>
    <w:rsid w:val="00EA243B"/>
    <w:rsid w:val="00EA3A6B"/>
    <w:rsid w:val="00EA3A83"/>
    <w:rsid w:val="00EA3B47"/>
    <w:rsid w:val="00EA3EFA"/>
    <w:rsid w:val="00EA42CF"/>
    <w:rsid w:val="00EA45F5"/>
    <w:rsid w:val="00EA50E9"/>
    <w:rsid w:val="00EA6D09"/>
    <w:rsid w:val="00EA6EC7"/>
    <w:rsid w:val="00EA70CA"/>
    <w:rsid w:val="00EA74F6"/>
    <w:rsid w:val="00EA7E4A"/>
    <w:rsid w:val="00EA7E85"/>
    <w:rsid w:val="00EB0699"/>
    <w:rsid w:val="00EB06D7"/>
    <w:rsid w:val="00EB1E25"/>
    <w:rsid w:val="00EB28CE"/>
    <w:rsid w:val="00EB28EC"/>
    <w:rsid w:val="00EB2A32"/>
    <w:rsid w:val="00EB3412"/>
    <w:rsid w:val="00EB34C1"/>
    <w:rsid w:val="00EB3590"/>
    <w:rsid w:val="00EB3735"/>
    <w:rsid w:val="00EB3D9F"/>
    <w:rsid w:val="00EB3F0D"/>
    <w:rsid w:val="00EB40A6"/>
    <w:rsid w:val="00EB4E4E"/>
    <w:rsid w:val="00EB5607"/>
    <w:rsid w:val="00EB5D5D"/>
    <w:rsid w:val="00EB784B"/>
    <w:rsid w:val="00EC08E8"/>
    <w:rsid w:val="00EC219D"/>
    <w:rsid w:val="00EC2B64"/>
    <w:rsid w:val="00EC37F9"/>
    <w:rsid w:val="00EC386A"/>
    <w:rsid w:val="00EC3FCF"/>
    <w:rsid w:val="00EC4016"/>
    <w:rsid w:val="00EC4254"/>
    <w:rsid w:val="00EC4305"/>
    <w:rsid w:val="00EC5BC1"/>
    <w:rsid w:val="00EC736A"/>
    <w:rsid w:val="00EC74C3"/>
    <w:rsid w:val="00EC7510"/>
    <w:rsid w:val="00EC7855"/>
    <w:rsid w:val="00EC7A43"/>
    <w:rsid w:val="00EC7ADA"/>
    <w:rsid w:val="00EC7C1C"/>
    <w:rsid w:val="00ED02B6"/>
    <w:rsid w:val="00ED09D1"/>
    <w:rsid w:val="00ED1673"/>
    <w:rsid w:val="00ED1A47"/>
    <w:rsid w:val="00ED342C"/>
    <w:rsid w:val="00ED365B"/>
    <w:rsid w:val="00ED3D4A"/>
    <w:rsid w:val="00ED3E43"/>
    <w:rsid w:val="00ED4490"/>
    <w:rsid w:val="00ED49C9"/>
    <w:rsid w:val="00ED57F0"/>
    <w:rsid w:val="00ED58F2"/>
    <w:rsid w:val="00ED5D28"/>
    <w:rsid w:val="00ED5DB8"/>
    <w:rsid w:val="00ED6CE5"/>
    <w:rsid w:val="00ED70F8"/>
    <w:rsid w:val="00ED7399"/>
    <w:rsid w:val="00ED77E4"/>
    <w:rsid w:val="00ED7BAF"/>
    <w:rsid w:val="00EE08D1"/>
    <w:rsid w:val="00EE0B30"/>
    <w:rsid w:val="00EE1274"/>
    <w:rsid w:val="00EE15A7"/>
    <w:rsid w:val="00EE1978"/>
    <w:rsid w:val="00EE1ACF"/>
    <w:rsid w:val="00EE262C"/>
    <w:rsid w:val="00EE27B4"/>
    <w:rsid w:val="00EE2903"/>
    <w:rsid w:val="00EE2BAD"/>
    <w:rsid w:val="00EE2F19"/>
    <w:rsid w:val="00EE3073"/>
    <w:rsid w:val="00EE3213"/>
    <w:rsid w:val="00EE3D73"/>
    <w:rsid w:val="00EE470C"/>
    <w:rsid w:val="00EE5335"/>
    <w:rsid w:val="00EE53CC"/>
    <w:rsid w:val="00EE54E9"/>
    <w:rsid w:val="00EE5525"/>
    <w:rsid w:val="00EE55EB"/>
    <w:rsid w:val="00EE5BA6"/>
    <w:rsid w:val="00EE6423"/>
    <w:rsid w:val="00EE726E"/>
    <w:rsid w:val="00EE756B"/>
    <w:rsid w:val="00EE7D12"/>
    <w:rsid w:val="00EF022C"/>
    <w:rsid w:val="00EF0378"/>
    <w:rsid w:val="00EF11A6"/>
    <w:rsid w:val="00EF132F"/>
    <w:rsid w:val="00EF18DF"/>
    <w:rsid w:val="00EF1BDB"/>
    <w:rsid w:val="00EF1F3C"/>
    <w:rsid w:val="00EF1F41"/>
    <w:rsid w:val="00EF2EFF"/>
    <w:rsid w:val="00EF3002"/>
    <w:rsid w:val="00EF357A"/>
    <w:rsid w:val="00EF3D73"/>
    <w:rsid w:val="00EF46CC"/>
    <w:rsid w:val="00EF50E0"/>
    <w:rsid w:val="00EF53D1"/>
    <w:rsid w:val="00EF56A2"/>
    <w:rsid w:val="00EF56D0"/>
    <w:rsid w:val="00EF5AEC"/>
    <w:rsid w:val="00EF5C9C"/>
    <w:rsid w:val="00EF5EC7"/>
    <w:rsid w:val="00EF68B3"/>
    <w:rsid w:val="00EF6A13"/>
    <w:rsid w:val="00EF6E30"/>
    <w:rsid w:val="00EF77F1"/>
    <w:rsid w:val="00F0028F"/>
    <w:rsid w:val="00F00C02"/>
    <w:rsid w:val="00F00ED4"/>
    <w:rsid w:val="00F01101"/>
    <w:rsid w:val="00F01565"/>
    <w:rsid w:val="00F016D1"/>
    <w:rsid w:val="00F01CB7"/>
    <w:rsid w:val="00F01F07"/>
    <w:rsid w:val="00F030FF"/>
    <w:rsid w:val="00F033AC"/>
    <w:rsid w:val="00F038A8"/>
    <w:rsid w:val="00F03A2F"/>
    <w:rsid w:val="00F03C33"/>
    <w:rsid w:val="00F03DE0"/>
    <w:rsid w:val="00F0654F"/>
    <w:rsid w:val="00F065D4"/>
    <w:rsid w:val="00F06DC0"/>
    <w:rsid w:val="00F073A3"/>
    <w:rsid w:val="00F074F9"/>
    <w:rsid w:val="00F07966"/>
    <w:rsid w:val="00F07E25"/>
    <w:rsid w:val="00F103F3"/>
    <w:rsid w:val="00F10DAD"/>
    <w:rsid w:val="00F1163F"/>
    <w:rsid w:val="00F11BCD"/>
    <w:rsid w:val="00F11CE7"/>
    <w:rsid w:val="00F11EA3"/>
    <w:rsid w:val="00F13D63"/>
    <w:rsid w:val="00F13E00"/>
    <w:rsid w:val="00F1452B"/>
    <w:rsid w:val="00F149FE"/>
    <w:rsid w:val="00F14CDC"/>
    <w:rsid w:val="00F15294"/>
    <w:rsid w:val="00F1533C"/>
    <w:rsid w:val="00F15805"/>
    <w:rsid w:val="00F15CE5"/>
    <w:rsid w:val="00F1682D"/>
    <w:rsid w:val="00F16D9E"/>
    <w:rsid w:val="00F178D2"/>
    <w:rsid w:val="00F17C6E"/>
    <w:rsid w:val="00F21D4D"/>
    <w:rsid w:val="00F220BB"/>
    <w:rsid w:val="00F220D9"/>
    <w:rsid w:val="00F222D5"/>
    <w:rsid w:val="00F223C4"/>
    <w:rsid w:val="00F223D8"/>
    <w:rsid w:val="00F226CC"/>
    <w:rsid w:val="00F22729"/>
    <w:rsid w:val="00F22869"/>
    <w:rsid w:val="00F22939"/>
    <w:rsid w:val="00F229DA"/>
    <w:rsid w:val="00F22AFB"/>
    <w:rsid w:val="00F22ECF"/>
    <w:rsid w:val="00F2329A"/>
    <w:rsid w:val="00F239EA"/>
    <w:rsid w:val="00F23A2A"/>
    <w:rsid w:val="00F23B66"/>
    <w:rsid w:val="00F23B93"/>
    <w:rsid w:val="00F246BB"/>
    <w:rsid w:val="00F2607F"/>
    <w:rsid w:val="00F26141"/>
    <w:rsid w:val="00F261A8"/>
    <w:rsid w:val="00F2656D"/>
    <w:rsid w:val="00F26D75"/>
    <w:rsid w:val="00F26DC9"/>
    <w:rsid w:val="00F27096"/>
    <w:rsid w:val="00F277F0"/>
    <w:rsid w:val="00F27A43"/>
    <w:rsid w:val="00F27B92"/>
    <w:rsid w:val="00F27CFC"/>
    <w:rsid w:val="00F27D95"/>
    <w:rsid w:val="00F30508"/>
    <w:rsid w:val="00F3109D"/>
    <w:rsid w:val="00F313FE"/>
    <w:rsid w:val="00F32696"/>
    <w:rsid w:val="00F329E9"/>
    <w:rsid w:val="00F32C5D"/>
    <w:rsid w:val="00F3375B"/>
    <w:rsid w:val="00F33DFE"/>
    <w:rsid w:val="00F34844"/>
    <w:rsid w:val="00F3589B"/>
    <w:rsid w:val="00F35991"/>
    <w:rsid w:val="00F35ADF"/>
    <w:rsid w:val="00F35C1F"/>
    <w:rsid w:val="00F36735"/>
    <w:rsid w:val="00F3680C"/>
    <w:rsid w:val="00F36B97"/>
    <w:rsid w:val="00F37DAC"/>
    <w:rsid w:val="00F4088C"/>
    <w:rsid w:val="00F40BC9"/>
    <w:rsid w:val="00F416D0"/>
    <w:rsid w:val="00F41881"/>
    <w:rsid w:val="00F4198E"/>
    <w:rsid w:val="00F41DB0"/>
    <w:rsid w:val="00F42218"/>
    <w:rsid w:val="00F42304"/>
    <w:rsid w:val="00F42ED3"/>
    <w:rsid w:val="00F42EF7"/>
    <w:rsid w:val="00F434F1"/>
    <w:rsid w:val="00F43E47"/>
    <w:rsid w:val="00F44C49"/>
    <w:rsid w:val="00F44CEC"/>
    <w:rsid w:val="00F44FD3"/>
    <w:rsid w:val="00F45A19"/>
    <w:rsid w:val="00F4743C"/>
    <w:rsid w:val="00F50018"/>
    <w:rsid w:val="00F506AC"/>
    <w:rsid w:val="00F50EB5"/>
    <w:rsid w:val="00F51537"/>
    <w:rsid w:val="00F52584"/>
    <w:rsid w:val="00F52CF7"/>
    <w:rsid w:val="00F5309C"/>
    <w:rsid w:val="00F5321F"/>
    <w:rsid w:val="00F54581"/>
    <w:rsid w:val="00F55BFE"/>
    <w:rsid w:val="00F56A6F"/>
    <w:rsid w:val="00F56FFF"/>
    <w:rsid w:val="00F5767F"/>
    <w:rsid w:val="00F57871"/>
    <w:rsid w:val="00F608F9"/>
    <w:rsid w:val="00F60BC0"/>
    <w:rsid w:val="00F61E94"/>
    <w:rsid w:val="00F61F8D"/>
    <w:rsid w:val="00F62322"/>
    <w:rsid w:val="00F62977"/>
    <w:rsid w:val="00F64EFD"/>
    <w:rsid w:val="00F65340"/>
    <w:rsid w:val="00F6537C"/>
    <w:rsid w:val="00F65803"/>
    <w:rsid w:val="00F65FF6"/>
    <w:rsid w:val="00F6715B"/>
    <w:rsid w:val="00F678F5"/>
    <w:rsid w:val="00F6797F"/>
    <w:rsid w:val="00F70BA6"/>
    <w:rsid w:val="00F7220B"/>
    <w:rsid w:val="00F72663"/>
    <w:rsid w:val="00F73153"/>
    <w:rsid w:val="00F73A79"/>
    <w:rsid w:val="00F744D0"/>
    <w:rsid w:val="00F74598"/>
    <w:rsid w:val="00F753A8"/>
    <w:rsid w:val="00F75801"/>
    <w:rsid w:val="00F75CB5"/>
    <w:rsid w:val="00F7634E"/>
    <w:rsid w:val="00F76B82"/>
    <w:rsid w:val="00F77BDC"/>
    <w:rsid w:val="00F77F24"/>
    <w:rsid w:val="00F80607"/>
    <w:rsid w:val="00F80659"/>
    <w:rsid w:val="00F80C4F"/>
    <w:rsid w:val="00F815F7"/>
    <w:rsid w:val="00F8187C"/>
    <w:rsid w:val="00F81E47"/>
    <w:rsid w:val="00F82B4E"/>
    <w:rsid w:val="00F82C2C"/>
    <w:rsid w:val="00F82E91"/>
    <w:rsid w:val="00F8371D"/>
    <w:rsid w:val="00F84A1C"/>
    <w:rsid w:val="00F8519B"/>
    <w:rsid w:val="00F8558A"/>
    <w:rsid w:val="00F86266"/>
    <w:rsid w:val="00F8686E"/>
    <w:rsid w:val="00F87600"/>
    <w:rsid w:val="00F8792D"/>
    <w:rsid w:val="00F9000E"/>
    <w:rsid w:val="00F90025"/>
    <w:rsid w:val="00F90358"/>
    <w:rsid w:val="00F90E32"/>
    <w:rsid w:val="00F91EFD"/>
    <w:rsid w:val="00F92D6F"/>
    <w:rsid w:val="00F931CF"/>
    <w:rsid w:val="00F93717"/>
    <w:rsid w:val="00F94503"/>
    <w:rsid w:val="00F94986"/>
    <w:rsid w:val="00F94F83"/>
    <w:rsid w:val="00F95C4E"/>
    <w:rsid w:val="00F95EB2"/>
    <w:rsid w:val="00F961B5"/>
    <w:rsid w:val="00F96595"/>
    <w:rsid w:val="00F96ECF"/>
    <w:rsid w:val="00F971DF"/>
    <w:rsid w:val="00F97A22"/>
    <w:rsid w:val="00F97F4C"/>
    <w:rsid w:val="00FA05D4"/>
    <w:rsid w:val="00FA1D07"/>
    <w:rsid w:val="00FA1EE1"/>
    <w:rsid w:val="00FA22C6"/>
    <w:rsid w:val="00FA421B"/>
    <w:rsid w:val="00FA4AE6"/>
    <w:rsid w:val="00FA4B22"/>
    <w:rsid w:val="00FA4E0F"/>
    <w:rsid w:val="00FA53DD"/>
    <w:rsid w:val="00FA5977"/>
    <w:rsid w:val="00FA5E1C"/>
    <w:rsid w:val="00FA657E"/>
    <w:rsid w:val="00FA65D1"/>
    <w:rsid w:val="00FA68A1"/>
    <w:rsid w:val="00FA6D76"/>
    <w:rsid w:val="00FA72F0"/>
    <w:rsid w:val="00FA7427"/>
    <w:rsid w:val="00FA7D19"/>
    <w:rsid w:val="00FB02FC"/>
    <w:rsid w:val="00FB0595"/>
    <w:rsid w:val="00FB0804"/>
    <w:rsid w:val="00FB094B"/>
    <w:rsid w:val="00FB0A83"/>
    <w:rsid w:val="00FB14BE"/>
    <w:rsid w:val="00FB2436"/>
    <w:rsid w:val="00FB329D"/>
    <w:rsid w:val="00FB3C6B"/>
    <w:rsid w:val="00FB41CD"/>
    <w:rsid w:val="00FB46C3"/>
    <w:rsid w:val="00FB4AB6"/>
    <w:rsid w:val="00FB5015"/>
    <w:rsid w:val="00FB6228"/>
    <w:rsid w:val="00FB6653"/>
    <w:rsid w:val="00FB675E"/>
    <w:rsid w:val="00FB7742"/>
    <w:rsid w:val="00FB7797"/>
    <w:rsid w:val="00FB7A74"/>
    <w:rsid w:val="00FC1266"/>
    <w:rsid w:val="00FC144A"/>
    <w:rsid w:val="00FC1677"/>
    <w:rsid w:val="00FC1F63"/>
    <w:rsid w:val="00FC239D"/>
    <w:rsid w:val="00FC2772"/>
    <w:rsid w:val="00FC2828"/>
    <w:rsid w:val="00FC37C7"/>
    <w:rsid w:val="00FC4C3A"/>
    <w:rsid w:val="00FC4E6A"/>
    <w:rsid w:val="00FC6985"/>
    <w:rsid w:val="00FC6D89"/>
    <w:rsid w:val="00FC743D"/>
    <w:rsid w:val="00FD0659"/>
    <w:rsid w:val="00FD0F97"/>
    <w:rsid w:val="00FD1093"/>
    <w:rsid w:val="00FD117C"/>
    <w:rsid w:val="00FD15FB"/>
    <w:rsid w:val="00FD199F"/>
    <w:rsid w:val="00FD2085"/>
    <w:rsid w:val="00FD362A"/>
    <w:rsid w:val="00FD394D"/>
    <w:rsid w:val="00FD3AA9"/>
    <w:rsid w:val="00FD3C33"/>
    <w:rsid w:val="00FD4301"/>
    <w:rsid w:val="00FD4B6C"/>
    <w:rsid w:val="00FD4E36"/>
    <w:rsid w:val="00FD5403"/>
    <w:rsid w:val="00FD5726"/>
    <w:rsid w:val="00FD5913"/>
    <w:rsid w:val="00FD638C"/>
    <w:rsid w:val="00FD6689"/>
    <w:rsid w:val="00FD6864"/>
    <w:rsid w:val="00FD6A8E"/>
    <w:rsid w:val="00FD78BD"/>
    <w:rsid w:val="00FE02EC"/>
    <w:rsid w:val="00FE037E"/>
    <w:rsid w:val="00FE092A"/>
    <w:rsid w:val="00FE0B1C"/>
    <w:rsid w:val="00FE12C8"/>
    <w:rsid w:val="00FE2CC6"/>
    <w:rsid w:val="00FE3215"/>
    <w:rsid w:val="00FE34B7"/>
    <w:rsid w:val="00FE34BA"/>
    <w:rsid w:val="00FE35A4"/>
    <w:rsid w:val="00FE48AC"/>
    <w:rsid w:val="00FE5340"/>
    <w:rsid w:val="00FE557B"/>
    <w:rsid w:val="00FE6119"/>
    <w:rsid w:val="00FE6D4C"/>
    <w:rsid w:val="00FE7AD8"/>
    <w:rsid w:val="00FE7BFB"/>
    <w:rsid w:val="00FF03C7"/>
    <w:rsid w:val="00FF0616"/>
    <w:rsid w:val="00FF0C95"/>
    <w:rsid w:val="00FF0FEB"/>
    <w:rsid w:val="00FF1CA5"/>
    <w:rsid w:val="00FF293C"/>
    <w:rsid w:val="00FF31B4"/>
    <w:rsid w:val="00FF376A"/>
    <w:rsid w:val="00FF3C87"/>
    <w:rsid w:val="00FF3E8B"/>
    <w:rsid w:val="00FF4407"/>
    <w:rsid w:val="00FF4A65"/>
    <w:rsid w:val="00FF4E92"/>
    <w:rsid w:val="00FF51B5"/>
    <w:rsid w:val="00FF51E3"/>
    <w:rsid w:val="00FF5992"/>
    <w:rsid w:val="00FF6632"/>
    <w:rsid w:val="00FF76B3"/>
    <w:rsid w:val="00FF7B26"/>
    <w:rsid w:val="00FF7C18"/>
    <w:rsid w:val="00FF7E1F"/>
    <w:rsid w:val="00FF7E4A"/>
    <w:rsid w:val="3C933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unhideWhenUsed="0" w:uiPriority="0" w:semiHidden="0" w:name="Strong"/>
    <w:lsdException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Times New Roman" w:eastAsia="宋体" w:cs="Times New Roman"/>
      <w:sz w:val="28"/>
      <w:lang w:val="en-US" w:eastAsia="zh-CN" w:bidi="ar-SA"/>
    </w:rPr>
  </w:style>
  <w:style w:type="paragraph" w:styleId="2">
    <w:name w:val="heading 1"/>
    <w:basedOn w:val="3"/>
    <w:next w:val="1"/>
    <w:link w:val="77"/>
    <w:qFormat/>
    <w:uiPriority w:val="0"/>
    <w:pPr>
      <w:widowControl/>
      <w:adjustRightInd w:val="0"/>
      <w:spacing w:before="360" w:after="360"/>
      <w:jc w:val="center"/>
      <w:outlineLvl w:val="0"/>
    </w:pPr>
    <w:rPr>
      <w:color w:val="000000"/>
      <w:sz w:val="44"/>
    </w:rPr>
  </w:style>
  <w:style w:type="paragraph" w:styleId="3">
    <w:name w:val="heading 2"/>
    <w:basedOn w:val="1"/>
    <w:next w:val="4"/>
    <w:link w:val="35"/>
    <w:qFormat/>
    <w:uiPriority w:val="0"/>
    <w:pPr>
      <w:keepNext/>
      <w:keepLines/>
      <w:spacing w:before="240" w:after="240"/>
      <w:ind w:firstLine="0" w:firstLineChars="0"/>
      <w:jc w:val="left"/>
      <w:outlineLvl w:val="1"/>
    </w:pPr>
    <w:rPr>
      <w:b/>
      <w:sz w:val="32"/>
    </w:rPr>
  </w:style>
  <w:style w:type="paragraph" w:styleId="5">
    <w:name w:val="heading 3"/>
    <w:basedOn w:val="1"/>
    <w:next w:val="4"/>
    <w:link w:val="86"/>
    <w:qFormat/>
    <w:uiPriority w:val="0"/>
    <w:pPr>
      <w:keepNext/>
      <w:keepLines/>
      <w:spacing w:before="120" w:after="120" w:line="240" w:lineRule="auto"/>
      <w:ind w:firstLine="0" w:firstLineChars="0"/>
      <w:jc w:val="left"/>
      <w:outlineLvl w:val="2"/>
    </w:pPr>
    <w:rPr>
      <w:b/>
      <w:sz w:val="30"/>
    </w:rPr>
  </w:style>
  <w:style w:type="paragraph" w:styleId="6">
    <w:name w:val="heading 4"/>
    <w:basedOn w:val="1"/>
    <w:next w:val="4"/>
    <w:link w:val="71"/>
    <w:qFormat/>
    <w:uiPriority w:val="0"/>
    <w:pPr>
      <w:keepNext/>
      <w:keepLines/>
      <w:spacing w:before="120" w:after="120" w:line="240" w:lineRule="auto"/>
      <w:ind w:firstLine="0" w:firstLineChars="0"/>
      <w:jc w:val="left"/>
      <w:outlineLvl w:val="3"/>
    </w:pPr>
    <w:rPr>
      <w:b/>
    </w:rPr>
  </w:style>
  <w:style w:type="paragraph" w:styleId="7">
    <w:name w:val="heading 5"/>
    <w:basedOn w:val="1"/>
    <w:next w:val="4"/>
    <w:link w:val="72"/>
    <w:uiPriority w:val="0"/>
    <w:pPr>
      <w:keepNext/>
      <w:keepLines/>
      <w:spacing w:line="480" w:lineRule="atLeast"/>
      <w:ind w:firstLine="0" w:firstLineChars="0"/>
      <w:jc w:val="center"/>
      <w:outlineLvl w:val="4"/>
    </w:pPr>
    <w:rPr>
      <w:b/>
    </w:rPr>
  </w:style>
  <w:style w:type="character" w:default="1" w:styleId="29">
    <w:name w:val="Default Paragraph Font"/>
    <w:unhideWhenUsed/>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link w:val="40"/>
    <w:qFormat/>
    <w:uiPriority w:val="0"/>
    <w:pPr>
      <w:ind w:firstLine="420"/>
    </w:pPr>
  </w:style>
  <w:style w:type="paragraph" w:styleId="8">
    <w:name w:val="toc 7"/>
    <w:basedOn w:val="1"/>
    <w:next w:val="1"/>
    <w:unhideWhenUsed/>
    <w:qFormat/>
    <w:uiPriority w:val="39"/>
    <w:pPr>
      <w:spacing w:line="240" w:lineRule="auto"/>
      <w:ind w:left="2520" w:leftChars="1200" w:firstLine="0" w:firstLineChars="0"/>
    </w:pPr>
    <w:rPr>
      <w:rFonts w:ascii="Calibri" w:hAnsi="Calibri"/>
      <w:kern w:val="2"/>
      <w:sz w:val="21"/>
      <w:szCs w:val="22"/>
    </w:rPr>
  </w:style>
  <w:style w:type="paragraph" w:styleId="9">
    <w:name w:val="Body Text First Indent"/>
    <w:basedOn w:val="10"/>
    <w:qFormat/>
    <w:uiPriority w:val="0"/>
    <w:pPr>
      <w:spacing w:after="120" w:line="500" w:lineRule="exact"/>
      <w:ind w:firstLine="420" w:firstLineChars="100"/>
    </w:pPr>
  </w:style>
  <w:style w:type="paragraph" w:styleId="10">
    <w:name w:val="Body Text"/>
    <w:basedOn w:val="1"/>
    <w:qFormat/>
    <w:uiPriority w:val="0"/>
    <w:pPr>
      <w:spacing w:line="440" w:lineRule="exact"/>
    </w:pPr>
  </w:style>
  <w:style w:type="paragraph" w:styleId="11">
    <w:name w:val="caption"/>
    <w:basedOn w:val="1"/>
    <w:next w:val="1"/>
    <w:qFormat/>
    <w:uiPriority w:val="0"/>
    <w:rPr>
      <w:rFonts w:ascii="Arial" w:hAnsi="Arial" w:eastAsia="黑体" w:cs="Arial"/>
      <w:sz w:val="20"/>
    </w:rPr>
  </w:style>
  <w:style w:type="paragraph" w:styleId="12">
    <w:name w:val="Body Text Indent"/>
    <w:basedOn w:val="1"/>
    <w:qFormat/>
    <w:uiPriority w:val="0"/>
    <w:pPr>
      <w:spacing w:line="460" w:lineRule="exact"/>
      <w:ind w:firstLine="560"/>
    </w:pPr>
  </w:style>
  <w:style w:type="paragraph" w:styleId="13">
    <w:name w:val="toc 5"/>
    <w:basedOn w:val="1"/>
    <w:next w:val="1"/>
    <w:unhideWhenUsed/>
    <w:qFormat/>
    <w:uiPriority w:val="39"/>
    <w:pPr>
      <w:spacing w:line="240" w:lineRule="auto"/>
      <w:ind w:left="1680" w:leftChars="800" w:firstLine="0" w:firstLineChars="0"/>
    </w:pPr>
    <w:rPr>
      <w:rFonts w:ascii="Calibri" w:hAnsi="Calibri"/>
      <w:kern w:val="2"/>
      <w:sz w:val="21"/>
      <w:szCs w:val="22"/>
    </w:rPr>
  </w:style>
  <w:style w:type="paragraph" w:styleId="14">
    <w:name w:val="toc 3"/>
    <w:basedOn w:val="1"/>
    <w:next w:val="1"/>
    <w:unhideWhenUsed/>
    <w:qFormat/>
    <w:uiPriority w:val="39"/>
    <w:pPr>
      <w:spacing w:line="240" w:lineRule="auto"/>
      <w:ind w:left="840" w:leftChars="400" w:firstLine="0" w:firstLineChars="0"/>
    </w:pPr>
    <w:rPr>
      <w:rFonts w:ascii="Calibri" w:hAnsi="Calibri"/>
      <w:kern w:val="2"/>
      <w:sz w:val="21"/>
      <w:szCs w:val="22"/>
    </w:rPr>
  </w:style>
  <w:style w:type="paragraph" w:styleId="15">
    <w:name w:val="Plain Text"/>
    <w:basedOn w:val="1"/>
    <w:qFormat/>
    <w:uiPriority w:val="0"/>
    <w:rPr>
      <w:rFonts w:hAnsi="Courier New"/>
    </w:rPr>
  </w:style>
  <w:style w:type="paragraph" w:styleId="16">
    <w:name w:val="toc 8"/>
    <w:basedOn w:val="1"/>
    <w:next w:val="1"/>
    <w:unhideWhenUsed/>
    <w:qFormat/>
    <w:uiPriority w:val="39"/>
    <w:pPr>
      <w:spacing w:line="240" w:lineRule="auto"/>
      <w:ind w:left="2940" w:leftChars="1400" w:firstLine="0" w:firstLineChars="0"/>
    </w:pPr>
    <w:rPr>
      <w:rFonts w:ascii="Calibri" w:hAnsi="Calibri"/>
      <w:kern w:val="2"/>
      <w:sz w:val="21"/>
      <w:szCs w:val="22"/>
    </w:rPr>
  </w:style>
  <w:style w:type="paragraph" w:styleId="17">
    <w:name w:val="Date"/>
    <w:basedOn w:val="1"/>
    <w:next w:val="1"/>
    <w:qFormat/>
    <w:uiPriority w:val="0"/>
    <w:pPr>
      <w:ind w:left="100" w:leftChars="2500"/>
    </w:pPr>
  </w:style>
  <w:style w:type="paragraph" w:styleId="18">
    <w:name w:val="Body Text Indent 2"/>
    <w:basedOn w:val="1"/>
    <w:qFormat/>
    <w:uiPriority w:val="0"/>
    <w:pPr>
      <w:spacing w:after="120" w:line="480" w:lineRule="auto"/>
      <w:ind w:left="420" w:leftChars="200"/>
    </w:pPr>
    <w:rPr>
      <w:rFonts w:eastAsia="仿宋_GB2312"/>
    </w:rPr>
  </w:style>
  <w:style w:type="paragraph" w:styleId="19">
    <w:name w:val="Balloon Text"/>
    <w:basedOn w:val="1"/>
    <w:link w:val="78"/>
    <w:qFormat/>
    <w:uiPriority w:val="0"/>
    <w:rPr>
      <w:sz w:val="18"/>
      <w:szCs w:val="18"/>
    </w:rPr>
  </w:style>
  <w:style w:type="paragraph" w:styleId="20">
    <w:name w:val="footer"/>
    <w:basedOn w:val="1"/>
    <w:link w:val="39"/>
    <w:qFormat/>
    <w:uiPriority w:val="99"/>
    <w:pPr>
      <w:tabs>
        <w:tab w:val="center" w:pos="4153"/>
        <w:tab w:val="right" w:pos="8306"/>
      </w:tabs>
      <w:snapToGrid w:val="0"/>
      <w:jc w:val="left"/>
    </w:pPr>
    <w:rPr>
      <w:sz w:val="18"/>
      <w:szCs w:val="18"/>
    </w:rPr>
  </w:style>
  <w:style w:type="paragraph" w:styleId="21">
    <w:name w:val="Body Text First Indent 2"/>
    <w:basedOn w:val="12"/>
    <w:qFormat/>
    <w:uiPriority w:val="0"/>
    <w:pPr>
      <w:spacing w:after="120" w:line="240" w:lineRule="auto"/>
      <w:ind w:left="420" w:leftChars="200" w:firstLine="420"/>
    </w:pPr>
    <w:rPr>
      <w:sz w:val="21"/>
    </w:rPr>
  </w:style>
  <w:style w:type="paragraph" w:styleId="22">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296"/>
      </w:tabs>
      <w:ind w:firstLine="0" w:firstLineChars="0"/>
    </w:pPr>
    <w:rPr>
      <w:b/>
    </w:rPr>
  </w:style>
  <w:style w:type="paragraph" w:styleId="24">
    <w:name w:val="toc 4"/>
    <w:basedOn w:val="1"/>
    <w:next w:val="1"/>
    <w:unhideWhenUsed/>
    <w:qFormat/>
    <w:uiPriority w:val="39"/>
    <w:pPr>
      <w:spacing w:line="240" w:lineRule="auto"/>
      <w:ind w:left="1260" w:leftChars="600" w:firstLine="0" w:firstLineChars="0"/>
    </w:pPr>
    <w:rPr>
      <w:rFonts w:ascii="Calibri" w:hAnsi="Calibri"/>
      <w:kern w:val="2"/>
      <w:sz w:val="21"/>
      <w:szCs w:val="22"/>
    </w:rPr>
  </w:style>
  <w:style w:type="paragraph" w:styleId="25">
    <w:name w:val="toc 6"/>
    <w:basedOn w:val="1"/>
    <w:next w:val="1"/>
    <w:unhideWhenUsed/>
    <w:qFormat/>
    <w:uiPriority w:val="39"/>
    <w:pPr>
      <w:spacing w:line="240" w:lineRule="auto"/>
      <w:ind w:left="2100" w:leftChars="1000" w:firstLine="0" w:firstLineChars="0"/>
    </w:pPr>
    <w:rPr>
      <w:rFonts w:ascii="Calibri" w:hAnsi="Calibri"/>
      <w:kern w:val="2"/>
      <w:sz w:val="21"/>
      <w:szCs w:val="22"/>
    </w:rPr>
  </w:style>
  <w:style w:type="paragraph" w:styleId="26">
    <w:name w:val="toc 2"/>
    <w:basedOn w:val="1"/>
    <w:next w:val="1"/>
    <w:qFormat/>
    <w:uiPriority w:val="39"/>
    <w:pPr>
      <w:tabs>
        <w:tab w:val="right" w:leader="dot" w:pos="8296"/>
      </w:tabs>
      <w:ind w:left="560" w:leftChars="200" w:firstLine="5" w:firstLineChars="3"/>
    </w:pPr>
  </w:style>
  <w:style w:type="paragraph" w:styleId="27">
    <w:name w:val="toc 9"/>
    <w:basedOn w:val="1"/>
    <w:next w:val="1"/>
    <w:unhideWhenUsed/>
    <w:qFormat/>
    <w:uiPriority w:val="39"/>
    <w:pPr>
      <w:spacing w:line="240" w:lineRule="auto"/>
      <w:ind w:left="3360" w:leftChars="1600" w:firstLine="0" w:firstLineChars="0"/>
    </w:pPr>
    <w:rPr>
      <w:rFonts w:ascii="Calibri" w:hAnsi="Calibri"/>
      <w:kern w:val="2"/>
      <w:sz w:val="21"/>
      <w:szCs w:val="22"/>
    </w:rPr>
  </w:style>
  <w:style w:type="paragraph" w:styleId="28">
    <w:name w:val="Normal (Web)"/>
    <w:basedOn w:val="1"/>
    <w:qFormat/>
    <w:uiPriority w:val="99"/>
    <w:pPr>
      <w:widowControl/>
      <w:jc w:val="left"/>
    </w:pPr>
    <w:rPr>
      <w:rFonts w:hAnsi="宋体" w:cs="宋体"/>
      <w:sz w:val="24"/>
    </w:rPr>
  </w:style>
  <w:style w:type="character" w:styleId="30">
    <w:name w:val="page number"/>
    <w:basedOn w:val="29"/>
    <w:qFormat/>
    <w:uiPriority w:val="0"/>
  </w:style>
  <w:style w:type="character" w:styleId="31">
    <w:name w:val="FollowedHyperlink"/>
    <w:qFormat/>
    <w:uiPriority w:val="0"/>
    <w:rPr>
      <w:color w:val="800080"/>
      <w:u w:val="single"/>
    </w:rPr>
  </w:style>
  <w:style w:type="character" w:styleId="32">
    <w:name w:val="Hyperlink"/>
    <w:qFormat/>
    <w:uiPriority w:val="99"/>
    <w:rPr>
      <w:color w:val="333333"/>
      <w:sz w:val="18"/>
      <w:szCs w:val="18"/>
      <w:u w:val="none"/>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标题 2 Char"/>
    <w:link w:val="3"/>
    <w:qFormat/>
    <w:uiPriority w:val="0"/>
    <w:rPr>
      <w:rFonts w:ascii="宋体"/>
      <w:b/>
      <w:sz w:val="32"/>
    </w:rPr>
  </w:style>
  <w:style w:type="paragraph" w:customStyle="1" w:styleId="36">
    <w:name w:val="爱爱爱"/>
    <w:basedOn w:val="1"/>
    <w:qFormat/>
    <w:uiPriority w:val="0"/>
    <w:pPr>
      <w:tabs>
        <w:tab w:val="left" w:pos="425"/>
      </w:tabs>
      <w:ind w:left="425" w:hanging="425"/>
    </w:pPr>
    <w:rPr>
      <w:rFonts w:eastAsia="仿宋_GB2312"/>
      <w:kern w:val="24"/>
      <w:sz w:val="24"/>
    </w:rPr>
  </w:style>
  <w:style w:type="paragraph" w:customStyle="1" w:styleId="37">
    <w:name w:val="样式 标题 2 + 加粗"/>
    <w:basedOn w:val="3"/>
    <w:link w:val="38"/>
    <w:qFormat/>
    <w:uiPriority w:val="0"/>
    <w:rPr>
      <w:b w:val="0"/>
    </w:rPr>
  </w:style>
  <w:style w:type="character" w:customStyle="1" w:styleId="38">
    <w:name w:val="样式 标题 2 + 加粗 Char"/>
    <w:link w:val="37"/>
    <w:qFormat/>
    <w:uiPriority w:val="0"/>
    <w:rPr>
      <w:rFonts w:ascii="Arial" w:hAnsi="Arial" w:eastAsia="宋体"/>
      <w:b/>
      <w:bCs/>
      <w:color w:val="000000"/>
      <w:kern w:val="2"/>
      <w:sz w:val="32"/>
      <w:szCs w:val="32"/>
      <w:lang w:val="en-US" w:eastAsia="zh-CN" w:bidi="ar-SA"/>
    </w:rPr>
  </w:style>
  <w:style w:type="character" w:customStyle="1" w:styleId="39">
    <w:name w:val="页脚 Char"/>
    <w:link w:val="20"/>
    <w:qFormat/>
    <w:uiPriority w:val="99"/>
    <w:rPr>
      <w:rFonts w:eastAsia="宋体"/>
      <w:kern w:val="2"/>
      <w:sz w:val="18"/>
      <w:szCs w:val="18"/>
      <w:lang w:val="en-US" w:eastAsia="zh-CN" w:bidi="ar-SA"/>
    </w:rPr>
  </w:style>
  <w:style w:type="character" w:customStyle="1" w:styleId="40">
    <w:name w:val="正文缩进 Char"/>
    <w:link w:val="4"/>
    <w:qFormat/>
    <w:uiPriority w:val="0"/>
    <w:rPr>
      <w:rFonts w:eastAsia="宋体"/>
      <w:kern w:val="2"/>
      <w:sz w:val="28"/>
      <w:lang w:val="en-US" w:eastAsia="zh-CN" w:bidi="ar-SA"/>
    </w:rPr>
  </w:style>
  <w:style w:type="paragraph" w:customStyle="1" w:styleId="41">
    <w:name w:val="Char1"/>
    <w:basedOn w:val="1"/>
    <w:qFormat/>
    <w:uiPriority w:val="0"/>
  </w:style>
  <w:style w:type="paragraph" w:customStyle="1" w:styleId="42">
    <w:name w:val="Char Char1 Char Char Char Char Char Char Char Char Char Char Char Char Char Char Char Char Char Char Char Char1 Char"/>
    <w:basedOn w:val="1"/>
    <w:qFormat/>
    <w:uiPriority w:val="0"/>
    <w:rPr>
      <w:rFonts w:hAnsi="宋体" w:cs="宋体"/>
      <w:sz w:val="24"/>
    </w:rPr>
  </w:style>
  <w:style w:type="character" w:customStyle="1" w:styleId="43">
    <w:name w:val="页眉 Char"/>
    <w:link w:val="22"/>
    <w:qFormat/>
    <w:uiPriority w:val="99"/>
    <w:rPr>
      <w:rFonts w:eastAsia="宋体"/>
      <w:kern w:val="2"/>
      <w:sz w:val="18"/>
      <w:szCs w:val="18"/>
      <w:lang w:val="en-US" w:eastAsia="zh-CN" w:bidi="ar-SA"/>
    </w:rPr>
  </w:style>
  <w:style w:type="character" w:customStyle="1" w:styleId="44">
    <w:name w:val="表格标题 Char1"/>
    <w:qFormat/>
    <w:uiPriority w:val="0"/>
    <w:rPr>
      <w:rFonts w:eastAsia="宋体"/>
      <w:kern w:val="2"/>
      <w:sz w:val="28"/>
      <w:lang w:val="en-US" w:eastAsia="zh-CN" w:bidi="ar-SA"/>
    </w:rPr>
  </w:style>
  <w:style w:type="paragraph" w:customStyle="1" w:styleId="4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6">
    <w:name w:val="CM107"/>
    <w:basedOn w:val="1"/>
    <w:next w:val="1"/>
    <w:qFormat/>
    <w:uiPriority w:val="0"/>
    <w:pPr>
      <w:autoSpaceDE w:val="0"/>
      <w:autoSpaceDN w:val="0"/>
      <w:adjustRightInd w:val="0"/>
      <w:jc w:val="left"/>
    </w:pPr>
    <w:rPr>
      <w:rFonts w:ascii="黑体" w:eastAsia="黑体"/>
      <w:sz w:val="24"/>
    </w:rPr>
  </w:style>
  <w:style w:type="paragraph" w:customStyle="1" w:styleId="47">
    <w:name w:val="CM106"/>
    <w:basedOn w:val="1"/>
    <w:next w:val="1"/>
    <w:qFormat/>
    <w:uiPriority w:val="0"/>
    <w:pPr>
      <w:autoSpaceDE w:val="0"/>
      <w:autoSpaceDN w:val="0"/>
      <w:adjustRightInd w:val="0"/>
      <w:jc w:val="left"/>
    </w:pPr>
    <w:rPr>
      <w:rFonts w:ascii="黑体" w:eastAsia="黑体"/>
      <w:sz w:val="24"/>
    </w:rPr>
  </w:style>
  <w:style w:type="paragraph" w:customStyle="1" w:styleId="48">
    <w:name w:val="Char"/>
    <w:basedOn w:val="1"/>
    <w:qFormat/>
    <w:uiPriority w:val="0"/>
    <w:rPr>
      <w:szCs w:val="21"/>
    </w:rPr>
  </w:style>
  <w:style w:type="character" w:customStyle="1" w:styleId="49">
    <w:name w:val="正文z1 Char"/>
    <w:link w:val="50"/>
    <w:qFormat/>
    <w:uiPriority w:val="0"/>
    <w:rPr>
      <w:rFonts w:ascii="Arial" w:hAnsi="Arial"/>
      <w:sz w:val="24"/>
      <w:lang w:bidi="ar-SA"/>
    </w:rPr>
  </w:style>
  <w:style w:type="paragraph" w:customStyle="1" w:styleId="50">
    <w:name w:val="正文z1"/>
    <w:basedOn w:val="1"/>
    <w:link w:val="49"/>
    <w:uiPriority w:val="0"/>
    <w:pPr>
      <w:adjustRightInd w:val="0"/>
      <w:snapToGrid w:val="0"/>
      <w:ind w:firstLine="480"/>
      <w:textAlignment w:val="baseline"/>
    </w:pPr>
    <w:rPr>
      <w:rFonts w:ascii="Arial" w:hAnsi="Arial" w:eastAsia="Times New Roman"/>
      <w:sz w:val="24"/>
    </w:rPr>
  </w:style>
  <w:style w:type="paragraph" w:customStyle="1" w:styleId="51">
    <w:name w:val="1图名文字式样："/>
    <w:basedOn w:val="1"/>
    <w:uiPriority w:val="0"/>
    <w:pPr>
      <w:adjustRightInd w:val="0"/>
      <w:snapToGrid w:val="0"/>
      <w:jc w:val="center"/>
    </w:pPr>
    <w:rPr>
      <w:rFonts w:ascii="Arial" w:hAnsi="Arial"/>
      <w:b/>
      <w:sz w:val="24"/>
    </w:rPr>
  </w:style>
  <w:style w:type="paragraph" w:customStyle="1" w:styleId="52">
    <w:name w:val="表格文字Z1"/>
    <w:basedOn w:val="1"/>
    <w:qFormat/>
    <w:uiPriority w:val="0"/>
    <w:pPr>
      <w:jc w:val="center"/>
    </w:pPr>
  </w:style>
  <w:style w:type="paragraph" w:customStyle="1" w:styleId="53">
    <w:name w:val="表名Z1"/>
    <w:basedOn w:val="1"/>
    <w:link w:val="54"/>
    <w:qFormat/>
    <w:uiPriority w:val="0"/>
    <w:pPr>
      <w:adjustRightInd w:val="0"/>
      <w:snapToGrid w:val="0"/>
      <w:jc w:val="center"/>
    </w:pPr>
    <w:rPr>
      <w:rFonts w:ascii="Arial" w:hAnsi="Arial"/>
      <w:b/>
      <w:sz w:val="24"/>
    </w:rPr>
  </w:style>
  <w:style w:type="character" w:customStyle="1" w:styleId="54">
    <w:name w:val="表名Z1 Char"/>
    <w:link w:val="53"/>
    <w:uiPriority w:val="0"/>
    <w:rPr>
      <w:rFonts w:ascii="Arial" w:hAnsi="Arial" w:eastAsia="宋体"/>
      <w:b/>
      <w:kern w:val="2"/>
      <w:sz w:val="24"/>
      <w:lang w:val="en-US" w:eastAsia="zh-CN" w:bidi="ar-SA"/>
    </w:rPr>
  </w:style>
  <w:style w:type="paragraph" w:customStyle="1" w:styleId="55">
    <w:name w:val="1.1.1"/>
    <w:basedOn w:val="1"/>
    <w:qFormat/>
    <w:uiPriority w:val="0"/>
    <w:pPr>
      <w:spacing w:before="120"/>
      <w:jc w:val="left"/>
      <w:outlineLvl w:val="2"/>
    </w:pPr>
    <w:rPr>
      <w:rFonts w:ascii="Arial" w:hAnsi="Arial"/>
      <w:b/>
    </w:rPr>
  </w:style>
  <w:style w:type="character" w:customStyle="1" w:styleId="56">
    <w:name w:val="表格1 Char Char"/>
    <w:link w:val="57"/>
    <w:qFormat/>
    <w:uiPriority w:val="0"/>
    <w:rPr>
      <w:kern w:val="2"/>
      <w:sz w:val="24"/>
      <w:szCs w:val="24"/>
      <w:lang w:bidi="ar-SA"/>
    </w:rPr>
  </w:style>
  <w:style w:type="paragraph" w:customStyle="1" w:styleId="57">
    <w:name w:val="表格1 Char"/>
    <w:basedOn w:val="1"/>
    <w:link w:val="56"/>
    <w:qFormat/>
    <w:uiPriority w:val="0"/>
    <w:pPr>
      <w:spacing w:after="60"/>
      <w:jc w:val="center"/>
    </w:pPr>
    <w:rPr>
      <w:rFonts w:eastAsia="Times New Roman"/>
      <w:sz w:val="24"/>
    </w:rPr>
  </w:style>
  <w:style w:type="paragraph" w:customStyle="1" w:styleId="58">
    <w:name w:val="样式 居中"/>
    <w:basedOn w:val="1"/>
    <w:next w:val="10"/>
    <w:qFormat/>
    <w:uiPriority w:val="0"/>
    <w:pPr>
      <w:jc w:val="center"/>
    </w:pPr>
    <w:rPr>
      <w:rFonts w:cs="宋体"/>
    </w:rPr>
  </w:style>
  <w:style w:type="paragraph" w:customStyle="1" w:styleId="59">
    <w:name w:val="默认段落字体 Para Char Char Char Char"/>
    <w:basedOn w:val="1"/>
    <w:qFormat/>
    <w:uiPriority w:val="0"/>
    <w:rPr>
      <w:szCs w:val="21"/>
    </w:rPr>
  </w:style>
  <w:style w:type="paragraph" w:customStyle="1" w:styleId="60">
    <w:name w:val="_Style 11"/>
    <w:basedOn w:val="1"/>
    <w:next w:val="15"/>
    <w:qFormat/>
    <w:uiPriority w:val="0"/>
    <w:rPr>
      <w:rFonts w:hAnsi="Courier New"/>
    </w:rPr>
  </w:style>
  <w:style w:type="paragraph" w:customStyle="1" w:styleId="61">
    <w:name w:val="正文 + 居中"/>
    <w:basedOn w:val="1"/>
    <w:qFormat/>
    <w:uiPriority w:val="0"/>
    <w:pPr>
      <w:snapToGrid w:val="0"/>
    </w:pPr>
  </w:style>
  <w:style w:type="paragraph" w:customStyle="1" w:styleId="62">
    <w:name w:val="Char Char Char"/>
    <w:basedOn w:val="1"/>
    <w:qFormat/>
    <w:uiPriority w:val="0"/>
    <w:rPr>
      <w:szCs w:val="21"/>
    </w:rPr>
  </w:style>
  <w:style w:type="paragraph" w:customStyle="1" w:styleId="63">
    <w:name w:val="Char Char Char Char Char Char Char Char"/>
    <w:basedOn w:val="1"/>
    <w:qFormat/>
    <w:uiPriority w:val="0"/>
    <w:pPr>
      <w:adjustRightInd w:val="0"/>
      <w:spacing w:line="360" w:lineRule="atLeast"/>
      <w:textAlignment w:val="baseline"/>
    </w:pPr>
  </w:style>
  <w:style w:type="paragraph" w:customStyle="1" w:styleId="64">
    <w:name w:val="图名"/>
    <w:basedOn w:val="1"/>
    <w:qFormat/>
    <w:uiPriority w:val="0"/>
    <w:pPr>
      <w:overflowPunct w:val="0"/>
      <w:autoSpaceDE w:val="0"/>
      <w:autoSpaceDN w:val="0"/>
      <w:adjustRightInd w:val="0"/>
      <w:spacing w:line="480" w:lineRule="atLeast"/>
      <w:ind w:firstLine="0" w:firstLineChars="0"/>
      <w:jc w:val="center"/>
      <w:textAlignment w:val="baseline"/>
    </w:pPr>
    <w:rPr>
      <w:b/>
      <w:sz w:val="24"/>
    </w:rPr>
  </w:style>
  <w:style w:type="paragraph" w:customStyle="1" w:styleId="65">
    <w:name w:val="_Style 9"/>
    <w:basedOn w:val="1"/>
    <w:next w:val="12"/>
    <w:qFormat/>
    <w:uiPriority w:val="0"/>
    <w:pPr>
      <w:ind w:firstLine="720" w:firstLineChars="257"/>
    </w:pPr>
    <w:rPr>
      <w:rFonts w:hAnsi="宋体"/>
    </w:rPr>
  </w:style>
  <w:style w:type="paragraph" w:customStyle="1" w:styleId="66">
    <w:name w:val="Char Char Char2 Char"/>
    <w:basedOn w:val="1"/>
    <w:qFormat/>
    <w:uiPriority w:val="0"/>
    <w:pPr>
      <w:tabs>
        <w:tab w:val="left" w:pos="360"/>
      </w:tabs>
      <w:ind w:left="360" w:hanging="360"/>
    </w:pPr>
  </w:style>
  <w:style w:type="paragraph" w:customStyle="1" w:styleId="67">
    <w:name w:val="Char Char Char Char Char Char Char"/>
    <w:basedOn w:val="1"/>
    <w:qFormat/>
    <w:uiPriority w:val="0"/>
    <w:pPr>
      <w:widowControl/>
      <w:spacing w:after="160" w:line="240" w:lineRule="exact"/>
      <w:jc w:val="left"/>
    </w:pPr>
    <w:rPr>
      <w:rFonts w:ascii="Arial" w:hAnsi="Arial" w:eastAsia="Times New Roman" w:cs="Verdana"/>
      <w:b/>
      <w:sz w:val="24"/>
      <w:lang w:eastAsia="en-US"/>
    </w:rPr>
  </w:style>
  <w:style w:type="paragraph" w:customStyle="1" w:styleId="68">
    <w:name w:val="1.1"/>
    <w:qFormat/>
    <w:uiPriority w:val="0"/>
    <w:pPr>
      <w:spacing w:before="100" w:line="360" w:lineRule="auto"/>
      <w:outlineLvl w:val="1"/>
    </w:pPr>
    <w:rPr>
      <w:rFonts w:ascii="Arial" w:hAnsi="Arial" w:eastAsia="宋体" w:cs="Times New Roman"/>
      <w:b/>
      <w:kern w:val="2"/>
      <w:sz w:val="30"/>
      <w:lang w:val="en-US" w:eastAsia="zh-CN" w:bidi="ar-SA"/>
    </w:rPr>
  </w:style>
  <w:style w:type="paragraph" w:customStyle="1" w:styleId="69">
    <w:name w:val="Char Char Char Char"/>
    <w:basedOn w:val="1"/>
    <w:qFormat/>
    <w:uiPriority w:val="0"/>
    <w:pPr>
      <w:tabs>
        <w:tab w:val="left" w:pos="425"/>
      </w:tabs>
      <w:spacing w:line="240" w:lineRule="auto"/>
      <w:ind w:left="425" w:hanging="425" w:firstLineChars="0"/>
    </w:pPr>
    <w:rPr>
      <w:rFonts w:eastAsia="仿宋_GB2312"/>
      <w:kern w:val="24"/>
      <w:sz w:val="24"/>
      <w:szCs w:val="24"/>
    </w:rPr>
  </w:style>
  <w:style w:type="paragraph" w:customStyle="1" w:styleId="70">
    <w:name w:val="默认段落字体 Para Char"/>
    <w:basedOn w:val="1"/>
    <w:uiPriority w:val="0"/>
    <w:pPr>
      <w:spacing w:line="240" w:lineRule="auto"/>
      <w:ind w:firstLine="0" w:firstLineChars="0"/>
    </w:pPr>
    <w:rPr>
      <w:sz w:val="21"/>
      <w:szCs w:val="24"/>
    </w:rPr>
  </w:style>
  <w:style w:type="character" w:customStyle="1" w:styleId="71">
    <w:name w:val="标题 4 Char"/>
    <w:link w:val="6"/>
    <w:qFormat/>
    <w:uiPriority w:val="0"/>
    <w:rPr>
      <w:rFonts w:ascii="宋体"/>
      <w:b/>
      <w:sz w:val="28"/>
    </w:rPr>
  </w:style>
  <w:style w:type="character" w:customStyle="1" w:styleId="72">
    <w:name w:val="标题 5 Char"/>
    <w:link w:val="7"/>
    <w:qFormat/>
    <w:uiPriority w:val="0"/>
    <w:rPr>
      <w:b/>
      <w:sz w:val="26"/>
    </w:rPr>
  </w:style>
  <w:style w:type="paragraph" w:customStyle="1" w:styleId="73">
    <w:name w:val="表头"/>
    <w:basedOn w:val="1"/>
    <w:link w:val="74"/>
    <w:qFormat/>
    <w:uiPriority w:val="0"/>
    <w:pPr>
      <w:adjustRightInd w:val="0"/>
      <w:snapToGrid w:val="0"/>
      <w:ind w:firstLine="0" w:firstLineChars="0"/>
      <w:jc w:val="center"/>
      <w:textAlignment w:val="baseline"/>
    </w:pPr>
    <w:rPr>
      <w:b/>
      <w:sz w:val="24"/>
    </w:rPr>
  </w:style>
  <w:style w:type="character" w:customStyle="1" w:styleId="74">
    <w:name w:val="表头 Char"/>
    <w:link w:val="73"/>
    <w:qFormat/>
    <w:uiPriority w:val="0"/>
    <w:rPr>
      <w:b/>
      <w:sz w:val="24"/>
    </w:rPr>
  </w:style>
  <w:style w:type="paragraph" w:customStyle="1" w:styleId="75">
    <w:name w:val="表内容"/>
    <w:qFormat/>
    <w:uiPriority w:val="0"/>
    <w:pPr>
      <w:widowControl w:val="0"/>
      <w:spacing w:line="320" w:lineRule="exact"/>
      <w:jc w:val="center"/>
    </w:pPr>
    <w:rPr>
      <w:rFonts w:ascii="Times New Roman" w:hAnsi="Times New Roman" w:eastAsia="宋体" w:cs="Times New Roman"/>
      <w:kern w:val="2"/>
      <w:sz w:val="24"/>
      <w:szCs w:val="21"/>
      <w:lang w:val="en-US" w:eastAsia="zh-CN" w:bidi="ar-SA"/>
    </w:rPr>
  </w:style>
  <w:style w:type="paragraph" w:customStyle="1" w:styleId="76">
    <w:name w:val="表标题"/>
    <w:basedOn w:val="1"/>
    <w:qFormat/>
    <w:uiPriority w:val="0"/>
    <w:pPr>
      <w:ind w:firstLine="0" w:firstLineChars="0"/>
      <w:jc w:val="right"/>
    </w:pPr>
    <w:rPr>
      <w:b/>
      <w:bCs/>
      <w:sz w:val="24"/>
      <w:szCs w:val="24"/>
    </w:rPr>
  </w:style>
  <w:style w:type="character" w:customStyle="1" w:styleId="77">
    <w:name w:val="标题 1 Char"/>
    <w:link w:val="2"/>
    <w:qFormat/>
    <w:uiPriority w:val="0"/>
    <w:rPr>
      <w:rFonts w:ascii="宋体"/>
      <w:b/>
      <w:color w:val="000000"/>
      <w:sz w:val="44"/>
    </w:rPr>
  </w:style>
  <w:style w:type="character" w:customStyle="1" w:styleId="78">
    <w:name w:val="批注框文本 Char"/>
    <w:link w:val="19"/>
    <w:qFormat/>
    <w:uiPriority w:val="0"/>
    <w:rPr>
      <w:rFonts w:ascii="宋体"/>
      <w:sz w:val="18"/>
      <w:szCs w:val="18"/>
    </w:rPr>
  </w:style>
  <w:style w:type="paragraph" w:customStyle="1" w:styleId="79">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0">
    <w:name w:val="章标题"/>
    <w:next w:val="1"/>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81">
    <w:name w:val="一级条标题"/>
    <w:next w:val="1"/>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82">
    <w:name w:val="二级条标题"/>
    <w:basedOn w:val="81"/>
    <w:next w:val="1"/>
    <w:qFormat/>
    <w:uiPriority w:val="0"/>
    <w:pPr>
      <w:numPr>
        <w:ilvl w:val="3"/>
      </w:numPr>
      <w:outlineLvl w:val="3"/>
    </w:pPr>
  </w:style>
  <w:style w:type="paragraph" w:customStyle="1" w:styleId="83">
    <w:name w:val="三级条标题"/>
    <w:basedOn w:val="82"/>
    <w:next w:val="1"/>
    <w:qFormat/>
    <w:uiPriority w:val="0"/>
    <w:pPr>
      <w:numPr>
        <w:ilvl w:val="4"/>
      </w:numPr>
      <w:outlineLvl w:val="4"/>
    </w:pPr>
  </w:style>
  <w:style w:type="paragraph" w:customStyle="1" w:styleId="84">
    <w:name w:val="四级条标题"/>
    <w:basedOn w:val="83"/>
    <w:next w:val="1"/>
    <w:qFormat/>
    <w:uiPriority w:val="0"/>
    <w:pPr>
      <w:numPr>
        <w:ilvl w:val="5"/>
      </w:numPr>
      <w:outlineLvl w:val="5"/>
    </w:pPr>
  </w:style>
  <w:style w:type="paragraph" w:customStyle="1" w:styleId="85">
    <w:name w:val="五级条标题"/>
    <w:basedOn w:val="84"/>
    <w:next w:val="1"/>
    <w:qFormat/>
    <w:uiPriority w:val="0"/>
    <w:pPr>
      <w:numPr>
        <w:ilvl w:val="6"/>
      </w:numPr>
      <w:outlineLvl w:val="6"/>
    </w:pPr>
  </w:style>
  <w:style w:type="character" w:customStyle="1" w:styleId="86">
    <w:name w:val="标题 3 Char"/>
    <w:basedOn w:val="29"/>
    <w:link w:val="5"/>
    <w:qFormat/>
    <w:uiPriority w:val="0"/>
    <w:rPr>
      <w:rFonts w:ascii="宋体"/>
      <w:b/>
      <w:sz w:val="30"/>
    </w:rPr>
  </w:style>
  <w:style w:type="paragraph" w:customStyle="1" w:styleId="87">
    <w:name w:val="TOC Heading"/>
    <w:basedOn w:val="2"/>
    <w:next w:val="1"/>
    <w:unhideWhenUsed/>
    <w:qFormat/>
    <w:uiPriority w:val="39"/>
    <w:pPr>
      <w:adjustRightInd/>
      <w:spacing w:before="480" w:after="0" w:line="276" w:lineRule="auto"/>
      <w:jc w:val="left"/>
      <w:outlineLvl w:val="9"/>
    </w:pPr>
    <w:rPr>
      <w:rFonts w:asciiTheme="majorHAnsi" w:hAnsiTheme="majorHAnsi" w:eastAsiaTheme="majorEastAsia" w:cstheme="majorBidi"/>
      <w:bCs/>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429AA5-596D-4306-B65A-E64E1CFA228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2341</Words>
  <Characters>13347</Characters>
  <Lines>111</Lines>
  <Paragraphs>31</Paragraphs>
  <TotalTime>77</TotalTime>
  <ScaleCrop>false</ScaleCrop>
  <LinksUpToDate>false</LinksUpToDate>
  <CharactersWithSpaces>15657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2018-10-22T02:26:00Z</dcterms:created>
  <dc:creator>XIAJIAN</dc:creator>
  <cp:lastModifiedBy>李震</cp:lastModifiedBy>
  <cp:lastPrinted>2018-10-22T02:39:00Z</cp:lastPrinted>
  <dcterms:modified xsi:type="dcterms:W3CDTF">2018-10-26T04:01:18Z</dcterms:modified>
  <dc:title>第1 章 概 述</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