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4"/>
        <w:spacing w:line="48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432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渔业安全生产隐患大排查大整治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问题清单、整改情况、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432" w:firstLineChars="1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销号清单、责任清单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4"/>
        <w:spacing w:line="480" w:lineRule="exact"/>
        <w:rPr>
          <w:rFonts w:hint="eastAsia" w:ascii="Times New Roman" w:hAnsi="Times New Roman" w:eastAsia="仿宋_GB2312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填报单位(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  <w:t>加盖公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章)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  <w:t>：</w:t>
      </w:r>
    </w:p>
    <w:tbl>
      <w:tblPr>
        <w:tblStyle w:val="7"/>
        <w:tblpPr w:leftFromText="180" w:rightFromText="180" w:vertAnchor="text" w:horzAnchor="page" w:tblpXSpec="center" w:tblpY="20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7"/>
        <w:gridCol w:w="1515"/>
        <w:gridCol w:w="1372"/>
        <w:gridCol w:w="1435"/>
        <w:gridCol w:w="1116"/>
        <w:gridCol w:w="1036"/>
        <w:gridCol w:w="1146"/>
        <w:gridCol w:w="1300"/>
        <w:gridCol w:w="1456"/>
        <w:gridCol w:w="1046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default" w:ascii="黑体" w:hAnsi="黑体" w:eastAsia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lang w:val="en-US" w:eastAsia="zh-CN"/>
              </w:rPr>
              <w:t>各县区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行业主管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部门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隐患清单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整改清单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责任清单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lang w:eastAsia="zh-CN"/>
              </w:rPr>
              <w:t>销号清单（是否销号）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rPr>
                <w:rFonts w:hint="eastAsia" w:ascii="黑体" w:eastAsia="黑体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rPr>
                <w:rFonts w:hint="eastAsia" w:ascii="黑体" w:eastAsia="黑体"/>
                <w:sz w:val="21"/>
              </w:rPr>
            </w:pPr>
          </w:p>
        </w:tc>
        <w:tc>
          <w:tcPr>
            <w:tcW w:w="1515" w:type="dxa"/>
            <w:vMerge w:val="continue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rPr>
                <w:rFonts w:hint="eastAsia" w:ascii="黑体" w:eastAsia="黑体"/>
                <w:sz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隐患问题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所在单位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隐患问题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主要情况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 xml:space="preserve">整改  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措施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整改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时限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整改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情况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整改责任</w:t>
            </w:r>
          </w:p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单位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260" w:lineRule="exact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整改责任人</w:t>
            </w:r>
          </w:p>
        </w:tc>
        <w:tc>
          <w:tcPr>
            <w:tcW w:w="1046" w:type="dxa"/>
            <w:vMerge w:val="continue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1"/>
              </w:rPr>
            </w:pPr>
          </w:p>
        </w:tc>
        <w:tc>
          <w:tcPr>
            <w:tcW w:w="12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eastAsia="黑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exac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lang w:eastAsia="zh-CN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lang w:eastAsia="zh-CN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/>
                <w:sz w:val="21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/>
                <w:sz w:val="21"/>
                <w:lang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/>
                <w:sz w:val="21"/>
                <w:lang w:val="en-US" w:eastAsia="zh-CN"/>
              </w:rPr>
            </w:pPr>
          </w:p>
        </w:tc>
      </w:tr>
    </w:tbl>
    <w:p>
      <w:pPr>
        <w:tabs>
          <w:tab w:val="right" w:pos="12756"/>
        </w:tabs>
        <w:spacing w:line="600" w:lineRule="exact"/>
        <w:rPr>
          <w:rFonts w:hint="eastAsia" w:ascii="仿宋_GB2312" w:hAnsi="宋体" w:eastAsia="仿宋_GB2312"/>
          <w:b/>
          <w:bCs/>
          <w:color w:val="auto"/>
          <w:sz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</w:rPr>
        <w:t xml:space="preserve">审核人：　   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>填报人：　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 xml:space="preserve">   填报日期：</w:t>
      </w:r>
      <w:r>
        <w:rPr>
          <w:rFonts w:hint="eastAsia" w:ascii="仿宋_GB2312" w:hAnsi="宋体" w:eastAsia="仿宋_GB2312"/>
          <w:b/>
          <w:bCs/>
          <w:color w:val="auto"/>
          <w:sz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bCs/>
          <w:color w:val="auto"/>
          <w:sz w:val="28"/>
        </w:rPr>
        <w:t>年   月  日</w:t>
      </w:r>
    </w:p>
    <w:p>
      <w:pPr>
        <w:tabs>
          <w:tab w:val="right" w:pos="12756"/>
        </w:tabs>
        <w:spacing w:line="600" w:lineRule="exact"/>
        <w:rPr>
          <w:rFonts w:hint="eastAsia" w:ascii="仿宋_GB2312" w:hAnsi="宋体" w:eastAsia="仿宋_GB2312"/>
          <w:b/>
          <w:bCs/>
          <w:color w:val="auto"/>
          <w:sz w:val="28"/>
          <w:lang w:eastAsia="zh-CN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6838" w:h="11906" w:orient="landscape"/>
          <w:pgMar w:top="1587" w:right="2098" w:bottom="1587" w:left="1984" w:header="851" w:footer="110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579" w:charSpace="-1668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 w:firstLineChars="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49300" cy="235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ind w:left="320" w:leftChars="100" w:right="320" w:rightChars="100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55pt;width:59pt;mso-position-horizontal-relative:margin;z-index:251659264;mso-width-relative:page;mso-height-relative:page;" filled="f" stroked="f" coordsize="21600,21600" o:gfxdata="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BnWZ10wAAAAQBAAAPAAAAAAAAAAEAIAAAACIAAABkcnMvZG93bnJldi54bWxQSwECFAAUAAAA&#10;CACHTuJA35N6+roBAABxAwAADgAAAAAAAAABACAAAAAi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ind w:left="320" w:leftChars="100" w:right="320" w:rightChars="100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 w:firstLineChars="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2023-03-04T11:46:32Z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0C177E19489348D2BF51EEA90D9686B3</vt:lpwstr>
  </property>
</Properties>
</file>