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B2EA7">
      <w:pPr>
        <w:spacing w:line="360" w:lineRule="auto"/>
        <w:jc w:val="center"/>
        <w:rPr>
          <w:rFonts w:ascii="宋体" w:hAnsi="宋体"/>
          <w:sz w:val="24"/>
        </w:rPr>
      </w:pPr>
    </w:p>
    <w:p w14:paraId="723E7933">
      <w:pPr>
        <w:spacing w:line="360" w:lineRule="auto"/>
        <w:jc w:val="center"/>
        <w:rPr>
          <w:rFonts w:ascii="宋体" w:hAnsi="宋体"/>
          <w:sz w:val="24"/>
        </w:rPr>
      </w:pPr>
    </w:p>
    <w:p w14:paraId="1AB4297C">
      <w:pPr>
        <w:spacing w:line="360" w:lineRule="auto"/>
        <w:jc w:val="center"/>
        <w:rPr>
          <w:rFonts w:ascii="宋体" w:hAnsi="宋体"/>
          <w:sz w:val="24"/>
        </w:rPr>
      </w:pPr>
    </w:p>
    <w:p w14:paraId="58475F0B">
      <w:pPr>
        <w:spacing w:line="360" w:lineRule="auto"/>
        <w:jc w:val="center"/>
        <w:rPr>
          <w:rFonts w:ascii="宋体" w:hAnsi="宋体"/>
          <w:sz w:val="24"/>
        </w:rPr>
      </w:pPr>
    </w:p>
    <w:p w14:paraId="42EF1FEC">
      <w:pPr>
        <w:widowControl/>
        <w:jc w:val="center"/>
        <w:rPr>
          <w:sz w:val="32"/>
          <w:szCs w:val="32"/>
          <w:highlight w:val="none"/>
        </w:rPr>
      </w:pPr>
    </w:p>
    <w:p w14:paraId="3DD9A6D2">
      <w:pPr>
        <w:widowControl/>
        <w:jc w:val="both"/>
        <w:rPr>
          <w:sz w:val="84"/>
          <w:szCs w:val="84"/>
          <w:highlight w:val="none"/>
        </w:rPr>
      </w:pPr>
    </w:p>
    <w:p w14:paraId="0B7F9C0C">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2025</w:t>
      </w:r>
      <w:r>
        <w:rPr>
          <w:rFonts w:hint="eastAsia" w:ascii="方正小标宋简体" w:eastAsia="方正小标宋简体"/>
          <w:b/>
          <w:bCs/>
          <w:sz w:val="84"/>
          <w:szCs w:val="84"/>
          <w:highlight w:val="none"/>
        </w:rPr>
        <w:t>年度</w:t>
      </w:r>
    </w:p>
    <w:p w14:paraId="1851FFE5">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福建省水产设计院</w:t>
      </w:r>
    </w:p>
    <w:p w14:paraId="2BADBAC5">
      <w:pPr>
        <w:widowControl/>
        <w:jc w:val="center"/>
        <w:rPr>
          <w:rFonts w:hint="eastAsia" w:ascii="方正小标宋简体" w:eastAsia="方正小标宋简体"/>
          <w:b/>
          <w:bCs/>
          <w:sz w:val="84"/>
          <w:szCs w:val="84"/>
          <w:highlight w:val="none"/>
          <w:lang w:val="en-US" w:eastAsia="zh-CN"/>
        </w:rPr>
        <w:sectPr>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szCs w:val="84"/>
          <w:highlight w:val="none"/>
          <w:lang w:val="en-US" w:eastAsia="zh-CN"/>
        </w:rPr>
        <w:t>单位</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7F7B1D39">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6694640F">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"_Toc256000052" </w:instrText>
          </w:r>
          <w:r>
            <w:fldChar w:fldCharType="separate"/>
          </w:r>
          <w:r>
            <w:rPr>
              <w:rStyle w:val="23"/>
              <w:rFonts w:ascii="仿宋" w:hAnsi="仿宋" w:eastAsia="仿宋" w:cs="仿宋"/>
            </w:rPr>
            <w:t>第一部分</w:t>
          </w:r>
          <w:r>
            <w:rPr>
              <w:rStyle w:val="23"/>
              <w:rFonts w:ascii="黑体" w:hAnsi="黑体" w:eastAsia="黑体" w:cs="黑体"/>
            </w:rPr>
            <w:t xml:space="preserve"> </w:t>
          </w:r>
          <w:r>
            <w:rPr>
              <w:rStyle w:val="23"/>
              <w:rFonts w:ascii="仿宋" w:hAnsi="仿宋" w:eastAsia="仿宋" w:cs="仿宋"/>
            </w:rPr>
            <w:t>单位概况</w:t>
          </w:r>
          <w:r>
            <w:tab/>
          </w:r>
          <w:r>
            <w:fldChar w:fldCharType="begin"/>
          </w:r>
          <w:r>
            <w:instrText xml:space="preserve"> PAGEREF _Toc256000052 \h </w:instrText>
          </w:r>
          <w:r>
            <w:fldChar w:fldCharType="separate"/>
          </w:r>
          <w:r>
            <w:t>1</w:t>
          </w:r>
          <w:r>
            <w:fldChar w:fldCharType="end"/>
          </w:r>
          <w:r>
            <w:fldChar w:fldCharType="end"/>
          </w:r>
        </w:p>
        <w:p w14:paraId="3CEBAF33">
          <w:pPr>
            <w:pStyle w:val="10"/>
            <w:tabs>
              <w:tab w:val="right" w:leader="dot" w:pos="9730"/>
            </w:tabs>
            <w:rPr>
              <w:rFonts w:asciiTheme="minorHAnsi" w:hAnsiTheme="minorHAnsi"/>
              <w:sz w:val="22"/>
            </w:rPr>
          </w:pPr>
          <w:r>
            <w:fldChar w:fldCharType="begin"/>
          </w:r>
          <w:r>
            <w:instrText xml:space="preserve"> HYPERLINK \l "_Toc256000053" </w:instrText>
          </w:r>
          <w:r>
            <w:fldChar w:fldCharType="separate"/>
          </w:r>
          <w:r>
            <w:rPr>
              <w:rStyle w:val="23"/>
              <w:rFonts w:ascii="仿宋" w:hAnsi="仿宋" w:eastAsia="仿宋" w:cs="仿宋"/>
            </w:rPr>
            <w:t>一、单位主要职责</w:t>
          </w:r>
          <w:r>
            <w:tab/>
          </w:r>
          <w:r>
            <w:fldChar w:fldCharType="begin"/>
          </w:r>
          <w:r>
            <w:instrText xml:space="preserve"> PAGEREF _Toc256000053 \h </w:instrText>
          </w:r>
          <w:r>
            <w:fldChar w:fldCharType="separate"/>
          </w:r>
          <w:r>
            <w:t>2</w:t>
          </w:r>
          <w:r>
            <w:fldChar w:fldCharType="end"/>
          </w:r>
          <w:r>
            <w:fldChar w:fldCharType="end"/>
          </w:r>
        </w:p>
        <w:p w14:paraId="3214A728">
          <w:pPr>
            <w:pStyle w:val="10"/>
            <w:tabs>
              <w:tab w:val="right" w:leader="dot" w:pos="9730"/>
            </w:tabs>
            <w:rPr>
              <w:rFonts w:asciiTheme="minorHAnsi" w:hAnsiTheme="minorHAnsi"/>
              <w:sz w:val="22"/>
            </w:rPr>
          </w:pPr>
          <w:r>
            <w:fldChar w:fldCharType="begin"/>
          </w:r>
          <w:r>
            <w:instrText xml:space="preserve"> HYPERLINK \l "_Toc256000054" </w:instrText>
          </w:r>
          <w:r>
            <w:fldChar w:fldCharType="separate"/>
          </w:r>
          <w:r>
            <w:rPr>
              <w:rStyle w:val="23"/>
              <w:rFonts w:ascii="仿宋" w:hAnsi="仿宋" w:eastAsia="仿宋" w:cs="仿宋"/>
            </w:rPr>
            <w:t>二、单位基本情况</w:t>
          </w:r>
          <w:r>
            <w:tab/>
          </w:r>
          <w:r>
            <w:fldChar w:fldCharType="begin"/>
          </w:r>
          <w:r>
            <w:instrText xml:space="preserve"> PAGEREF _Toc256000054 \h </w:instrText>
          </w:r>
          <w:r>
            <w:fldChar w:fldCharType="separate"/>
          </w:r>
          <w:r>
            <w:t>2</w:t>
          </w:r>
          <w:r>
            <w:fldChar w:fldCharType="end"/>
          </w:r>
          <w:r>
            <w:fldChar w:fldCharType="end"/>
          </w:r>
        </w:p>
        <w:p w14:paraId="573E6304">
          <w:pPr>
            <w:pStyle w:val="10"/>
            <w:tabs>
              <w:tab w:val="right" w:leader="dot" w:pos="9730"/>
            </w:tabs>
            <w:rPr>
              <w:rFonts w:asciiTheme="minorHAnsi" w:hAnsiTheme="minorHAnsi"/>
              <w:sz w:val="22"/>
            </w:rPr>
          </w:pPr>
          <w:r>
            <w:fldChar w:fldCharType="begin"/>
          </w:r>
          <w:r>
            <w:instrText xml:space="preserve"> HYPERLINK \l "_Toc256000055" </w:instrText>
          </w:r>
          <w:r>
            <w:fldChar w:fldCharType="separate"/>
          </w:r>
          <w:r>
            <w:rPr>
              <w:rStyle w:val="23"/>
              <w:rFonts w:ascii="仿宋" w:hAnsi="仿宋" w:eastAsia="仿宋" w:cs="仿宋"/>
            </w:rPr>
            <w:t>三、单位主要工作总结</w:t>
          </w:r>
          <w:r>
            <w:tab/>
          </w:r>
          <w:r>
            <w:fldChar w:fldCharType="begin"/>
          </w:r>
          <w:r>
            <w:instrText xml:space="preserve"> PAGEREF _Toc256000055 \h </w:instrText>
          </w:r>
          <w:r>
            <w:fldChar w:fldCharType="separate"/>
          </w:r>
          <w:r>
            <w:t>2</w:t>
          </w:r>
          <w:r>
            <w:fldChar w:fldCharType="end"/>
          </w:r>
          <w:r>
            <w:fldChar w:fldCharType="end"/>
          </w:r>
        </w:p>
        <w:p w14:paraId="5977A6FD">
          <w:pPr>
            <w:pStyle w:val="17"/>
            <w:tabs>
              <w:tab w:val="right" w:leader="dot" w:pos="9730"/>
            </w:tabs>
            <w:rPr>
              <w:rFonts w:asciiTheme="minorHAnsi" w:hAnsiTheme="minorHAnsi"/>
              <w:sz w:val="22"/>
            </w:rPr>
          </w:pPr>
          <w:r>
            <w:fldChar w:fldCharType="begin"/>
          </w:r>
          <w:r>
            <w:instrText xml:space="preserve"> HYPERLINK \l "_Toc256000056" </w:instrText>
          </w:r>
          <w:r>
            <w:fldChar w:fldCharType="separate"/>
          </w:r>
          <w:r>
            <w:rPr>
              <w:rStyle w:val="23"/>
              <w:rFonts w:ascii="仿宋" w:hAnsi="仿宋" w:eastAsia="仿宋" w:cs="仿宋"/>
            </w:rPr>
            <w:t>第二部分</w:t>
          </w:r>
          <w:r>
            <w:rPr>
              <w:rStyle w:val="23"/>
              <w:rFonts w:ascii="黑体" w:hAnsi="黑体" w:eastAsia="黑体" w:cs="黑体"/>
            </w:rPr>
            <w:t xml:space="preserve"> </w:t>
          </w:r>
          <w:r>
            <w:rPr>
              <w:rStyle w:val="23"/>
              <w:rFonts w:ascii="仿宋" w:hAnsi="仿宋" w:eastAsia="仿宋" w:cs="仿宋"/>
            </w:rPr>
            <w:t>2025年度单位决算表</w:t>
          </w:r>
          <w:r>
            <w:tab/>
          </w:r>
          <w:r>
            <w:fldChar w:fldCharType="begin"/>
          </w:r>
          <w:r>
            <w:instrText xml:space="preserve"> PAGEREF _Toc256000056 \h </w:instrText>
          </w:r>
          <w:r>
            <w:fldChar w:fldCharType="separate"/>
          </w:r>
          <w:r>
            <w:t>4</w:t>
          </w:r>
          <w:r>
            <w:fldChar w:fldCharType="end"/>
          </w:r>
          <w:r>
            <w:fldChar w:fldCharType="end"/>
          </w:r>
        </w:p>
        <w:p w14:paraId="29A46458">
          <w:pPr>
            <w:pStyle w:val="10"/>
            <w:tabs>
              <w:tab w:val="right" w:leader="dot" w:pos="9730"/>
            </w:tabs>
            <w:rPr>
              <w:rFonts w:asciiTheme="minorHAnsi" w:hAnsiTheme="minorHAnsi"/>
              <w:sz w:val="22"/>
            </w:rPr>
          </w:pPr>
          <w:r>
            <w:fldChar w:fldCharType="begin"/>
          </w:r>
          <w:r>
            <w:instrText xml:space="preserve"> HYPERLINK \l "_Toc256000057" </w:instrText>
          </w:r>
          <w:r>
            <w:fldChar w:fldCharType="separate"/>
          </w:r>
          <w:r>
            <w:rPr>
              <w:rStyle w:val="23"/>
              <w:rFonts w:ascii="仿宋" w:hAnsi="仿宋" w:eastAsia="仿宋" w:cs="仿宋"/>
            </w:rPr>
            <w:t>一、收入支出决算总表</w:t>
          </w:r>
          <w:r>
            <w:tab/>
          </w:r>
          <w:r>
            <w:fldChar w:fldCharType="begin"/>
          </w:r>
          <w:r>
            <w:instrText xml:space="preserve"> PAGEREF _Toc256000057 \h </w:instrText>
          </w:r>
          <w:r>
            <w:fldChar w:fldCharType="separate"/>
          </w:r>
          <w:r>
            <w:t>5</w:t>
          </w:r>
          <w:r>
            <w:fldChar w:fldCharType="end"/>
          </w:r>
          <w:r>
            <w:fldChar w:fldCharType="end"/>
          </w:r>
        </w:p>
        <w:p w14:paraId="41E2CDA0">
          <w:pPr>
            <w:pStyle w:val="10"/>
            <w:tabs>
              <w:tab w:val="right" w:leader="dot" w:pos="9730"/>
            </w:tabs>
            <w:rPr>
              <w:rFonts w:asciiTheme="minorHAnsi" w:hAnsiTheme="minorHAnsi"/>
              <w:sz w:val="22"/>
            </w:rPr>
          </w:pPr>
          <w:r>
            <w:fldChar w:fldCharType="begin"/>
          </w:r>
          <w:r>
            <w:instrText xml:space="preserve"> HYPERLINK \l "_Toc256000058" </w:instrText>
          </w:r>
          <w:r>
            <w:fldChar w:fldCharType="separate"/>
          </w:r>
          <w:r>
            <w:rPr>
              <w:rStyle w:val="23"/>
              <w:rFonts w:ascii="仿宋" w:hAnsi="仿宋" w:eastAsia="仿宋" w:cs="仿宋"/>
            </w:rPr>
            <w:t>二、收入决算表</w:t>
          </w:r>
          <w:r>
            <w:tab/>
          </w:r>
          <w:r>
            <w:fldChar w:fldCharType="begin"/>
          </w:r>
          <w:r>
            <w:instrText xml:space="preserve"> PAGEREF _Toc256000058 \h </w:instrText>
          </w:r>
          <w:r>
            <w:fldChar w:fldCharType="separate"/>
          </w:r>
          <w:r>
            <w:t>7</w:t>
          </w:r>
          <w:r>
            <w:fldChar w:fldCharType="end"/>
          </w:r>
          <w:r>
            <w:fldChar w:fldCharType="end"/>
          </w:r>
        </w:p>
        <w:p w14:paraId="1CFFA584">
          <w:pPr>
            <w:pStyle w:val="10"/>
            <w:tabs>
              <w:tab w:val="right" w:leader="dot" w:pos="9730"/>
            </w:tabs>
            <w:rPr>
              <w:rFonts w:asciiTheme="minorHAnsi" w:hAnsiTheme="minorHAnsi"/>
              <w:sz w:val="22"/>
            </w:rPr>
          </w:pPr>
          <w:r>
            <w:fldChar w:fldCharType="begin"/>
          </w:r>
          <w:r>
            <w:instrText xml:space="preserve"> HYPERLINK \l "_Toc256000059" </w:instrText>
          </w:r>
          <w:r>
            <w:fldChar w:fldCharType="separate"/>
          </w:r>
          <w:r>
            <w:rPr>
              <w:rStyle w:val="23"/>
              <w:rFonts w:ascii="仿宋" w:hAnsi="仿宋" w:eastAsia="仿宋" w:cs="仿宋"/>
            </w:rPr>
            <w:t>三、支出决算表</w:t>
          </w:r>
          <w:r>
            <w:tab/>
          </w:r>
          <w:r>
            <w:fldChar w:fldCharType="begin"/>
          </w:r>
          <w:r>
            <w:instrText xml:space="preserve"> PAGEREF _Toc256000059 \h </w:instrText>
          </w:r>
          <w:r>
            <w:fldChar w:fldCharType="separate"/>
          </w:r>
          <w:r>
            <w:t>9</w:t>
          </w:r>
          <w:r>
            <w:fldChar w:fldCharType="end"/>
          </w:r>
          <w:r>
            <w:fldChar w:fldCharType="end"/>
          </w:r>
        </w:p>
        <w:p w14:paraId="23F26C7E">
          <w:pPr>
            <w:pStyle w:val="10"/>
            <w:tabs>
              <w:tab w:val="right" w:leader="dot" w:pos="9730"/>
            </w:tabs>
            <w:rPr>
              <w:rFonts w:asciiTheme="minorHAnsi" w:hAnsiTheme="minorHAnsi"/>
              <w:sz w:val="22"/>
            </w:rPr>
          </w:pPr>
          <w:r>
            <w:fldChar w:fldCharType="begin"/>
          </w:r>
          <w:r>
            <w:instrText xml:space="preserve"> HYPERLINK \l "_Toc256000060" </w:instrText>
          </w:r>
          <w:r>
            <w:fldChar w:fldCharType="separate"/>
          </w:r>
          <w:r>
            <w:rPr>
              <w:rStyle w:val="23"/>
              <w:rFonts w:ascii="仿宋" w:hAnsi="仿宋" w:eastAsia="仿宋" w:cs="仿宋"/>
            </w:rPr>
            <w:t>四、财政拨款收入支出决算总表</w:t>
          </w:r>
          <w:r>
            <w:tab/>
          </w:r>
          <w:r>
            <w:fldChar w:fldCharType="begin"/>
          </w:r>
          <w:r>
            <w:instrText xml:space="preserve"> PAGEREF _Toc256000060 \h </w:instrText>
          </w:r>
          <w:r>
            <w:fldChar w:fldCharType="separate"/>
          </w:r>
          <w:r>
            <w:t>11</w:t>
          </w:r>
          <w:r>
            <w:fldChar w:fldCharType="end"/>
          </w:r>
          <w:r>
            <w:fldChar w:fldCharType="end"/>
          </w:r>
        </w:p>
        <w:p w14:paraId="5BB36E48">
          <w:pPr>
            <w:pStyle w:val="10"/>
            <w:tabs>
              <w:tab w:val="right" w:leader="dot" w:pos="9730"/>
            </w:tabs>
            <w:rPr>
              <w:rFonts w:asciiTheme="minorHAnsi" w:hAnsiTheme="minorHAnsi"/>
              <w:sz w:val="22"/>
            </w:rPr>
          </w:pPr>
          <w:r>
            <w:fldChar w:fldCharType="begin"/>
          </w:r>
          <w:r>
            <w:instrText xml:space="preserve"> HYPERLINK \l "_Toc256000061" </w:instrText>
          </w:r>
          <w:r>
            <w:fldChar w:fldCharType="separate"/>
          </w:r>
          <w:r>
            <w:rPr>
              <w:rStyle w:val="23"/>
              <w:rFonts w:ascii="仿宋" w:hAnsi="仿宋" w:eastAsia="仿宋" w:cs="仿宋"/>
            </w:rPr>
            <w:t>五、一般公共预算财政拨款支出决算表</w:t>
          </w:r>
          <w:r>
            <w:tab/>
          </w:r>
          <w:r>
            <w:fldChar w:fldCharType="begin"/>
          </w:r>
          <w:r>
            <w:instrText xml:space="preserve"> PAGEREF _Toc256000061 \h </w:instrText>
          </w:r>
          <w:r>
            <w:fldChar w:fldCharType="separate"/>
          </w:r>
          <w:r>
            <w:t>14</w:t>
          </w:r>
          <w:r>
            <w:fldChar w:fldCharType="end"/>
          </w:r>
          <w:r>
            <w:fldChar w:fldCharType="end"/>
          </w:r>
        </w:p>
        <w:p w14:paraId="040F64CF">
          <w:pPr>
            <w:pStyle w:val="10"/>
            <w:tabs>
              <w:tab w:val="right" w:leader="dot" w:pos="9730"/>
            </w:tabs>
            <w:rPr>
              <w:rFonts w:asciiTheme="minorHAnsi" w:hAnsiTheme="minorHAnsi"/>
              <w:sz w:val="22"/>
            </w:rPr>
          </w:pPr>
          <w:r>
            <w:fldChar w:fldCharType="begin"/>
          </w:r>
          <w:r>
            <w:instrText xml:space="preserve"> HYPERLINK \l "_Toc256000062" </w:instrText>
          </w:r>
          <w:r>
            <w:fldChar w:fldCharType="separate"/>
          </w:r>
          <w:r>
            <w:rPr>
              <w:rStyle w:val="23"/>
              <w:rFonts w:ascii="仿宋" w:hAnsi="仿宋" w:eastAsia="仿宋" w:cs="仿宋"/>
            </w:rPr>
            <w:t>六、一般公共预算财政拨款基本支出决算表</w:t>
          </w:r>
          <w:r>
            <w:tab/>
          </w:r>
          <w:r>
            <w:fldChar w:fldCharType="begin"/>
          </w:r>
          <w:r>
            <w:instrText xml:space="preserve"> PAGEREF _Toc256000062 \h </w:instrText>
          </w:r>
          <w:r>
            <w:fldChar w:fldCharType="separate"/>
          </w:r>
          <w:r>
            <w:t>16</w:t>
          </w:r>
          <w:r>
            <w:fldChar w:fldCharType="end"/>
          </w:r>
          <w:r>
            <w:fldChar w:fldCharType="end"/>
          </w:r>
        </w:p>
        <w:p w14:paraId="6E6A8EBD">
          <w:pPr>
            <w:pStyle w:val="10"/>
            <w:tabs>
              <w:tab w:val="right" w:leader="dot" w:pos="9730"/>
            </w:tabs>
            <w:rPr>
              <w:rFonts w:asciiTheme="minorHAnsi" w:hAnsiTheme="minorHAnsi"/>
              <w:sz w:val="22"/>
            </w:rPr>
          </w:pPr>
          <w:r>
            <w:fldChar w:fldCharType="begin"/>
          </w:r>
          <w:r>
            <w:instrText xml:space="preserve"> HYPERLINK \l "_Toc256000063" </w:instrText>
          </w:r>
          <w:r>
            <w:fldChar w:fldCharType="separate"/>
          </w:r>
          <w:r>
            <w:rPr>
              <w:rStyle w:val="23"/>
              <w:rFonts w:ascii="仿宋" w:hAnsi="仿宋" w:eastAsia="仿宋" w:cs="仿宋"/>
            </w:rPr>
            <w:t>七、一般公共预算财政拨款“三公”经费支出决算表</w:t>
          </w:r>
          <w:r>
            <w:tab/>
          </w:r>
          <w:r>
            <w:fldChar w:fldCharType="begin"/>
          </w:r>
          <w:r>
            <w:instrText xml:space="preserve"> PAGEREF _Toc256000063 \h </w:instrText>
          </w:r>
          <w:r>
            <w:fldChar w:fldCharType="separate"/>
          </w:r>
          <w:r>
            <w:t>19</w:t>
          </w:r>
          <w:r>
            <w:fldChar w:fldCharType="end"/>
          </w:r>
          <w:r>
            <w:fldChar w:fldCharType="end"/>
          </w:r>
        </w:p>
        <w:p w14:paraId="0C341E9B">
          <w:pPr>
            <w:pStyle w:val="10"/>
            <w:tabs>
              <w:tab w:val="right" w:leader="dot" w:pos="9730"/>
            </w:tabs>
            <w:rPr>
              <w:rFonts w:asciiTheme="minorHAnsi" w:hAnsiTheme="minorHAnsi"/>
              <w:sz w:val="22"/>
            </w:rPr>
          </w:pPr>
          <w:r>
            <w:fldChar w:fldCharType="begin"/>
          </w:r>
          <w:r>
            <w:instrText xml:space="preserve"> HYPERLINK \l "_Toc256000064" </w:instrText>
          </w:r>
          <w:r>
            <w:fldChar w:fldCharType="separate"/>
          </w:r>
          <w:r>
            <w:rPr>
              <w:rStyle w:val="23"/>
              <w:rFonts w:ascii="仿宋" w:hAnsi="仿宋" w:eastAsia="仿宋" w:cs="仿宋"/>
            </w:rPr>
            <w:t>八、政府性基金预算财政拨款收入支出决算表</w:t>
          </w:r>
          <w:r>
            <w:tab/>
          </w:r>
          <w:r>
            <w:fldChar w:fldCharType="begin"/>
          </w:r>
          <w:r>
            <w:instrText xml:space="preserve"> PAGEREF _Toc256000064 \h </w:instrText>
          </w:r>
          <w:r>
            <w:fldChar w:fldCharType="separate"/>
          </w:r>
          <w:r>
            <w:t>20</w:t>
          </w:r>
          <w:r>
            <w:fldChar w:fldCharType="end"/>
          </w:r>
          <w:r>
            <w:fldChar w:fldCharType="end"/>
          </w:r>
        </w:p>
        <w:p w14:paraId="42A4708A">
          <w:pPr>
            <w:pStyle w:val="10"/>
            <w:tabs>
              <w:tab w:val="right" w:leader="dot" w:pos="9730"/>
            </w:tabs>
            <w:rPr>
              <w:rFonts w:asciiTheme="minorHAnsi" w:hAnsiTheme="minorHAnsi"/>
              <w:sz w:val="22"/>
            </w:rPr>
          </w:pPr>
          <w:r>
            <w:fldChar w:fldCharType="begin"/>
          </w:r>
          <w:r>
            <w:instrText xml:space="preserve"> HYPERLINK \l "_Toc256000065" </w:instrText>
          </w:r>
          <w:r>
            <w:fldChar w:fldCharType="separate"/>
          </w:r>
          <w:r>
            <w:rPr>
              <w:rStyle w:val="23"/>
              <w:rFonts w:ascii="仿宋" w:hAnsi="仿宋" w:eastAsia="仿宋" w:cs="仿宋"/>
            </w:rPr>
            <w:t>九、国有资本经营预算财政拨款支出决算表</w:t>
          </w:r>
          <w:r>
            <w:tab/>
          </w:r>
          <w:r>
            <w:fldChar w:fldCharType="begin"/>
          </w:r>
          <w:r>
            <w:instrText xml:space="preserve"> PAGEREF _Toc256000065 \h </w:instrText>
          </w:r>
          <w:r>
            <w:fldChar w:fldCharType="separate"/>
          </w:r>
          <w:r>
            <w:t>21</w:t>
          </w:r>
          <w:r>
            <w:fldChar w:fldCharType="end"/>
          </w:r>
          <w:r>
            <w:fldChar w:fldCharType="end"/>
          </w:r>
        </w:p>
        <w:p w14:paraId="4551E96D">
          <w:pPr>
            <w:pStyle w:val="17"/>
            <w:tabs>
              <w:tab w:val="right" w:leader="dot" w:pos="9730"/>
            </w:tabs>
            <w:rPr>
              <w:rFonts w:asciiTheme="minorHAnsi" w:hAnsiTheme="minorHAnsi"/>
              <w:sz w:val="22"/>
            </w:rPr>
          </w:pPr>
          <w:r>
            <w:fldChar w:fldCharType="begin"/>
          </w:r>
          <w:r>
            <w:instrText xml:space="preserve"> HYPERLINK \l "_Toc256000066" </w:instrText>
          </w:r>
          <w:r>
            <w:fldChar w:fldCharType="separate"/>
          </w:r>
          <w:r>
            <w:rPr>
              <w:rStyle w:val="23"/>
              <w:rFonts w:ascii="仿宋" w:hAnsi="仿宋" w:eastAsia="仿宋" w:cs="仿宋"/>
            </w:rPr>
            <w:t>第三部分</w:t>
          </w:r>
          <w:r>
            <w:rPr>
              <w:rStyle w:val="23"/>
              <w:rFonts w:ascii="黑体" w:hAnsi="黑体" w:eastAsia="黑体" w:cs="黑体"/>
            </w:rPr>
            <w:t xml:space="preserve"> </w:t>
          </w:r>
          <w:r>
            <w:rPr>
              <w:rStyle w:val="23"/>
              <w:rFonts w:ascii="仿宋" w:hAnsi="仿宋" w:eastAsia="仿宋" w:cs="仿宋"/>
            </w:rPr>
            <w:t>2025年度单位决算情况说明</w:t>
          </w:r>
          <w:r>
            <w:tab/>
          </w:r>
          <w:r>
            <w:fldChar w:fldCharType="begin"/>
          </w:r>
          <w:r>
            <w:instrText xml:space="preserve"> PAGEREF _Toc256000066 \h </w:instrText>
          </w:r>
          <w:r>
            <w:fldChar w:fldCharType="separate"/>
          </w:r>
          <w:r>
            <w:t>22</w:t>
          </w:r>
          <w:r>
            <w:fldChar w:fldCharType="end"/>
          </w:r>
          <w:r>
            <w:fldChar w:fldCharType="end"/>
          </w:r>
        </w:p>
        <w:p w14:paraId="300B644B">
          <w:pPr>
            <w:pStyle w:val="10"/>
            <w:tabs>
              <w:tab w:val="right" w:leader="dot" w:pos="9730"/>
            </w:tabs>
            <w:rPr>
              <w:rFonts w:asciiTheme="minorHAnsi" w:hAnsiTheme="minorHAnsi"/>
              <w:sz w:val="22"/>
            </w:rPr>
          </w:pPr>
          <w:r>
            <w:fldChar w:fldCharType="begin"/>
          </w:r>
          <w:r>
            <w:instrText xml:space="preserve"> HYPERLINK \l "_Toc256000067" </w:instrText>
          </w:r>
          <w:r>
            <w:fldChar w:fldCharType="separate"/>
          </w:r>
          <w:r>
            <w:rPr>
              <w:rStyle w:val="23"/>
              <w:rFonts w:ascii="仿宋" w:hAnsi="仿宋" w:eastAsia="仿宋" w:cs="仿宋"/>
            </w:rPr>
            <w:t>一、收入支出决算总体情况说明</w:t>
          </w:r>
          <w:r>
            <w:tab/>
          </w:r>
          <w:r>
            <w:fldChar w:fldCharType="begin"/>
          </w:r>
          <w:r>
            <w:instrText xml:space="preserve"> PAGEREF _Toc256000067 \h </w:instrText>
          </w:r>
          <w:r>
            <w:fldChar w:fldCharType="separate"/>
          </w:r>
          <w:r>
            <w:t>23</w:t>
          </w:r>
          <w:r>
            <w:fldChar w:fldCharType="end"/>
          </w:r>
          <w:r>
            <w:fldChar w:fldCharType="end"/>
          </w:r>
        </w:p>
        <w:p w14:paraId="7861A8E3">
          <w:pPr>
            <w:pStyle w:val="10"/>
            <w:tabs>
              <w:tab w:val="right" w:leader="dot" w:pos="9730"/>
            </w:tabs>
            <w:rPr>
              <w:rFonts w:asciiTheme="minorHAnsi" w:hAnsiTheme="minorHAnsi"/>
              <w:sz w:val="22"/>
            </w:rPr>
          </w:pPr>
          <w:r>
            <w:fldChar w:fldCharType="begin"/>
          </w:r>
          <w:r>
            <w:instrText xml:space="preserve"> HYPERLINK \l "_Toc256000068" </w:instrText>
          </w:r>
          <w:r>
            <w:fldChar w:fldCharType="separate"/>
          </w:r>
          <w:r>
            <w:rPr>
              <w:rStyle w:val="23"/>
              <w:rFonts w:ascii="仿宋" w:hAnsi="仿宋" w:eastAsia="仿宋" w:cs="仿宋"/>
            </w:rPr>
            <w:t>二、财政拨款收入支出决算总体情况说明</w:t>
          </w:r>
          <w:r>
            <w:tab/>
          </w:r>
          <w:r>
            <w:fldChar w:fldCharType="begin"/>
          </w:r>
          <w:r>
            <w:instrText xml:space="preserve"> PAGEREF _Toc256000068 \h </w:instrText>
          </w:r>
          <w:r>
            <w:fldChar w:fldCharType="separate"/>
          </w:r>
          <w:r>
            <w:t>24</w:t>
          </w:r>
          <w:r>
            <w:fldChar w:fldCharType="end"/>
          </w:r>
          <w:r>
            <w:fldChar w:fldCharType="end"/>
          </w:r>
        </w:p>
        <w:p w14:paraId="126C3EA2">
          <w:pPr>
            <w:pStyle w:val="10"/>
            <w:tabs>
              <w:tab w:val="right" w:leader="dot" w:pos="9730"/>
            </w:tabs>
            <w:rPr>
              <w:rFonts w:asciiTheme="minorHAnsi" w:hAnsiTheme="minorHAnsi"/>
              <w:sz w:val="22"/>
            </w:rPr>
          </w:pPr>
          <w:r>
            <w:fldChar w:fldCharType="begin"/>
          </w:r>
          <w:r>
            <w:instrText xml:space="preserve"> HYPERLINK \l "_Toc256000069" </w:instrText>
          </w:r>
          <w:r>
            <w:fldChar w:fldCharType="separate"/>
          </w:r>
          <w:r>
            <w:rPr>
              <w:rStyle w:val="23"/>
              <w:rFonts w:ascii="仿宋" w:hAnsi="仿宋" w:eastAsia="仿宋" w:cs="仿宋"/>
            </w:rPr>
            <w:t>三、一般公共预算财政拨款支出决算情况说明</w:t>
          </w:r>
          <w:r>
            <w:tab/>
          </w:r>
          <w:r>
            <w:fldChar w:fldCharType="begin"/>
          </w:r>
          <w:r>
            <w:instrText xml:space="preserve"> PAGEREF _Toc256000069 \h </w:instrText>
          </w:r>
          <w:r>
            <w:fldChar w:fldCharType="separate"/>
          </w:r>
          <w:r>
            <w:t>24</w:t>
          </w:r>
          <w:r>
            <w:fldChar w:fldCharType="end"/>
          </w:r>
          <w:r>
            <w:fldChar w:fldCharType="end"/>
          </w:r>
        </w:p>
        <w:p w14:paraId="727151BB">
          <w:pPr>
            <w:pStyle w:val="10"/>
            <w:tabs>
              <w:tab w:val="right" w:leader="dot" w:pos="9730"/>
            </w:tabs>
            <w:rPr>
              <w:rFonts w:asciiTheme="minorHAnsi" w:hAnsiTheme="minorHAnsi"/>
              <w:sz w:val="22"/>
            </w:rPr>
          </w:pPr>
          <w:r>
            <w:fldChar w:fldCharType="begin"/>
          </w:r>
          <w:r>
            <w:instrText xml:space="preserve"> HYPERLINK \l "_Toc256000070" </w:instrText>
          </w:r>
          <w:r>
            <w:fldChar w:fldCharType="separate"/>
          </w:r>
          <w:r>
            <w:rPr>
              <w:rStyle w:val="23"/>
              <w:rFonts w:ascii="仿宋" w:hAnsi="仿宋" w:eastAsia="仿宋" w:cs="仿宋"/>
            </w:rPr>
            <w:t>四、政府性基金预算财政拨款支出决算情况说明</w:t>
          </w:r>
          <w:r>
            <w:tab/>
          </w:r>
          <w:r>
            <w:fldChar w:fldCharType="begin"/>
          </w:r>
          <w:r>
            <w:instrText xml:space="preserve"> PAGEREF _Toc256000070 \h </w:instrText>
          </w:r>
          <w:r>
            <w:fldChar w:fldCharType="separate"/>
          </w:r>
          <w:r>
            <w:t>25</w:t>
          </w:r>
          <w:r>
            <w:fldChar w:fldCharType="end"/>
          </w:r>
          <w:r>
            <w:fldChar w:fldCharType="end"/>
          </w:r>
        </w:p>
        <w:p w14:paraId="108AADDD">
          <w:pPr>
            <w:pStyle w:val="10"/>
            <w:tabs>
              <w:tab w:val="right" w:leader="dot" w:pos="9730"/>
            </w:tabs>
            <w:rPr>
              <w:rFonts w:asciiTheme="minorHAnsi" w:hAnsiTheme="minorHAnsi"/>
              <w:sz w:val="22"/>
            </w:rPr>
          </w:pPr>
          <w:r>
            <w:fldChar w:fldCharType="begin"/>
          </w:r>
          <w:r>
            <w:instrText xml:space="preserve"> HYPERLINK \l "_Toc256000071" </w:instrText>
          </w:r>
          <w:r>
            <w:fldChar w:fldCharType="separate"/>
          </w:r>
          <w:r>
            <w:rPr>
              <w:rStyle w:val="23"/>
              <w:rFonts w:ascii="仿宋" w:hAnsi="仿宋" w:eastAsia="仿宋" w:cs="仿宋"/>
            </w:rPr>
            <w:t>五、国有资本经营预算财政拨款支出决算情况说明</w:t>
          </w:r>
          <w:r>
            <w:tab/>
          </w:r>
          <w:r>
            <w:fldChar w:fldCharType="begin"/>
          </w:r>
          <w:r>
            <w:instrText xml:space="preserve"> PAGEREF _Toc256000071 \h </w:instrText>
          </w:r>
          <w:r>
            <w:fldChar w:fldCharType="separate"/>
          </w:r>
          <w:r>
            <w:t>25</w:t>
          </w:r>
          <w:r>
            <w:fldChar w:fldCharType="end"/>
          </w:r>
          <w:r>
            <w:fldChar w:fldCharType="end"/>
          </w:r>
        </w:p>
        <w:p w14:paraId="6B2FE790">
          <w:pPr>
            <w:pStyle w:val="10"/>
            <w:tabs>
              <w:tab w:val="right" w:leader="dot" w:pos="9730"/>
            </w:tabs>
            <w:rPr>
              <w:rFonts w:asciiTheme="minorHAnsi" w:hAnsiTheme="minorHAnsi"/>
              <w:sz w:val="22"/>
            </w:rPr>
          </w:pPr>
          <w:r>
            <w:fldChar w:fldCharType="begin"/>
          </w:r>
          <w:r>
            <w:instrText xml:space="preserve"> HYPERLINK \l "_Toc256000072" </w:instrText>
          </w:r>
          <w:r>
            <w:fldChar w:fldCharType="separate"/>
          </w:r>
          <w:r>
            <w:rPr>
              <w:rStyle w:val="23"/>
              <w:rFonts w:ascii="仿宋" w:hAnsi="仿宋" w:eastAsia="仿宋" w:cs="仿宋"/>
            </w:rPr>
            <w:t>六、一般公共预算财政拨款基本支出决算情况说明</w:t>
          </w:r>
          <w:r>
            <w:tab/>
          </w:r>
          <w:r>
            <w:fldChar w:fldCharType="begin"/>
          </w:r>
          <w:r>
            <w:instrText xml:space="preserve"> PAGEREF _Toc256000072 \h </w:instrText>
          </w:r>
          <w:r>
            <w:fldChar w:fldCharType="separate"/>
          </w:r>
          <w:r>
            <w:t>25</w:t>
          </w:r>
          <w:r>
            <w:fldChar w:fldCharType="end"/>
          </w:r>
          <w:r>
            <w:fldChar w:fldCharType="end"/>
          </w:r>
        </w:p>
        <w:p w14:paraId="4659B047">
          <w:pPr>
            <w:pStyle w:val="10"/>
            <w:tabs>
              <w:tab w:val="right" w:leader="dot" w:pos="9730"/>
            </w:tabs>
            <w:rPr>
              <w:rFonts w:asciiTheme="minorHAnsi" w:hAnsiTheme="minorHAnsi"/>
              <w:sz w:val="22"/>
            </w:rPr>
          </w:pPr>
          <w:r>
            <w:fldChar w:fldCharType="begin"/>
          </w:r>
          <w:r>
            <w:instrText xml:space="preserve"> HYPERLINK \l "_Toc256000073" </w:instrText>
          </w:r>
          <w:r>
            <w:fldChar w:fldCharType="separate"/>
          </w:r>
          <w:r>
            <w:rPr>
              <w:rStyle w:val="23"/>
              <w:rFonts w:ascii="仿宋" w:hAnsi="仿宋" w:eastAsia="仿宋" w:cs="仿宋"/>
            </w:rPr>
            <w:t>七、一般公共预算财政拨款“三公”经费支出决算情况说明</w:t>
          </w:r>
          <w:r>
            <w:tab/>
          </w:r>
          <w:r>
            <w:fldChar w:fldCharType="begin"/>
          </w:r>
          <w:r>
            <w:instrText xml:space="preserve"> PAGEREF _Toc256000073 \h </w:instrText>
          </w:r>
          <w:r>
            <w:fldChar w:fldCharType="separate"/>
          </w:r>
          <w:r>
            <w:t>26</w:t>
          </w:r>
          <w:r>
            <w:fldChar w:fldCharType="end"/>
          </w:r>
          <w:r>
            <w:fldChar w:fldCharType="end"/>
          </w:r>
        </w:p>
        <w:p w14:paraId="5B1DBB3A">
          <w:pPr>
            <w:pStyle w:val="10"/>
            <w:tabs>
              <w:tab w:val="right" w:leader="dot" w:pos="9730"/>
            </w:tabs>
            <w:rPr>
              <w:rFonts w:asciiTheme="minorHAnsi" w:hAnsiTheme="minorHAnsi"/>
              <w:sz w:val="22"/>
            </w:rPr>
          </w:pPr>
          <w:r>
            <w:fldChar w:fldCharType="begin"/>
          </w:r>
          <w:r>
            <w:instrText xml:space="preserve"> HYPERLINK \l "_Toc256000074" </w:instrText>
          </w:r>
          <w:r>
            <w:fldChar w:fldCharType="separate"/>
          </w:r>
          <w:r>
            <w:rPr>
              <w:rStyle w:val="23"/>
              <w:rFonts w:ascii="仿宋" w:hAnsi="仿宋" w:eastAsia="仿宋" w:cs="仿宋"/>
            </w:rPr>
            <w:t>八、预算绩效情况说明</w:t>
          </w:r>
          <w:r>
            <w:tab/>
          </w:r>
          <w:r>
            <w:fldChar w:fldCharType="begin"/>
          </w:r>
          <w:r>
            <w:instrText xml:space="preserve"> PAGEREF _Toc256000074 \h </w:instrText>
          </w:r>
          <w:r>
            <w:fldChar w:fldCharType="separate"/>
          </w:r>
          <w:r>
            <w:t>26</w:t>
          </w:r>
          <w:r>
            <w:fldChar w:fldCharType="end"/>
          </w:r>
          <w:r>
            <w:fldChar w:fldCharType="end"/>
          </w:r>
        </w:p>
        <w:p w14:paraId="420F3352">
          <w:pPr>
            <w:pStyle w:val="10"/>
            <w:tabs>
              <w:tab w:val="right" w:leader="dot" w:pos="9730"/>
            </w:tabs>
            <w:rPr>
              <w:rFonts w:asciiTheme="minorHAnsi" w:hAnsiTheme="minorHAnsi"/>
              <w:sz w:val="22"/>
            </w:rPr>
          </w:pPr>
          <w:r>
            <w:fldChar w:fldCharType="begin"/>
          </w:r>
          <w:r>
            <w:instrText xml:space="preserve"> HYPERLINK \l "_Toc256000075" </w:instrText>
          </w:r>
          <w:r>
            <w:fldChar w:fldCharType="separate"/>
          </w:r>
          <w:r>
            <w:rPr>
              <w:rStyle w:val="23"/>
              <w:rFonts w:ascii="仿宋" w:hAnsi="仿宋" w:eastAsia="仿宋" w:cs="仿宋"/>
            </w:rPr>
            <w:t>九、其他重要事项说明</w:t>
          </w:r>
          <w:r>
            <w:tab/>
          </w:r>
          <w:r>
            <w:fldChar w:fldCharType="begin"/>
          </w:r>
          <w:r>
            <w:instrText xml:space="preserve"> PAGEREF _Toc256000075 \h </w:instrText>
          </w:r>
          <w:r>
            <w:fldChar w:fldCharType="separate"/>
          </w:r>
          <w:r>
            <w:t>27</w:t>
          </w:r>
          <w:r>
            <w:fldChar w:fldCharType="end"/>
          </w:r>
          <w:r>
            <w:fldChar w:fldCharType="end"/>
          </w:r>
        </w:p>
        <w:p w14:paraId="10261963">
          <w:pPr>
            <w:pStyle w:val="17"/>
            <w:tabs>
              <w:tab w:val="right" w:leader="dot" w:pos="9730"/>
            </w:tabs>
            <w:rPr>
              <w:rFonts w:asciiTheme="minorHAnsi" w:hAnsiTheme="minorHAnsi"/>
              <w:sz w:val="22"/>
            </w:rPr>
          </w:pPr>
          <w:r>
            <w:fldChar w:fldCharType="begin"/>
          </w:r>
          <w:r>
            <w:instrText xml:space="preserve"> HYPERLINK \l "_Toc256000076" </w:instrText>
          </w:r>
          <w:r>
            <w:fldChar w:fldCharType="separate"/>
          </w:r>
          <w:r>
            <w:rPr>
              <w:rStyle w:val="23"/>
              <w:rFonts w:ascii="仿宋" w:hAnsi="仿宋" w:eastAsia="仿宋" w:cs="仿宋"/>
            </w:rPr>
            <w:t>第四部分</w:t>
          </w:r>
          <w:r>
            <w:rPr>
              <w:rStyle w:val="23"/>
              <w:rFonts w:ascii="黑体" w:hAnsi="黑体" w:eastAsia="黑体" w:cs="黑体"/>
            </w:rPr>
            <w:t xml:space="preserve"> </w:t>
          </w:r>
          <w:r>
            <w:rPr>
              <w:rStyle w:val="23"/>
              <w:rFonts w:ascii="仿宋" w:hAnsi="仿宋" w:eastAsia="仿宋" w:cs="仿宋"/>
            </w:rPr>
            <w:t>名词解释</w:t>
          </w:r>
          <w:r>
            <w:tab/>
          </w:r>
          <w:r>
            <w:fldChar w:fldCharType="begin"/>
          </w:r>
          <w:r>
            <w:instrText xml:space="preserve"> PAGEREF _Toc256000076 \h </w:instrText>
          </w:r>
          <w:r>
            <w:fldChar w:fldCharType="separate"/>
          </w:r>
          <w:r>
            <w:t>28</w:t>
          </w:r>
          <w:r>
            <w:fldChar w:fldCharType="end"/>
          </w:r>
          <w:r>
            <w:fldChar w:fldCharType="end"/>
          </w:r>
        </w:p>
        <w:p w14:paraId="5177EFBC">
          <w:pPr>
            <w:pStyle w:val="17"/>
            <w:tabs>
              <w:tab w:val="right" w:leader="dot" w:pos="9730"/>
            </w:tabs>
            <w:rPr>
              <w:rFonts w:asciiTheme="minorHAnsi" w:hAnsiTheme="minorHAnsi"/>
              <w:sz w:val="22"/>
            </w:rPr>
          </w:pPr>
          <w:r>
            <w:fldChar w:fldCharType="begin"/>
          </w:r>
          <w:r>
            <w:instrText xml:space="preserve"> HYPERLINK \l "_Toc256000077" </w:instrText>
          </w:r>
          <w:r>
            <w:fldChar w:fldCharType="separate"/>
          </w:r>
          <w:r>
            <w:rPr>
              <w:rStyle w:val="23"/>
              <w:rFonts w:ascii="仿宋" w:hAnsi="仿宋" w:eastAsia="仿宋" w:cs="仿宋"/>
            </w:rPr>
            <w:t>第五部分</w:t>
          </w:r>
          <w:r>
            <w:rPr>
              <w:rStyle w:val="23"/>
              <w:rFonts w:ascii="黑体" w:hAnsi="黑体" w:eastAsia="黑体" w:cs="黑体"/>
            </w:rPr>
            <w:t xml:space="preserve"> </w:t>
          </w:r>
          <w:r>
            <w:rPr>
              <w:rStyle w:val="23"/>
              <w:rFonts w:ascii="仿宋" w:hAnsi="仿宋" w:eastAsia="仿宋" w:cs="仿宋"/>
            </w:rPr>
            <w:t>附件</w:t>
          </w:r>
          <w:r>
            <w:tab/>
          </w:r>
          <w:r>
            <w:fldChar w:fldCharType="begin"/>
          </w:r>
          <w:r>
            <w:instrText xml:space="preserve"> PAGEREF _Toc256000077 \h </w:instrText>
          </w:r>
          <w:r>
            <w:fldChar w:fldCharType="separate"/>
          </w:r>
          <w:r>
            <w:t>31</w:t>
          </w:r>
          <w:r>
            <w:fldChar w:fldCharType="end"/>
          </w:r>
          <w:r>
            <w:fldChar w:fldCharType="end"/>
          </w:r>
        </w:p>
        <w:p w14:paraId="39262BC6">
          <w:pPr>
            <w:adjustRightInd w:val="0"/>
            <w:snapToGrid w:val="0"/>
            <w:rPr>
              <w:rFonts w:ascii="宋体" w:hAnsi="宋体"/>
              <w:b/>
              <w:sz w:val="32"/>
              <w:szCs w:val="32"/>
            </w:rPr>
            <w:sectPr>
              <w:footerReference r:id="rId4" w:type="default"/>
              <w:pgSz w:w="11906" w:h="16838"/>
              <w:pgMar w:top="1440" w:right="1083" w:bottom="1440" w:left="1083" w:header="0" w:footer="720" w:gutter="0"/>
              <w:pgBorders>
                <w:top w:val="none" w:sz="0" w:space="0"/>
                <w:left w:val="none" w:sz="0" w:space="0"/>
                <w:bottom w:val="none" w:sz="0" w:space="0"/>
                <w:right w:val="none" w:sz="0" w:space="0"/>
              </w:pgBorders>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2C59F44A">
      <w:pPr>
        <w:pStyle w:val="29"/>
        <w:widowControl/>
        <w:spacing w:before="100" w:after="100"/>
        <w:ind w:left="100" w:right="100" w:firstLine="640"/>
        <w:jc w:val="center"/>
        <w:rPr>
          <w:rFonts w:ascii="Times New Roman" w:hAnsi="Times New Roman" w:eastAsia="Times New Roman" w:cs="Times New Roman"/>
          <w:kern w:val="0"/>
          <w:sz w:val="24"/>
        </w:rPr>
      </w:pPr>
      <w:bookmarkStart w:id="0" w:name="a000"/>
      <w:r>
        <w:rPr>
          <w:rFonts w:ascii="Calibri" w:hAnsi="Calibri" w:eastAsia="Calibri" w:cs="Calibri"/>
          <w:spacing w:val="0"/>
          <w:kern w:val="0"/>
          <w:sz w:val="84"/>
          <w:szCs w:val="84"/>
        </w:rPr>
        <w:t>  </w:t>
      </w:r>
    </w:p>
    <w:p w14:paraId="4CAA5573">
      <w:pPr>
        <w:widowControl/>
        <w:spacing w:before="240" w:after="240"/>
        <w:jc w:val="left"/>
        <w:rPr>
          <w:rFonts w:ascii="Times New Roman" w:hAnsi="Times New Roman" w:eastAsia="Times New Roman" w:cs="Times New Roman"/>
          <w:kern w:val="0"/>
          <w:sz w:val="24"/>
        </w:rPr>
      </w:pPr>
    </w:p>
    <w:p w14:paraId="2C4348BF">
      <w:pPr>
        <w:widowControl/>
        <w:spacing w:before="240" w:after="240"/>
        <w:jc w:val="left"/>
        <w:rPr>
          <w:rFonts w:ascii="Times New Roman" w:hAnsi="Times New Roman" w:eastAsia="Times New Roman" w:cs="Times New Roman"/>
          <w:kern w:val="0"/>
          <w:sz w:val="24"/>
        </w:rPr>
      </w:pPr>
    </w:p>
    <w:p w14:paraId="369B667D">
      <w:pPr>
        <w:widowControl/>
        <w:spacing w:before="240" w:after="240"/>
        <w:jc w:val="left"/>
        <w:rPr>
          <w:rFonts w:ascii="Times New Roman" w:hAnsi="Times New Roman" w:eastAsia="Times New Roman" w:cs="Times New Roman"/>
          <w:kern w:val="0"/>
          <w:sz w:val="24"/>
        </w:rPr>
      </w:pPr>
    </w:p>
    <w:p w14:paraId="6784BC9F">
      <w:pPr>
        <w:widowControl/>
        <w:spacing w:before="240" w:after="240"/>
        <w:jc w:val="left"/>
        <w:rPr>
          <w:rFonts w:ascii="Times New Roman" w:hAnsi="Times New Roman" w:eastAsia="Times New Roman" w:cs="Times New Roman"/>
          <w:kern w:val="0"/>
          <w:sz w:val="24"/>
        </w:rPr>
      </w:pPr>
    </w:p>
    <w:p w14:paraId="20A9F23A">
      <w:pPr>
        <w:widowControl/>
        <w:spacing w:before="240" w:after="240"/>
        <w:jc w:val="left"/>
        <w:rPr>
          <w:rFonts w:ascii="Times New Roman" w:hAnsi="Times New Roman" w:eastAsia="Times New Roman" w:cs="Times New Roman"/>
          <w:kern w:val="0"/>
          <w:sz w:val="24"/>
        </w:rPr>
      </w:pPr>
    </w:p>
    <w:p w14:paraId="523F3DFF">
      <w:pPr>
        <w:widowControl/>
        <w:spacing w:before="240" w:after="240"/>
        <w:jc w:val="left"/>
        <w:rPr>
          <w:rFonts w:ascii="Times New Roman" w:hAnsi="Times New Roman" w:eastAsia="Times New Roman" w:cs="Times New Roman"/>
          <w:kern w:val="0"/>
          <w:sz w:val="24"/>
        </w:rPr>
      </w:pPr>
    </w:p>
    <w:p w14:paraId="617BDEDB">
      <w:pPr>
        <w:widowControl/>
        <w:spacing w:before="240" w:after="240"/>
        <w:jc w:val="left"/>
        <w:rPr>
          <w:rFonts w:ascii="Times New Roman" w:hAnsi="Times New Roman" w:eastAsia="Times New Roman" w:cs="Times New Roman"/>
          <w:kern w:val="0"/>
          <w:sz w:val="24"/>
        </w:rPr>
      </w:pPr>
    </w:p>
    <w:p w14:paraId="38D1250E">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 w:name="_Toc256000052"/>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单位概况</w:t>
      </w:r>
      <w:bookmarkEnd w:id="1"/>
    </w:p>
    <w:p w14:paraId="13410302">
      <w:pPr>
        <w:pStyle w:val="30"/>
        <w:widowControl/>
        <w:spacing w:before="100" w:after="100" w:line="560" w:lineRule="atLeast"/>
        <w:ind w:left="100" w:right="100" w:firstLine="640"/>
        <w:jc w:val="center"/>
        <w:rPr>
          <w:rFonts w:ascii="Times New Roman" w:hAnsi="Times New Roman" w:eastAsia="Times New Roman" w:cs="Times New Roman"/>
          <w:kern w:val="0"/>
          <w:sz w:val="24"/>
        </w:rPr>
      </w:pPr>
    </w:p>
    <w:p w14:paraId="22D28B6F">
      <w:pPr>
        <w:sectPr>
          <w:footerReference r:id="rId5" w:type="default"/>
          <w:pgSz w:w="11906" w:h="16838"/>
          <w:pgMar w:top="1440" w:right="720" w:bottom="1440" w:left="720" w:header="720" w:footer="720" w:gutter="0"/>
          <w:pgBorders>
            <w:top w:val="none" w:sz="0" w:space="0"/>
            <w:left w:val="none" w:sz="0" w:space="0"/>
            <w:bottom w:val="none" w:sz="0" w:space="0"/>
            <w:right w:val="none" w:sz="0" w:space="0"/>
          </w:pgBorders>
          <w:pgNumType w:start="1"/>
          <w:cols w:space="720" w:num="1"/>
        </w:sectPr>
      </w:pPr>
    </w:p>
    <w:p w14:paraId="4003FD8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2002942">
      <w:pPr>
        <w:widowControl/>
        <w:spacing w:before="240" w:after="240"/>
        <w:jc w:val="left"/>
        <w:rPr>
          <w:rFonts w:ascii="Times New Roman" w:hAnsi="Times New Roman" w:eastAsia="Times New Roman" w:cs="Times New Roman"/>
          <w:kern w:val="0"/>
          <w:sz w:val="24"/>
        </w:rPr>
      </w:pPr>
    </w:p>
    <w:p w14:paraId="6B084E2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 w:name="_Toc256000053"/>
      <w:r>
        <w:rPr>
          <w:rFonts w:ascii="黑体" w:hAnsi="黑体" w:eastAsia="黑体" w:cs="黑体"/>
          <w:b w:val="0"/>
          <w:bCs w:val="0"/>
          <w:spacing w:val="0"/>
        </w:rPr>
        <w:t>一、单位主要职责</w:t>
      </w:r>
      <w:bookmarkEnd w:id="2"/>
    </w:p>
    <w:p w14:paraId="70060FD6">
      <w:pPr>
        <w:pStyle w:val="29"/>
        <w:widowControl/>
        <w:spacing w:before="100" w:after="100" w:line="560" w:lineRule="atLeast"/>
        <w:ind w:left="100" w:right="100" w:firstLine="640"/>
        <w:jc w:val="left"/>
        <w:rPr>
          <w:rFonts w:ascii="Times New Roman" w:hAnsi="Times New Roman" w:eastAsia="Times New Roman" w:cs="Times New Roman"/>
          <w:kern w:val="0"/>
          <w:sz w:val="32"/>
          <w:szCs w:val="32"/>
        </w:rPr>
      </w:pPr>
      <w:r>
        <w:rPr>
          <w:rFonts w:ascii="FangSong_GB2312" w:hAnsi="FangSong_GB2312" w:eastAsia="FangSong_GB2312" w:cs="FangSong_GB2312"/>
          <w:spacing w:val="0"/>
          <w:kern w:val="0"/>
          <w:sz w:val="32"/>
          <w:szCs w:val="32"/>
        </w:rPr>
        <w:t>福建省水产设计院单位的主要职责是：</w:t>
      </w:r>
      <w:r>
        <w:rPr>
          <w:rFonts w:hint="eastAsia" w:ascii="仿宋_GB2312" w:hAnsi="仿宋_GB2312" w:eastAsia="仿宋_GB2312" w:cs="仿宋_GB2312"/>
          <w:kern w:val="0"/>
          <w:sz w:val="32"/>
          <w:szCs w:val="32"/>
        </w:rPr>
        <w:t>承担全省水产系统勘察设计及其他行业勘察设计任务。</w:t>
      </w:r>
    </w:p>
    <w:p w14:paraId="153AFE15">
      <w:pPr>
        <w:pStyle w:val="29"/>
        <w:widowControl/>
        <w:spacing w:before="100" w:after="100" w:line="560" w:lineRule="atLeast"/>
        <w:ind w:left="100" w:right="100" w:firstLine="640"/>
        <w:jc w:val="left"/>
        <w:rPr>
          <w:rFonts w:ascii="Times New Roman" w:hAnsi="Times New Roman" w:eastAsia="Times New Roman" w:cs="Times New Roman"/>
          <w:kern w:val="0"/>
          <w:sz w:val="24"/>
        </w:rPr>
      </w:pPr>
    </w:p>
    <w:p w14:paraId="12E26D03">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3" w:name="_Toc256000054"/>
      <w:r>
        <w:rPr>
          <w:rFonts w:ascii="黑体" w:hAnsi="黑体" w:eastAsia="黑体" w:cs="黑体"/>
          <w:b w:val="0"/>
          <w:bCs w:val="0"/>
          <w:spacing w:val="0"/>
        </w:rPr>
        <w:t>二、单位基本情况</w:t>
      </w:r>
      <w:bookmarkEnd w:id="3"/>
    </w:p>
    <w:p w14:paraId="2C658E6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从决算单位构成看，本单位包括</w:t>
      </w:r>
      <w:r>
        <w:rPr>
          <w:rFonts w:hint="eastAsia" w:ascii="FangSong_GB2312" w:hAnsi="FangSong_GB2312" w:eastAsia="FangSong_GB2312" w:cs="FangSong_GB2312"/>
          <w:spacing w:val="0"/>
          <w:kern w:val="0"/>
          <w:sz w:val="32"/>
          <w:szCs w:val="32"/>
          <w:lang w:val="en-US" w:eastAsia="zh-CN"/>
        </w:rPr>
        <w:t>7</w:t>
      </w:r>
      <w:r>
        <w:rPr>
          <w:rFonts w:ascii="FangSong_GB2312" w:hAnsi="FangSong_GB2312" w:eastAsia="FangSong_GB2312" w:cs="FangSong_GB2312"/>
          <w:spacing w:val="0"/>
          <w:kern w:val="0"/>
          <w:sz w:val="32"/>
          <w:szCs w:val="32"/>
        </w:rPr>
        <w:t>个内设机构，其中：列入2025年决算编制范围的单位详细情况见下表:</w:t>
      </w:r>
    </w:p>
    <w:tbl>
      <w:tblPr>
        <w:tblStyle w:val="20"/>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2292"/>
        <w:gridCol w:w="8218"/>
      </w:tblGrid>
      <w:tr w14:paraId="5826FB2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2089"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F7723BB">
            <w:pPr>
              <w:keepNext w:val="0"/>
              <w:keepLines w:val="0"/>
              <w:widowControl/>
              <w:suppressLineNumbers w:val="0"/>
              <w:spacing w:before="0" w:beforeAutospacing="0" w:after="0" w:afterAutospacing="0"/>
              <w:ind w:left="0" w:right="0" w:firstLine="0"/>
              <w:jc w:val="center"/>
              <w:rPr>
                <w:rFonts w:hint="default" w:ascii="宋体" w:hAnsi="宋体" w:eastAsia="宋体" w:cs="宋体"/>
                <w:b/>
                <w:bCs/>
                <w:i w:val="0"/>
                <w:iCs w:val="0"/>
                <w:smallCaps w:val="0"/>
                <w:color w:val="000000"/>
                <w:spacing w:val="0"/>
                <w:kern w:val="0"/>
                <w:sz w:val="24"/>
              </w:rPr>
            </w:pPr>
            <w:r>
              <w:rPr>
                <w:rFonts w:hint="default" w:ascii="宋体" w:hAnsi="宋体" w:eastAsia="宋体" w:cs="宋体"/>
                <w:b/>
                <w:bCs/>
                <w:i w:val="0"/>
                <w:iCs w:val="0"/>
                <w:smallCaps w:val="0"/>
                <w:color w:val="000000"/>
                <w:spacing w:val="0"/>
                <w:kern w:val="0"/>
                <w:sz w:val="21"/>
              </w:rPr>
              <w:t>序号</w:t>
            </w:r>
          </w:p>
        </w:tc>
        <w:tc>
          <w:tcPr>
            <w:tcW w:w="749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1CF428A">
            <w:pPr>
              <w:keepNext w:val="0"/>
              <w:keepLines w:val="0"/>
              <w:widowControl/>
              <w:suppressLineNumbers w:val="0"/>
              <w:spacing w:before="0" w:beforeAutospacing="0" w:after="0" w:afterAutospacing="0"/>
              <w:ind w:left="0" w:right="0" w:firstLine="0"/>
              <w:jc w:val="center"/>
              <w:rPr>
                <w:rFonts w:hint="default" w:ascii="宋体" w:hAnsi="宋体" w:eastAsia="宋体" w:cs="宋体"/>
                <w:b/>
                <w:bCs/>
                <w:i w:val="0"/>
                <w:iCs w:val="0"/>
                <w:smallCaps w:val="0"/>
                <w:color w:val="000000"/>
                <w:spacing w:val="0"/>
                <w:kern w:val="0"/>
                <w:sz w:val="24"/>
              </w:rPr>
            </w:pPr>
            <w:r>
              <w:rPr>
                <w:rFonts w:hint="default" w:ascii="宋体" w:hAnsi="宋体" w:eastAsia="宋体" w:cs="宋体"/>
                <w:b/>
                <w:bCs/>
                <w:i w:val="0"/>
                <w:iCs w:val="0"/>
                <w:smallCaps w:val="0"/>
                <w:color w:val="000000"/>
                <w:spacing w:val="0"/>
                <w:kern w:val="0"/>
                <w:sz w:val="21"/>
              </w:rPr>
              <w:t>单位名称</w:t>
            </w:r>
          </w:p>
        </w:tc>
      </w:tr>
      <w:tr w14:paraId="45AEDE6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2089"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F08DE73">
            <w:pPr>
              <w:keepNext w:val="0"/>
              <w:keepLines w:val="0"/>
              <w:widowControl/>
              <w:suppressLineNumbers w:val="0"/>
              <w:spacing w:before="0" w:beforeAutospacing="0" w:after="0" w:afterAutospacing="0"/>
              <w:ind w:left="0" w:right="0" w:firstLine="0"/>
              <w:jc w:val="center"/>
              <w:rPr>
                <w:rFonts w:hint="default" w:ascii="宋体" w:hAnsi="宋体" w:eastAsia="宋体" w:cs="宋体"/>
                <w:b w:val="0"/>
                <w:bCs w:val="0"/>
                <w:i w:val="0"/>
                <w:iCs w:val="0"/>
                <w:smallCaps w:val="0"/>
                <w:color w:val="000000"/>
                <w:spacing w:val="0"/>
                <w:kern w:val="0"/>
                <w:sz w:val="24"/>
              </w:rPr>
            </w:pPr>
            <w:r>
              <w:rPr>
                <w:rFonts w:hint="default" w:ascii="宋体" w:hAnsi="宋体" w:eastAsia="宋体" w:cs="宋体"/>
                <w:b w:val="0"/>
                <w:bCs w:val="0"/>
                <w:i w:val="0"/>
                <w:iCs w:val="0"/>
                <w:smallCaps w:val="0"/>
                <w:color w:val="000000"/>
                <w:spacing w:val="0"/>
                <w:kern w:val="0"/>
                <w:sz w:val="21"/>
              </w:rPr>
              <w:t>1</w:t>
            </w:r>
          </w:p>
        </w:tc>
        <w:tc>
          <w:tcPr>
            <w:tcW w:w="749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ECB8244">
            <w:pPr>
              <w:keepNext w:val="0"/>
              <w:keepLines w:val="0"/>
              <w:widowControl/>
              <w:suppressLineNumbers w:val="0"/>
              <w:spacing w:before="0" w:beforeAutospacing="0" w:after="0" w:afterAutospacing="0"/>
              <w:ind w:left="0" w:right="0" w:firstLine="0"/>
              <w:jc w:val="center"/>
              <w:rPr>
                <w:rFonts w:hint="default" w:ascii="宋体" w:hAnsi="宋体" w:eastAsia="宋体" w:cs="宋体"/>
                <w:b w:val="0"/>
                <w:bCs w:val="0"/>
                <w:i w:val="0"/>
                <w:iCs w:val="0"/>
                <w:smallCaps w:val="0"/>
                <w:color w:val="000000"/>
                <w:spacing w:val="0"/>
                <w:kern w:val="0"/>
                <w:sz w:val="24"/>
              </w:rPr>
            </w:pPr>
            <w:r>
              <w:rPr>
                <w:rFonts w:hint="default" w:ascii="宋体" w:hAnsi="宋体" w:eastAsia="宋体" w:cs="宋体"/>
                <w:b w:val="0"/>
                <w:bCs w:val="0"/>
                <w:i w:val="0"/>
                <w:iCs w:val="0"/>
                <w:smallCaps w:val="0"/>
                <w:color w:val="000000"/>
                <w:spacing w:val="0"/>
                <w:kern w:val="0"/>
                <w:sz w:val="21"/>
              </w:rPr>
              <w:t>福建省水产设计院</w:t>
            </w:r>
          </w:p>
        </w:tc>
      </w:tr>
    </w:tbl>
    <w:p w14:paraId="7693FE40">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4" w:name="_Toc256000055"/>
      <w:r>
        <w:rPr>
          <w:rFonts w:ascii="黑体" w:hAnsi="黑体" w:eastAsia="黑体" w:cs="黑体"/>
          <w:b w:val="0"/>
          <w:bCs w:val="0"/>
          <w:spacing w:val="0"/>
        </w:rPr>
        <w:t>三、单位主要工作总结</w:t>
      </w:r>
      <w:bookmarkEnd w:id="4"/>
    </w:p>
    <w:p w14:paraId="5C9C1F8D">
      <w:pPr>
        <w:pStyle w:val="29"/>
        <w:widowControl/>
        <w:spacing w:before="100" w:after="100" w:line="560" w:lineRule="atLeast"/>
        <w:ind w:left="100" w:right="100" w:firstLine="640"/>
        <w:jc w:val="left"/>
      </w:pPr>
      <w:r>
        <w:rPr>
          <w:rFonts w:ascii="FangSong_GB2312" w:hAnsi="FangSong_GB2312" w:eastAsia="FangSong_GB2312" w:cs="FangSong_GB2312"/>
          <w:spacing w:val="0"/>
          <w:kern w:val="0"/>
          <w:sz w:val="32"/>
          <w:szCs w:val="32"/>
        </w:rPr>
        <w:t>2025年，福建省水产设计院单位主要任务是：围绕上述任务，重点完成了以下工作：</w:t>
      </w:r>
    </w:p>
    <w:p w14:paraId="780D60F4">
      <w:pPr>
        <w:pStyle w:val="29"/>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pPr>
      <w:r>
        <w:rPr>
          <w:rFonts w:hint="eastAsia" w:ascii="FangSong_GB2312" w:hAnsi="FangSong_GB2312" w:eastAsia="FangSong_GB2312" w:cs="FangSong_GB2312"/>
          <w:spacing w:val="0"/>
          <w:kern w:val="0"/>
          <w:sz w:val="32"/>
          <w:szCs w:val="32"/>
          <w:lang w:val="en-US" w:eastAsia="zh-CN"/>
        </w:rPr>
        <w:t>（一）党建铸魂强基：凝聚合力，激活发展“红色引擎”。院党总支始终坚持把政治建设摆在首位，充分发挥核心领导作用，为攻坚克难提供坚强政治保证。一是思想铸魂，理论扎根行动。严格执行“第一议题”制度，深入学习习近平总书记系列重要讲话和指示批示精神，特别是关于海洋强国、科技自立自强的重要论述。二是组织强基，堡垒提质工程，作风清源，生态净化举措。完成党总支委员届中增补，优化支部设置，压实全面从严治党主体责任，修订完善《“三重一大”事项清单》等多项制度。开展常态化警示教育、廉政谈话，紧盯关键节点强化监督。</w:t>
      </w:r>
    </w:p>
    <w:p w14:paraId="1A99D95A">
      <w:pPr>
        <w:pStyle w:val="29"/>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pPr>
      <w:r>
        <w:rPr>
          <w:rFonts w:hint="eastAsia" w:ascii="FangSong_GB2312" w:hAnsi="FangSong_GB2312" w:eastAsia="FangSong_GB2312" w:cs="FangSong_GB2312"/>
          <w:spacing w:val="0"/>
          <w:kern w:val="0"/>
          <w:sz w:val="32"/>
          <w:szCs w:val="32"/>
          <w:lang w:val="en-US" w:eastAsia="zh-CN"/>
        </w:rPr>
        <w:t>（二）专业服务破壁：多元协同，拓展海洋事业“服务矩阵”。立足规划设计职责，在海洋渔业工程、渔港建设、冷链物流等核心领域持续发力，并拓展服务边界，推动产学研用深度融合。一是渔港业务的提质增极。聚焦渔港与渔港经济区咨询设计，持续推动2020-2025年全省渔港建设规划任务实施，通力配合完成渔港项目（含提升改造类）设计任务；全力配合已获批渔港经济区项目实施过程中出现的新情况与新需求，配合连江县、东山县等地方开展渔港经济区建设实施方案的动态优化和调整工作。二是咨询服务全链延伸。着力整合力量逐步延长我院工程咨询设计服务链，聚焦前期策划、立项、概念性规划及可行性研究、海域使用论证等业务，成功为我院积累了第一个工程咨询为主导的全过程咨询项目业绩；完成福建省内十多个渔港工程的规划设计、海域使用论证工作，为本轮规划渔港如期开工建设作出积极努力。三是渔业工程实现出海拓局。同时着力拓展马来西亚、印尼等国家业务，为“一带一路”沿线国家渔业可持续发展提供“福建方案”。</w:t>
      </w:r>
    </w:p>
    <w:p w14:paraId="210C5535">
      <w:pPr>
        <w:pStyle w:val="29"/>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pPr>
      <w:r>
        <w:rPr>
          <w:rFonts w:hint="eastAsia" w:ascii="FangSong_GB2312" w:hAnsi="FangSong_GB2312" w:eastAsia="FangSong_GB2312" w:cs="FangSong_GB2312"/>
          <w:spacing w:val="0"/>
          <w:kern w:val="0"/>
          <w:sz w:val="32"/>
          <w:szCs w:val="32"/>
          <w:lang w:val="en-US" w:eastAsia="zh-CN"/>
        </w:rPr>
        <w:t>（三）科技赋能突围：创新驱动，汇聚业务升级“核心动能”。积极搭建产学研用深度融合的创新生态，携手高校、科研院所及行业领军企业共建高能级研发平台，聚焦低碳冷链、数字孪生等前沿技术领域协同攻关，同时从海洋经济全产业链着手，加速探索、重点布局深远海养殖、渔港经济区运营以及渔船电动化升级改造等新兴赛道。积极承担“十五五”渔港布局与建设规划编制任务，为渔港建设提供前瞻性、科学性的规划指引等。</w:t>
      </w:r>
    </w:p>
    <w:p w14:paraId="4271BF9D">
      <w:pPr>
        <w:pStyle w:val="29"/>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pPr>
      <w:r>
        <w:rPr>
          <w:rFonts w:hint="eastAsia" w:ascii="FangSong_GB2312" w:hAnsi="FangSong_GB2312" w:eastAsia="FangSong_GB2312" w:cs="FangSong_GB2312"/>
          <w:spacing w:val="0"/>
          <w:kern w:val="0"/>
          <w:sz w:val="32"/>
          <w:szCs w:val="32"/>
          <w:lang w:val="en-US" w:eastAsia="zh-CN"/>
        </w:rPr>
        <w:t>（四）制度立柱架梁：精细管理，夯实高质量发展“坚实底座”。先后修订、制定《病假工资管理细则》《固定资产与无形资产管理办法》等，明确各项工作流程和要求；制定并贯彻执行“三审三校”制度，严把文件质量关；制定了《院中层干部选拔聘任工作实施方案》。</w:t>
      </w:r>
    </w:p>
    <w:p w14:paraId="5E7DDF01">
      <w:pPr>
        <w:pStyle w:val="29"/>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sectPr>
          <w:footerReference r:id="rId6"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42622BD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F13188D">
      <w:pPr>
        <w:widowControl/>
        <w:spacing w:before="240" w:after="240"/>
        <w:jc w:val="left"/>
        <w:rPr>
          <w:rFonts w:ascii="Times New Roman" w:hAnsi="Times New Roman" w:eastAsia="Times New Roman" w:cs="Times New Roman"/>
          <w:kern w:val="0"/>
          <w:sz w:val="24"/>
        </w:rPr>
      </w:pPr>
    </w:p>
    <w:p w14:paraId="13F7E2EE">
      <w:pPr>
        <w:pStyle w:val="30"/>
        <w:widowControl/>
        <w:spacing w:before="100" w:after="100"/>
        <w:ind w:left="100" w:right="100" w:firstLine="640"/>
        <w:jc w:val="left"/>
        <w:rPr>
          <w:rFonts w:ascii="Times New Roman" w:hAnsi="Times New Roman" w:eastAsia="Times New Roman" w:cs="Times New Roman"/>
          <w:kern w:val="0"/>
          <w:sz w:val="24"/>
        </w:rPr>
      </w:pPr>
    </w:p>
    <w:p w14:paraId="350D7D95">
      <w:pPr>
        <w:pStyle w:val="30"/>
        <w:widowControl/>
        <w:spacing w:before="100" w:after="100"/>
        <w:ind w:left="100" w:right="100" w:firstLine="640"/>
        <w:jc w:val="left"/>
        <w:rPr>
          <w:rFonts w:ascii="Times New Roman" w:hAnsi="Times New Roman" w:eastAsia="Times New Roman" w:cs="Times New Roman"/>
          <w:kern w:val="0"/>
          <w:sz w:val="24"/>
        </w:rPr>
      </w:pPr>
    </w:p>
    <w:p w14:paraId="23FED944">
      <w:pPr>
        <w:pStyle w:val="30"/>
        <w:widowControl/>
        <w:spacing w:before="100" w:after="100"/>
        <w:ind w:left="100" w:right="100" w:firstLine="640"/>
        <w:jc w:val="left"/>
        <w:rPr>
          <w:rFonts w:ascii="Times New Roman" w:hAnsi="Times New Roman" w:eastAsia="Times New Roman" w:cs="Times New Roman"/>
          <w:kern w:val="0"/>
          <w:sz w:val="24"/>
        </w:rPr>
      </w:pPr>
    </w:p>
    <w:p w14:paraId="1C4C0676">
      <w:pPr>
        <w:pStyle w:val="30"/>
        <w:widowControl/>
        <w:spacing w:before="100" w:after="100"/>
        <w:ind w:left="100" w:right="100" w:firstLine="640"/>
        <w:jc w:val="left"/>
        <w:rPr>
          <w:rFonts w:ascii="Times New Roman" w:hAnsi="Times New Roman" w:eastAsia="Times New Roman" w:cs="Times New Roman"/>
          <w:kern w:val="0"/>
          <w:sz w:val="24"/>
        </w:rPr>
      </w:pPr>
    </w:p>
    <w:p w14:paraId="5D2E46CA">
      <w:pPr>
        <w:pStyle w:val="30"/>
        <w:widowControl/>
        <w:spacing w:before="100" w:after="100"/>
        <w:ind w:left="100" w:right="100" w:firstLine="640"/>
        <w:jc w:val="left"/>
        <w:rPr>
          <w:rFonts w:ascii="Times New Roman" w:hAnsi="Times New Roman" w:eastAsia="Times New Roman" w:cs="Times New Roman"/>
          <w:kern w:val="0"/>
          <w:sz w:val="24"/>
        </w:rPr>
      </w:pPr>
    </w:p>
    <w:p w14:paraId="3A5761F3">
      <w:pPr>
        <w:pStyle w:val="30"/>
        <w:widowControl/>
        <w:spacing w:before="100" w:after="100"/>
        <w:ind w:left="100" w:right="100" w:firstLine="640"/>
        <w:jc w:val="left"/>
        <w:rPr>
          <w:rFonts w:ascii="Times New Roman" w:hAnsi="Times New Roman" w:eastAsia="Times New Roman" w:cs="Times New Roman"/>
          <w:kern w:val="0"/>
          <w:sz w:val="24"/>
        </w:rPr>
      </w:pPr>
    </w:p>
    <w:p w14:paraId="0A0F2DFB">
      <w:pPr>
        <w:pStyle w:val="30"/>
        <w:widowControl/>
        <w:spacing w:before="100" w:after="100"/>
        <w:ind w:left="100" w:right="100" w:firstLine="640"/>
        <w:jc w:val="left"/>
        <w:rPr>
          <w:rFonts w:ascii="Times New Roman" w:hAnsi="Times New Roman" w:eastAsia="Times New Roman" w:cs="Times New Roman"/>
          <w:kern w:val="0"/>
          <w:sz w:val="24"/>
        </w:rPr>
      </w:pPr>
    </w:p>
    <w:p w14:paraId="1C30E835">
      <w:pPr>
        <w:pStyle w:val="30"/>
        <w:widowControl/>
        <w:spacing w:before="100" w:after="100"/>
        <w:ind w:left="100" w:right="100" w:firstLine="640"/>
        <w:jc w:val="left"/>
        <w:rPr>
          <w:rFonts w:ascii="Times New Roman" w:hAnsi="Times New Roman" w:eastAsia="Times New Roman" w:cs="Times New Roman"/>
          <w:kern w:val="0"/>
          <w:sz w:val="24"/>
        </w:rPr>
      </w:pPr>
    </w:p>
    <w:p w14:paraId="38CA9E6A">
      <w:pPr>
        <w:pStyle w:val="30"/>
        <w:widowControl/>
        <w:spacing w:before="100" w:after="100"/>
        <w:ind w:left="100" w:right="100" w:firstLine="640"/>
        <w:jc w:val="left"/>
        <w:rPr>
          <w:rFonts w:ascii="Times New Roman" w:hAnsi="Times New Roman" w:eastAsia="Times New Roman" w:cs="Times New Roman"/>
          <w:kern w:val="0"/>
          <w:sz w:val="24"/>
        </w:rPr>
      </w:pPr>
    </w:p>
    <w:p w14:paraId="31EA1CDD">
      <w:pPr>
        <w:pStyle w:val="30"/>
        <w:widowControl/>
        <w:spacing w:before="100" w:after="100"/>
        <w:ind w:left="100" w:right="100" w:firstLine="640"/>
        <w:jc w:val="left"/>
        <w:rPr>
          <w:rFonts w:ascii="Times New Roman" w:hAnsi="Times New Roman" w:eastAsia="Times New Roman" w:cs="Times New Roman"/>
          <w:kern w:val="0"/>
          <w:sz w:val="24"/>
        </w:rPr>
      </w:pPr>
    </w:p>
    <w:p w14:paraId="3453833D">
      <w:pPr>
        <w:pStyle w:val="30"/>
        <w:widowControl/>
        <w:spacing w:before="100" w:after="100"/>
        <w:ind w:left="100" w:right="100" w:firstLine="640"/>
        <w:jc w:val="left"/>
        <w:rPr>
          <w:rFonts w:ascii="Times New Roman" w:hAnsi="Times New Roman" w:eastAsia="Times New Roman" w:cs="Times New Roman"/>
          <w:kern w:val="0"/>
          <w:sz w:val="24"/>
        </w:rPr>
      </w:pPr>
    </w:p>
    <w:p w14:paraId="2CEC2B16">
      <w:pPr>
        <w:pStyle w:val="30"/>
        <w:widowControl/>
        <w:spacing w:before="100" w:after="100"/>
        <w:ind w:left="100" w:right="100" w:firstLine="640"/>
        <w:jc w:val="left"/>
        <w:rPr>
          <w:rFonts w:ascii="Times New Roman" w:hAnsi="Times New Roman" w:eastAsia="Times New Roman" w:cs="Times New Roman"/>
          <w:kern w:val="0"/>
          <w:sz w:val="24"/>
        </w:rPr>
      </w:pPr>
    </w:p>
    <w:p w14:paraId="5B19009B">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5" w:name="_Toc256000056"/>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2025年度单位决算表</w:t>
      </w:r>
      <w:bookmarkEnd w:id="5"/>
    </w:p>
    <w:p w14:paraId="7EF68215">
      <w:pPr>
        <w:pStyle w:val="30"/>
        <w:widowControl/>
        <w:spacing w:before="100" w:after="100"/>
        <w:ind w:left="100" w:right="100" w:firstLine="640"/>
        <w:jc w:val="center"/>
        <w:rPr>
          <w:rFonts w:ascii="Times New Roman" w:hAnsi="Times New Roman" w:eastAsia="Times New Roman" w:cs="Times New Roman"/>
          <w:kern w:val="0"/>
          <w:sz w:val="24"/>
        </w:rPr>
      </w:pPr>
    </w:p>
    <w:p w14:paraId="7C08304D">
      <w:pPr>
        <w:sectPr>
          <w:footerReference r:id="rId7"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08A148C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9E6571A">
      <w:pPr>
        <w:widowControl/>
        <w:spacing w:before="240" w:after="240"/>
        <w:jc w:val="left"/>
        <w:rPr>
          <w:rFonts w:ascii="Times New Roman" w:hAnsi="Times New Roman" w:eastAsia="Times New Roman" w:cs="Times New Roman"/>
          <w:kern w:val="0"/>
          <w:sz w:val="24"/>
        </w:rPr>
      </w:pPr>
    </w:p>
    <w:p w14:paraId="5C3F3F98">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 w:name="_Toc256000057"/>
      <w:r>
        <w:rPr>
          <w:rFonts w:ascii="黑体" w:hAnsi="黑体" w:eastAsia="黑体" w:cs="黑体"/>
          <w:b w:val="0"/>
          <w:bCs w:val="0"/>
          <w:spacing w:val="0"/>
        </w:rPr>
        <w:t>一、收入支出决算总表</w:t>
      </w:r>
      <w:bookmarkEnd w:id="6"/>
    </w:p>
    <w:p w14:paraId="03FFC47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3789"/>
        <w:gridCol w:w="3790"/>
        <w:gridCol w:w="3790"/>
        <w:gridCol w:w="3790"/>
      </w:tblGrid>
      <w:tr w14:paraId="42F0D6A8">
        <w:tblPrEx>
          <w:tblCellMar>
            <w:top w:w="0" w:type="dxa"/>
            <w:left w:w="108" w:type="dxa"/>
            <w:bottom w:w="0" w:type="dxa"/>
            <w:right w:w="108" w:type="dxa"/>
          </w:tblCellMar>
        </w:tblPrEx>
        <w:trPr>
          <w:cantSplit/>
          <w:tblHeader/>
        </w:trPr>
        <w:tc>
          <w:tcPr>
            <w:tcW w:w="16380" w:type="dxa"/>
            <w:gridSpan w:val="4"/>
            <w:noWrap w:val="0"/>
            <w:tcMar>
              <w:top w:w="15" w:type="dxa"/>
              <w:left w:w="108" w:type="dxa"/>
              <w:bottom w:w="15" w:type="dxa"/>
              <w:right w:w="108" w:type="dxa"/>
            </w:tcMar>
            <w:vAlign w:val="center"/>
          </w:tcPr>
          <w:p w14:paraId="64961C80">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收入支出决算总表</w:t>
            </w:r>
          </w:p>
        </w:tc>
      </w:tr>
      <w:tr w14:paraId="588D1BA1">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344BC33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AB9A09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206F3D18">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公开01表</w:t>
            </w:r>
          </w:p>
        </w:tc>
      </w:tr>
      <w:tr w14:paraId="3CA52C74">
        <w:tblPrEx>
          <w:tblCellMar>
            <w:top w:w="0" w:type="dxa"/>
            <w:left w:w="108" w:type="dxa"/>
            <w:bottom w:w="0" w:type="dxa"/>
            <w:right w:w="108" w:type="dxa"/>
          </w:tblCellMar>
        </w:tblPrEx>
        <w:trPr>
          <w:cantSplit/>
          <w:tblHeader/>
        </w:trPr>
        <w:tc>
          <w:tcPr>
            <w:tcW w:w="21600" w:type="dxa"/>
            <w:gridSpan w:val="3"/>
            <w:noWrap w:val="0"/>
            <w:tcMar>
              <w:top w:w="15" w:type="dxa"/>
              <w:left w:w="108" w:type="dxa"/>
              <w:bottom w:w="15" w:type="dxa"/>
              <w:right w:w="108" w:type="dxa"/>
            </w:tcMar>
            <w:vAlign w:val="center"/>
          </w:tcPr>
          <w:p w14:paraId="64B96FA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center"/>
          </w:tcPr>
          <w:p w14:paraId="6FF842A0">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0ED184AF">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43A65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8762E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支出</w:t>
            </w:r>
          </w:p>
        </w:tc>
      </w:tr>
      <w:tr w14:paraId="6D1C0EDB">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05AA6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CE165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8FE00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3BDD3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决算数</w:t>
            </w:r>
          </w:p>
        </w:tc>
      </w:tr>
      <w:tr w14:paraId="6F3FA6D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DBC31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652DD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4F9AB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39EBC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37F97A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D6CB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05971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AA11A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1B3D9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8F520E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29A32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C14F8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767FF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F3273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E34225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28EBB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F3414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49F3B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1AB8D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38693C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D6137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1D8E4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1,627.03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BEACD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2DDAB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478156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225AF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85AA0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38ECC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D3D6B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CE188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4AD7B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33DD3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F4279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69C5B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94C331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68F30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B8A4B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407.87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FB93F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CD5A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290.22</w:t>
            </w:r>
          </w:p>
        </w:tc>
      </w:tr>
      <w:tr w14:paraId="15C9BCA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4DBFF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55043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E30EE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64761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r>
      <w:tr w14:paraId="0C18586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58A59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42CA8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B0D5A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71590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0FD4E0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8F2AA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E92CB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C83B4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6B4D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18A410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52623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F8EF6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0591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74739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1,583.46</w:t>
            </w:r>
          </w:p>
        </w:tc>
      </w:tr>
      <w:tr w14:paraId="1BFC81E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47F8B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82F47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5F9F4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2BE9F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3148E4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456FF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92C4A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55328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00BE9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5177D8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36733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04FD4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AA9D5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C249C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2A933E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5F1EF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D23C8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12732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2A910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F96BEF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3EBE3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BACA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6BBB0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7BBAA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F5CCA7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E9F1F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19EE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37216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6ED1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D415ED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8023C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19D32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0B79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7F8F8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r>
      <w:tr w14:paraId="51606C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E4B7D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2D37B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A433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EFF79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680574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2B134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34A7C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3C1E2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E9A83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FCD4B5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7EB06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EEB09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36552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F1A82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88AF62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05748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C6957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40211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D8F97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836C2F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FB0F2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0D86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7F3EA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E8D27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5F17D7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1173B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C18B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BF8A6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4F826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864180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60DD6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7C76E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94F5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C627D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D7579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D7C32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8E505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2,583.29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6CFC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BE219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2,053.57</w:t>
            </w:r>
          </w:p>
        </w:tc>
      </w:tr>
      <w:tr w14:paraId="0364EBC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47907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BA410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76EB1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D4D61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509.18</w:t>
            </w:r>
          </w:p>
        </w:tc>
      </w:tr>
      <w:tr w14:paraId="4DB444C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6EF11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4C6E0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9.66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B8229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DA0DB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w:t>
            </w:r>
          </w:p>
        </w:tc>
      </w:tr>
      <w:tr w14:paraId="62E4818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E3BB8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2767F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52751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A2FE6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FBC46B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A2564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9BD05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2,592.95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DEA11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21D7A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2,592.95</w:t>
            </w:r>
          </w:p>
        </w:tc>
      </w:tr>
      <w:tr w14:paraId="34A2BDBD">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323F29F9">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注：1.本表反映单位本年度的总收支和年末结转结余情况。</w:t>
            </w:r>
          </w:p>
        </w:tc>
      </w:tr>
      <w:tr w14:paraId="37965870">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6A4BCAF7">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2.本套报表金额单位转换时可能存在尾数误差。</w:t>
            </w:r>
          </w:p>
        </w:tc>
      </w:tr>
    </w:tbl>
    <w:p w14:paraId="25B5936D">
      <w:pPr>
        <w:sectPr>
          <w:footerReference r:id="rId8"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1C2CEF89">
      <w:pPr>
        <w:pStyle w:val="30"/>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14:paraId="395F85B5">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 w:name="_Toc256000058"/>
      <w:r>
        <w:rPr>
          <w:rFonts w:ascii="黑体" w:hAnsi="黑体" w:eastAsia="黑体" w:cs="黑体"/>
          <w:b w:val="0"/>
          <w:bCs w:val="0"/>
          <w:spacing w:val="0"/>
        </w:rPr>
        <w:t>二、收入决算表</w:t>
      </w:r>
      <w:bookmarkEnd w:id="7"/>
    </w:p>
    <w:p w14:paraId="40D7F4E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20"/>
        <w:tblW w:w="5000" w:type="pct"/>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14:paraId="460AE420">
        <w:tblPrEx>
          <w:tblCellMar>
            <w:top w:w="0" w:type="dxa"/>
            <w:left w:w="108" w:type="dxa"/>
            <w:bottom w:w="0" w:type="dxa"/>
            <w:right w:w="108" w:type="dxa"/>
          </w:tblCellMar>
        </w:tblPrEx>
        <w:trPr>
          <w:cantSplit/>
          <w:tblHeader/>
        </w:trPr>
        <w:tc>
          <w:tcPr>
            <w:tcW w:w="14578" w:type="dxa"/>
            <w:gridSpan w:val="11"/>
            <w:noWrap w:val="0"/>
            <w:tcMar>
              <w:top w:w="15" w:type="dxa"/>
              <w:left w:w="108" w:type="dxa"/>
              <w:bottom w:w="15" w:type="dxa"/>
              <w:right w:w="108" w:type="dxa"/>
            </w:tcMar>
            <w:vAlign w:val="center"/>
          </w:tcPr>
          <w:p w14:paraId="71D1973E">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收入决算表</w:t>
            </w:r>
          </w:p>
        </w:tc>
      </w:tr>
      <w:tr w14:paraId="2FB12BC0">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075F744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tcPr>
          <w:p w14:paraId="279B06B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9F5023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119A2F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E54C16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5E0FAC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7AF791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5B11068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3CC854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196A06EB">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公开02表</w:t>
            </w:r>
          </w:p>
        </w:tc>
      </w:tr>
      <w:tr w14:paraId="0AB5CC53">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0EA4310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bottom"/>
          </w:tcPr>
          <w:p w14:paraId="3F45263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DCCE0A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AAD309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12EF2FCB">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1E084E0C">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D12D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33EDF8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484E9E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48EE61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7C38C2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DD16D2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8292AB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668099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其他收入</w:t>
            </w:r>
          </w:p>
        </w:tc>
      </w:tr>
      <w:tr w14:paraId="6E22FBCC">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74E64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A567E0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1426" w:type="dxa"/>
            <w:vMerge w:val="continue"/>
            <w:tcBorders>
              <w:left w:val="single" w:color="000000" w:sz="6" w:space="0"/>
              <w:right w:val="single" w:color="000000" w:sz="6" w:space="0"/>
            </w:tcBorders>
            <w:tcMar>
              <w:left w:w="108" w:type="dxa"/>
              <w:right w:w="108" w:type="dxa"/>
            </w:tcMar>
            <w:vAlign w:val="center"/>
          </w:tcPr>
          <w:p w14:paraId="300FBA0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26" w:type="dxa"/>
            <w:vMerge w:val="continue"/>
            <w:tcBorders>
              <w:left w:val="single" w:color="000000" w:sz="6" w:space="0"/>
              <w:right w:val="single" w:color="000000" w:sz="6" w:space="0"/>
            </w:tcBorders>
            <w:tcMar>
              <w:left w:w="108" w:type="dxa"/>
              <w:right w:w="108" w:type="dxa"/>
            </w:tcMar>
            <w:vAlign w:val="center"/>
          </w:tcPr>
          <w:p w14:paraId="311CAC3D">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25" w:type="dxa"/>
            <w:vMerge w:val="continue"/>
            <w:tcBorders>
              <w:left w:val="single" w:color="000000" w:sz="6" w:space="0"/>
              <w:right w:val="single" w:color="000000" w:sz="6" w:space="0"/>
            </w:tcBorders>
            <w:tcMar>
              <w:left w:w="108" w:type="dxa"/>
              <w:right w:w="108" w:type="dxa"/>
            </w:tcMar>
            <w:vAlign w:val="center"/>
          </w:tcPr>
          <w:p w14:paraId="53223A17">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135" w:type="dxa"/>
            <w:vMerge w:val="continue"/>
            <w:tcBorders>
              <w:left w:val="single" w:color="000000" w:sz="6" w:space="0"/>
              <w:right w:val="single" w:color="000000" w:sz="6" w:space="0"/>
            </w:tcBorders>
            <w:tcMar>
              <w:left w:w="108" w:type="dxa"/>
              <w:right w:w="108" w:type="dxa"/>
            </w:tcMar>
            <w:vAlign w:val="center"/>
          </w:tcPr>
          <w:p w14:paraId="7EA8DDA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135" w:type="dxa"/>
            <w:vMerge w:val="continue"/>
            <w:tcBorders>
              <w:left w:val="single" w:color="000000" w:sz="6" w:space="0"/>
              <w:right w:val="single" w:color="000000" w:sz="6" w:space="0"/>
            </w:tcBorders>
            <w:tcMar>
              <w:left w:w="108" w:type="dxa"/>
              <w:right w:w="108" w:type="dxa"/>
            </w:tcMar>
            <w:vAlign w:val="center"/>
          </w:tcPr>
          <w:p w14:paraId="3B2020DC">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716" w:type="dxa"/>
            <w:vMerge w:val="continue"/>
            <w:tcBorders>
              <w:left w:val="single" w:color="000000" w:sz="6" w:space="0"/>
              <w:right w:val="single" w:color="000000" w:sz="6" w:space="0"/>
            </w:tcBorders>
            <w:tcMar>
              <w:left w:w="108" w:type="dxa"/>
              <w:right w:w="108" w:type="dxa"/>
            </w:tcMar>
            <w:vAlign w:val="center"/>
          </w:tcPr>
          <w:p w14:paraId="5F353036">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62" w:type="dxa"/>
            <w:vMerge w:val="continue"/>
            <w:tcBorders>
              <w:left w:val="single" w:color="000000" w:sz="6" w:space="0"/>
              <w:right w:val="single" w:color="000000" w:sz="6" w:space="0"/>
            </w:tcBorders>
            <w:tcMar>
              <w:left w:w="108" w:type="dxa"/>
              <w:right w:w="108" w:type="dxa"/>
            </w:tcMar>
            <w:vAlign w:val="center"/>
          </w:tcPr>
          <w:p w14:paraId="3A6D114A">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43A90B3F">
        <w:tblPrEx>
          <w:tblCellMar>
            <w:top w:w="0" w:type="dxa"/>
            <w:left w:w="108" w:type="dxa"/>
            <w:bottom w:w="0" w:type="dxa"/>
            <w:right w:w="108" w:type="dxa"/>
          </w:tblCellMar>
        </w:tblPrEx>
        <w:trPr>
          <w:cantSplit/>
          <w:tblHeader/>
        </w:trPr>
        <w:tc>
          <w:tcPr>
            <w:tcW w:w="1491"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58AFB86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5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6B893A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2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8DCE7F5">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2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F4BD151">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2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483E2D7">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13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4F262D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13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0777144">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71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CE9AAA6">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6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4A1A291">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54CD8435">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628B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32791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59C30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62A80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E635A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2,583.29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C6869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FF21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586E6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1,627.03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818F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97B61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FC8E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407.87</w:t>
            </w:r>
          </w:p>
        </w:tc>
      </w:tr>
      <w:tr w14:paraId="12753DC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9F4FB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39567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91623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280.56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6DBD8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196.83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E3B8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F5A5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83.73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FECA9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99A9F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B30D7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74EDD1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6AC95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7A006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66286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273.13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AE31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189.39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C85FA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3F24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83.73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1B55F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CF4C5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2E7EA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AD2961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BFE0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502F7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744E7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175.05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04A1F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168.67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2490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8F068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32E1F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A8EE7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D072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94A068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E2D76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F45CC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AF073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633EC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20.72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57039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2AA2F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77.35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A2C76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37F68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73160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88354D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B0F8C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DA585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DED1C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D6231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F33C5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80A36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2CA90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DD0F7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0830E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81FB44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29F1F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F7E33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C4F88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3E2A0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F546D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36ADF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5FDED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767D0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A6BAA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5E94DC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05B6C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31FE6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D3171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C34FA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375AC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EA5E2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66.55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CE1E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65A79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1D070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79F678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2ECEE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6AE57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0B2D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20D0E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866D3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B2B98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66.55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EC138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A0E8B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082A8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61E8B1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4FEA5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2101102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3CD99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53E2B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FF834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89306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A04E8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66.55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FA223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66C2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6FD5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5C47B9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65D19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CF3E1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146D2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2,122.84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218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300.15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78BB7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161DD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1,414.83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6687A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372F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F1DFF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407.87</w:t>
            </w:r>
          </w:p>
        </w:tc>
      </w:tr>
      <w:tr w14:paraId="40E94B9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F1DC1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F0AB2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3F3F5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2,122.84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A1F32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300.15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F9AA5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FBD45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1,414.83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75808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78D4B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0355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407.87</w:t>
            </w:r>
          </w:p>
        </w:tc>
      </w:tr>
      <w:tr w14:paraId="5B799A3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F864C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AD044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58FE5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2,038.84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9ACBC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216.15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D1746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000F4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1,414.83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7BF36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15F72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85B93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407.87</w:t>
            </w:r>
          </w:p>
        </w:tc>
      </w:tr>
      <w:tr w14:paraId="7E569F5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E959A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2130148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02F18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渔业发展</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C366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84.00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63AE4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84.00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8257C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75398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598A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4A132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DF6F5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6C0D8B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671C2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833BD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7D62F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1B105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17B5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E22A9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61.92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3A380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E325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5E9C9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1DFA78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63C4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EF32E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25ED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52EAB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6B03B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D1DE3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61.92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129BE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3B0DB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48257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851DB0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D36B0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77C6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E4071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90.79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F18E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4855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3C760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61.92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0D44C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084FA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2C3F0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A71326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9D67C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4B562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提租补贴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EAAEE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08295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E2689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C14E2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05CC8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95AE8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8D465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7626EF0">
        <w:tblPrEx>
          <w:tblCellMar>
            <w:top w:w="0" w:type="dxa"/>
            <w:left w:w="108" w:type="dxa"/>
            <w:bottom w:w="0" w:type="dxa"/>
            <w:right w:w="108" w:type="dxa"/>
          </w:tblCellMar>
        </w:tblPrEx>
        <w:trPr>
          <w:cantSplit/>
        </w:trPr>
        <w:tc>
          <w:tcPr>
            <w:tcW w:w="14578" w:type="dxa"/>
            <w:gridSpan w:val="11"/>
            <w:noWrap w:val="0"/>
            <w:tcMar>
              <w:top w:w="15" w:type="dxa"/>
              <w:left w:w="108" w:type="dxa"/>
              <w:bottom w:w="15" w:type="dxa"/>
              <w:right w:w="108" w:type="dxa"/>
            </w:tcMar>
            <w:vAlign w:val="center"/>
          </w:tcPr>
          <w:p w14:paraId="51ACBF0F">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注：本表反映单位本年度取得的各项收入情况。</w:t>
            </w:r>
          </w:p>
        </w:tc>
      </w:tr>
    </w:tbl>
    <w:p w14:paraId="3816D60C">
      <w:pPr>
        <w:sectPr>
          <w:footerReference r:id="rId9"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7C0EACE3">
      <w:pPr>
        <w:pStyle w:val="30"/>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14:paraId="5704AE9D">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8" w:name="_Toc256000059"/>
      <w:r>
        <w:rPr>
          <w:rFonts w:ascii="黑体" w:hAnsi="黑体" w:eastAsia="黑体" w:cs="黑体"/>
          <w:b w:val="0"/>
          <w:bCs w:val="0"/>
          <w:spacing w:val="0"/>
        </w:rPr>
        <w:t>三、支出决算表</w:t>
      </w:r>
      <w:bookmarkEnd w:id="8"/>
    </w:p>
    <w:p w14:paraId="041BEA3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20"/>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09455F80">
        <w:tblPrEx>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tcPr>
          <w:p w14:paraId="608F52B8">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支出决算表</w:t>
            </w:r>
          </w:p>
        </w:tc>
      </w:tr>
      <w:tr w14:paraId="787EDD42">
        <w:tblPrEx>
          <w:tblCellMar>
            <w:top w:w="0" w:type="dxa"/>
            <w:left w:w="108" w:type="dxa"/>
            <w:bottom w:w="0" w:type="dxa"/>
            <w:right w:w="108" w:type="dxa"/>
          </w:tblCellMar>
        </w:tblPrEx>
        <w:trPr>
          <w:cantSplit/>
          <w:tblHeader/>
        </w:trPr>
        <w:tc>
          <w:tcPr>
            <w:tcW w:w="5290" w:type="dxa"/>
            <w:gridSpan w:val="4"/>
            <w:noWrap w:val="0"/>
            <w:tcMar>
              <w:top w:w="15" w:type="dxa"/>
              <w:left w:w="108" w:type="dxa"/>
              <w:bottom w:w="15" w:type="dxa"/>
              <w:right w:w="108" w:type="dxa"/>
            </w:tcMar>
            <w:vAlign w:val="bottom"/>
          </w:tcPr>
          <w:p w14:paraId="661C725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789E39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69D95F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7C018F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B7EE49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2ED04EC1">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公开03表</w:t>
            </w:r>
          </w:p>
        </w:tc>
      </w:tr>
      <w:tr w14:paraId="473B9472">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4ACCB99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bottom"/>
          </w:tcPr>
          <w:p w14:paraId="665A35E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054BAA53">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2014A4D4">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A250E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10CD27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BBAF72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4F40E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C979C3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60CB74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3643EF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对附属单位补助支出</w:t>
            </w:r>
          </w:p>
        </w:tc>
      </w:tr>
      <w:tr w14:paraId="2311F049">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FCE054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0FDB98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1553" w:type="dxa"/>
            <w:vMerge w:val="continue"/>
            <w:tcBorders>
              <w:left w:val="single" w:color="000000" w:sz="6" w:space="0"/>
              <w:right w:val="single" w:color="000000" w:sz="6" w:space="0"/>
            </w:tcBorders>
            <w:tcMar>
              <w:left w:w="108" w:type="dxa"/>
              <w:right w:w="108" w:type="dxa"/>
            </w:tcMar>
            <w:vAlign w:val="center"/>
          </w:tcPr>
          <w:p w14:paraId="2B41D948">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34" w:type="dxa"/>
            <w:vMerge w:val="continue"/>
            <w:tcBorders>
              <w:left w:val="single" w:color="000000" w:sz="6" w:space="0"/>
              <w:right w:val="single" w:color="000000" w:sz="6" w:space="0"/>
            </w:tcBorders>
            <w:tcMar>
              <w:left w:w="108" w:type="dxa"/>
              <w:right w:w="108" w:type="dxa"/>
            </w:tcMar>
            <w:vAlign w:val="center"/>
          </w:tcPr>
          <w:p w14:paraId="01B4D43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34" w:type="dxa"/>
            <w:vMerge w:val="continue"/>
            <w:tcBorders>
              <w:left w:val="single" w:color="000000" w:sz="6" w:space="0"/>
              <w:right w:val="single" w:color="000000" w:sz="6" w:space="0"/>
            </w:tcBorders>
            <w:tcMar>
              <w:left w:w="108" w:type="dxa"/>
              <w:right w:w="108" w:type="dxa"/>
            </w:tcMar>
            <w:vAlign w:val="center"/>
          </w:tcPr>
          <w:p w14:paraId="7D409F27">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553" w:type="dxa"/>
            <w:vMerge w:val="continue"/>
            <w:tcBorders>
              <w:left w:val="single" w:color="000000" w:sz="6" w:space="0"/>
              <w:right w:val="single" w:color="000000" w:sz="6" w:space="0"/>
            </w:tcBorders>
            <w:tcMar>
              <w:left w:w="108" w:type="dxa"/>
              <w:right w:w="108" w:type="dxa"/>
            </w:tcMar>
            <w:vAlign w:val="center"/>
          </w:tcPr>
          <w:p w14:paraId="535B1B23">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34" w:type="dxa"/>
            <w:vMerge w:val="continue"/>
            <w:tcBorders>
              <w:left w:val="single" w:color="000000" w:sz="6" w:space="0"/>
              <w:right w:val="single" w:color="000000" w:sz="6" w:space="0"/>
            </w:tcBorders>
            <w:tcMar>
              <w:left w:w="108" w:type="dxa"/>
              <w:right w:w="108" w:type="dxa"/>
            </w:tcMar>
            <w:vAlign w:val="center"/>
          </w:tcPr>
          <w:p w14:paraId="674B079D">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032" w:type="dxa"/>
            <w:vMerge w:val="continue"/>
            <w:tcBorders>
              <w:left w:val="single" w:color="000000" w:sz="6" w:space="0"/>
              <w:right w:val="single" w:color="000000" w:sz="6" w:space="0"/>
            </w:tcBorders>
            <w:tcMar>
              <w:left w:w="108" w:type="dxa"/>
              <w:right w:w="108" w:type="dxa"/>
            </w:tcMar>
            <w:vAlign w:val="center"/>
          </w:tcPr>
          <w:p w14:paraId="242FA94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0169E3B5">
        <w:tblPrEx>
          <w:tblCellMar>
            <w:top w:w="0" w:type="dxa"/>
            <w:left w:w="108" w:type="dxa"/>
            <w:bottom w:w="0" w:type="dxa"/>
            <w:right w:w="108" w:type="dxa"/>
          </w:tblCellMar>
        </w:tblPrEx>
        <w:trPr>
          <w:cantSplit/>
          <w:tblHeader/>
        </w:trPr>
        <w:tc>
          <w:tcPr>
            <w:tcW w:w="1641"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472F44D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91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3D91C93">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55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B64E0C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3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029D38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3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53D027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55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E4C4DA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23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A14D70B">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03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3BF2746">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560F0C22">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C19F7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6F360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ECE56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3CCEA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62D5A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2,053.57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7ACCE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1,998.70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AE677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C6FD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B57A6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A164B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B2EFC6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A6C9E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8A503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423F9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290.22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D20EA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290.22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DB974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985B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E0100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4D7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8487CF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805F5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2032A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CB52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6E2EA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282.79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6F217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9D291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D5A26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32E7B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331CF2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EAC7C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1FBA8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D288A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184.71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89EEE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184.71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1CB9C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ED6CA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4D6DD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039A4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B8DDA8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8FF5F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5CF6F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89B9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44215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ADE90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AF6FA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DCDEB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C5B65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1A84AA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11C60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8EA4C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80DA0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D756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CF299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ACF89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75403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869E3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FF284E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CD081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1646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9D99C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AA2F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F9E22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4B2EE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86025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EA58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681313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F1C21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BF994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DB976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0E237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89C31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845CF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9914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9BC41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A5DA81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E392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50FB1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D37FE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1F7C9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8AB50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9139A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8A4B2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3A3FD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1A77D5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A1A82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2101102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321E1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D38D3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C1327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80.89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8B52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8B65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687EC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59029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4995A4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03FD3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FE29C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5220A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1,583.46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6A7F6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1,528.59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0AD61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59E51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FF529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09E17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6895E4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0F84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BCCC7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619AE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1,583.46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8EF45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1,528.59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919C1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58824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9D391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8A2A4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85F859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0F9D9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EC11C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2BF3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1,528.59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6493B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1,528.59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058C1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1E629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E6BFD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F3A6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822D71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07249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2130148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3F317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渔业发展</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3D8A4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3F14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2C1D6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A1A50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D521C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3992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4DA7DE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3855D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FB17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06EBA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B5E03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60D66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4135E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45A91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39406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AEF910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0E3AE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37833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1068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22E76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56AB6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675B9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CA5D3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069A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E29824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E1E62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0BBD7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BE9E3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90.79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63CB5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90.79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15F9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331E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71D56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B7338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9CE882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B7A67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F0138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提租补贴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0474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CAFBF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DC31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98563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63859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BBC82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0499011">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05A8CEF2">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注：本表反映单位本年度各项支出情况。</w:t>
            </w:r>
          </w:p>
        </w:tc>
      </w:tr>
    </w:tbl>
    <w:p w14:paraId="0D7FC32E">
      <w:pPr>
        <w:sectPr>
          <w:footerReference r:id="rId10"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1ECADC55">
      <w:pPr>
        <w:pStyle w:val="30"/>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4F430690">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 w:name="_Toc256000060"/>
      <w:r>
        <w:rPr>
          <w:rFonts w:ascii="黑体" w:hAnsi="黑体" w:eastAsia="黑体" w:cs="黑体"/>
          <w:b w:val="0"/>
          <w:bCs w:val="0"/>
          <w:spacing w:val="0"/>
        </w:rPr>
        <w:t>四、财政拨款收入支出决算总表</w:t>
      </w:r>
      <w:bookmarkEnd w:id="9"/>
    </w:p>
    <w:p w14:paraId="1E75B9A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420D16F5">
        <w:tblPrEx>
          <w:tblCellMar>
            <w:top w:w="0" w:type="dxa"/>
            <w:left w:w="108" w:type="dxa"/>
            <w:bottom w:w="0" w:type="dxa"/>
            <w:right w:w="108" w:type="dxa"/>
          </w:tblCellMar>
        </w:tblPrEx>
        <w:trPr>
          <w:cantSplit/>
          <w:tblHeader/>
        </w:trPr>
        <w:tc>
          <w:tcPr>
            <w:tcW w:w="16381" w:type="dxa"/>
            <w:gridSpan w:val="7"/>
            <w:noWrap w:val="0"/>
            <w:tcMar>
              <w:top w:w="15" w:type="dxa"/>
              <w:left w:w="108" w:type="dxa"/>
              <w:bottom w:w="15" w:type="dxa"/>
              <w:right w:w="108" w:type="dxa"/>
            </w:tcMar>
            <w:vAlign w:val="center"/>
          </w:tcPr>
          <w:p w14:paraId="3340FA43">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财政拨款收入支出决算总表</w:t>
            </w:r>
          </w:p>
        </w:tc>
      </w:tr>
      <w:tr w14:paraId="4A5167B1">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4E5173B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46226F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1772C566">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公开04表</w:t>
            </w:r>
          </w:p>
        </w:tc>
      </w:tr>
      <w:tr w14:paraId="233C1679">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5CE1BDB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bottom"/>
          </w:tcPr>
          <w:p w14:paraId="3276D4E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15E4896E">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0B33BA32">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F261C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D9836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支出</w:t>
            </w:r>
          </w:p>
        </w:tc>
      </w:tr>
      <w:tr w14:paraId="7C0D063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96B1E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FB82F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C4D92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DCA6C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88D5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D3912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70D6C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国有资本经营预算财政拨款</w:t>
            </w:r>
          </w:p>
        </w:tc>
      </w:tr>
      <w:tr w14:paraId="12F5907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D5A9C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34414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B6637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4BBB4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DA77D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34A61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3CE24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8E0618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ED669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3B8AA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8B9C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FBAB9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E08C9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74FE9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4AE6A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1C7DC0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CC23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BF5DB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1357F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2BD89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3FE25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9C722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A6734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90B019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91966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7213C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1A5C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F0329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8DEDC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A3BFC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F87F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E980AD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EA1D3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788E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C66A9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F32E7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02546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763E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7B9C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BA112F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72281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37FED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72622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6F3A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4902C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7DADE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42100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16530E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572C9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DB2FF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CAEEF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5E0E3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BF5AD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02B7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54C41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9069B2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DC935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D04BA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A1278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22E3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CEAE7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A61ED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BF622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67AAB1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300E3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E5A75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404DA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E1E8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F554D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3E9E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5CA78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2519B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F6B87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40F15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7D692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54625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A95F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7731D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C806D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3B99EE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44DA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EFDBD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A00AF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1576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0921E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94C9B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02F00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BC620C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D3F56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282E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09BE6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5FD17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269.95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F49A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269.95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C8F84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763B3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185C8F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94CEC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21361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C8EEE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CF2FC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2BA88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74317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72463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9DB1D0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A6A02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F047B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F2FDC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A115A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FE786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1325C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0F912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9D24BE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CC5B2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10519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ACE17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DDB32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7A6CD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024EF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B4AE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578F73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A8AE4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E87E6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0572A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7BDF4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6C028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F8424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10FFF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28FE29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5CFFE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B460C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6DBA0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B895A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FC605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1A0D0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BE1C2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34AAED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D74F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D6FF9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880E4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6BFEB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CAE8B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E0B76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A585B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74FF7C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B7554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5EAD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527E4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502C5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CDB29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1D96A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4F177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6F0905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437D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3B1D6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12283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A2B4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AE20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9830E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CD0B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97B0AA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EB395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1EE2F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FBA41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63B75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5474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DA776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C3217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A81483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73F9B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7C9AE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C9CD4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AEBFA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17CBA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F1629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29F3B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86AC63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D6ED7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A2532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83551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E05AA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A855A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FB6B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0CFD9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A2F5E2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797F7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EDE03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7A724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F9E8A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506A0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88F4B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97E9C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17538B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D2E8F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EEA45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60713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AD3F6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0D89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E5E7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326A2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245FF9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BA9DA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5F1E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24FD3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6ECE7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795B6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86779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CB34F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8D6467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3027E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6BA4B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FC15F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322C7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527.85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AD1B3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527.85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F8CBB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6CD6D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3CCB32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0EBF6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697B4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9.66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97AB8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3ED40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A92E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FCBA7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BECCF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CD095E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446FB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AAFF9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9.66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302EE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C992E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785A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3FA89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F1B0A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7300CF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ACBD5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99160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57CB0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7EFF5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7EE73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259A3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29A1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E44817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E867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514CC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772D2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69B7A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8A461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3A6DF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6AD8E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20D6CF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F5566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842E3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558.05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C2992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B8C7E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558.05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835D2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558.05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DDC4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96A5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7169AAB">
        <w:tblPrEx>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tcPr>
          <w:p w14:paraId="5A9A6431">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注：1.本表反映单位本年度一般公共预算财政拨款、政府性基金预算财政拨款和国有资本经营预算财政拨款的总收支和结转结余情况。</w:t>
            </w:r>
          </w:p>
        </w:tc>
      </w:tr>
      <w:tr w14:paraId="1CD077FA">
        <w:tblPrEx>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tcPr>
          <w:p w14:paraId="4A922F0B">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bl>
    <w:p w14:paraId="5F15BAD7">
      <w:pPr>
        <w:sectPr>
          <w:footerReference r:id="rId11"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1C7DC303">
      <w:pPr>
        <w:pStyle w:val="30"/>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659287A0">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0" w:name="_Toc256000061"/>
      <w:r>
        <w:rPr>
          <w:rFonts w:ascii="黑体" w:hAnsi="黑体" w:eastAsia="黑体" w:cs="黑体"/>
          <w:b w:val="0"/>
          <w:bCs w:val="0"/>
          <w:spacing w:val="0"/>
        </w:rPr>
        <w:t>五、一般公共预算财政拨款支出决算表</w:t>
      </w:r>
      <w:bookmarkEnd w:id="10"/>
    </w:p>
    <w:p w14:paraId="68D2FD2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20"/>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30650305">
        <w:tblPrEx>
          <w:tblCellMar>
            <w:top w:w="0" w:type="dxa"/>
            <w:left w:w="108" w:type="dxa"/>
            <w:bottom w:w="0" w:type="dxa"/>
            <w:right w:w="108" w:type="dxa"/>
          </w:tblCellMar>
        </w:tblPrEx>
        <w:trPr>
          <w:cantSplit/>
          <w:tblHeader/>
        </w:trPr>
        <w:tc>
          <w:tcPr>
            <w:tcW w:w="16381" w:type="dxa"/>
            <w:gridSpan w:val="5"/>
            <w:noWrap w:val="0"/>
            <w:tcMar>
              <w:top w:w="15" w:type="dxa"/>
              <w:left w:w="108" w:type="dxa"/>
              <w:bottom w:w="15" w:type="dxa"/>
              <w:right w:w="108" w:type="dxa"/>
            </w:tcMar>
            <w:vAlign w:val="center"/>
          </w:tcPr>
          <w:p w14:paraId="53A90785">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一般公共预算财政拨款支出决算表</w:t>
            </w:r>
          </w:p>
        </w:tc>
      </w:tr>
      <w:tr w14:paraId="07A28FBF">
        <w:tblPrEx>
          <w:tblCellMar>
            <w:top w:w="0" w:type="dxa"/>
            <w:left w:w="108" w:type="dxa"/>
            <w:bottom w:w="0" w:type="dxa"/>
            <w:right w:w="108" w:type="dxa"/>
          </w:tblCellMar>
        </w:tblPrEx>
        <w:trPr>
          <w:cantSplit/>
          <w:tblHeader/>
        </w:trPr>
        <w:tc>
          <w:tcPr>
            <w:tcW w:w="10540" w:type="dxa"/>
            <w:gridSpan w:val="2"/>
            <w:noWrap w:val="0"/>
            <w:tcMar>
              <w:top w:w="15" w:type="dxa"/>
              <w:left w:w="108" w:type="dxa"/>
              <w:bottom w:w="15" w:type="dxa"/>
              <w:right w:w="108" w:type="dxa"/>
            </w:tcMar>
            <w:vAlign w:val="bottom"/>
          </w:tcPr>
          <w:p w14:paraId="445F7F2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D4043D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241D7849">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公开05表</w:t>
            </w:r>
          </w:p>
        </w:tc>
      </w:tr>
      <w:tr w14:paraId="77CC9190">
        <w:tblPrEx>
          <w:tblCellMar>
            <w:top w:w="0" w:type="dxa"/>
            <w:left w:w="108" w:type="dxa"/>
            <w:bottom w:w="0" w:type="dxa"/>
            <w:right w:w="108" w:type="dxa"/>
          </w:tblCellMar>
        </w:tblPrEx>
        <w:trPr>
          <w:cantSplit/>
          <w:tblHeader/>
        </w:trPr>
        <w:tc>
          <w:tcPr>
            <w:tcW w:w="10540" w:type="dxa"/>
            <w:gridSpan w:val="3"/>
            <w:noWrap w:val="0"/>
            <w:tcMar>
              <w:top w:w="15" w:type="dxa"/>
              <w:left w:w="108" w:type="dxa"/>
              <w:bottom w:w="15" w:type="dxa"/>
              <w:right w:w="108" w:type="dxa"/>
            </w:tcMar>
            <w:vAlign w:val="center"/>
          </w:tcPr>
          <w:p w14:paraId="321FF7F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gridSpan w:val="2"/>
            <w:noWrap w:val="0"/>
            <w:tcMar>
              <w:top w:w="15" w:type="dxa"/>
              <w:left w:w="108" w:type="dxa"/>
              <w:bottom w:w="15" w:type="dxa"/>
              <w:right w:w="108" w:type="dxa"/>
            </w:tcMar>
            <w:vAlign w:val="center"/>
          </w:tcPr>
          <w:p w14:paraId="53CEDD98">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096FFCF1">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690B8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73C67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本年支出</w:t>
            </w:r>
          </w:p>
        </w:tc>
      </w:tr>
      <w:tr w14:paraId="744A6B24">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27194D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F9DBEE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E1B1CB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2109F0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57F7D5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项目支出</w:t>
            </w:r>
          </w:p>
        </w:tc>
      </w:tr>
      <w:tr w14:paraId="36FE196A">
        <w:tblPrEx>
          <w:tblCellMar>
            <w:top w:w="0" w:type="dxa"/>
            <w:left w:w="108" w:type="dxa"/>
            <w:bottom w:w="0" w:type="dxa"/>
            <w:right w:w="108" w:type="dxa"/>
          </w:tblCellMar>
        </w:tblPrEx>
        <w:trPr>
          <w:cantSplit/>
          <w:tblHeader/>
        </w:trPr>
        <w:tc>
          <w:tcPr>
            <w:tcW w:w="348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94F02A4">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562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CE3DB5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2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35E47F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51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D8EF86">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51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0AD09B7">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108E3F6E">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2B051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B64A8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527.85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53946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472.98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43BA5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r>
      <w:tr w14:paraId="19209A7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E2BD4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C15E0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D5388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42392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81EAB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5A3966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6C83A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EDECC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6121F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199.05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2D9E9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199.05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4435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AF6F1E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FC86C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DC78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事业单位离退休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7C2BC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178.33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B34E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178.33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385D2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B11402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5DA0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96BC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E9D5E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20.72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D08AE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20.72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ABA36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892CDB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52F12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C9D6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6369C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B8D40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234F8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107E2B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19750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3CAFE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D2D45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F6924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6DE59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6F18E9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FB16C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49124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E6A28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749D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166E1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38B8F0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9C466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2A5E0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A2F10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1F405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4166D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AB6ED0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4CB62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2101102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76720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E77D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722C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5F2AC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7D6F3A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11667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94E6E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B56C6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269.95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D9E24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EF726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r>
      <w:tr w14:paraId="3BDA3FB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548A1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02DC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D1BF2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269.95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6D8C9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FA6A2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r>
      <w:tr w14:paraId="1A5D98D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B0823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02256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4D56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FE78F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D6EDB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58A756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7FDDB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2130148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69D87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渔业发展</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3C0B8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26716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2C6C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54.87</w:t>
            </w:r>
          </w:p>
        </w:tc>
      </w:tr>
      <w:tr w14:paraId="5521895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4548C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8ED4F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8D846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38705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83396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5FBB74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740B7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4E0CC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81A17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3EAF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37.07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37A17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90E5A0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D67C0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A9EC4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A721A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E5350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AD57D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D36062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33281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2210202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AD8F7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提租补贴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E41F5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3F4E2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8.20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B4A65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88BEF29">
        <w:tblPrEx>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tcPr>
          <w:p w14:paraId="36020785">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注：1.本表反映单位本年度一般公共预算财政拨款支出情况。</w:t>
            </w:r>
          </w:p>
        </w:tc>
      </w:tr>
      <w:tr w14:paraId="5722A563">
        <w:tblPrEx>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tcPr>
          <w:p w14:paraId="6637D21C">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bl>
    <w:p w14:paraId="2F122213">
      <w:pPr>
        <w:sectPr>
          <w:footerReference r:id="rId12"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28DA5DA2">
      <w:pPr>
        <w:pStyle w:val="30"/>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26F9B406">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1" w:name="_Toc256000062"/>
      <w:r>
        <w:rPr>
          <w:rFonts w:ascii="黑体" w:hAnsi="黑体" w:eastAsia="黑体" w:cs="黑体"/>
          <w:b w:val="0"/>
          <w:bCs w:val="0"/>
          <w:spacing w:val="0"/>
        </w:rPr>
        <w:t>六、一般公共预算财政拨款基本支出决算表</w:t>
      </w:r>
      <w:bookmarkEnd w:id="11"/>
    </w:p>
    <w:p w14:paraId="01A30CC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164400A1">
        <w:tblPrEx>
          <w:tblCellMar>
            <w:top w:w="0" w:type="dxa"/>
            <w:left w:w="108" w:type="dxa"/>
            <w:bottom w:w="0" w:type="dxa"/>
            <w:right w:w="108" w:type="dxa"/>
          </w:tblCellMar>
        </w:tblPrEx>
        <w:trPr>
          <w:cantSplit/>
          <w:tblHeader/>
        </w:trPr>
        <w:tc>
          <w:tcPr>
            <w:tcW w:w="16377" w:type="dxa"/>
            <w:gridSpan w:val="9"/>
            <w:noWrap w:val="0"/>
            <w:tcMar>
              <w:top w:w="15" w:type="dxa"/>
              <w:left w:w="108" w:type="dxa"/>
              <w:bottom w:w="15" w:type="dxa"/>
              <w:right w:w="108" w:type="dxa"/>
            </w:tcMar>
            <w:vAlign w:val="center"/>
          </w:tcPr>
          <w:p w14:paraId="661D1000">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一般公共预算财政拨款基本支出决算表</w:t>
            </w:r>
          </w:p>
        </w:tc>
      </w:tr>
      <w:tr w14:paraId="4FB3769C">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50A8CE1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F90112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8A584D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3026A2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45F8FAD6">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公开06表</w:t>
            </w:r>
          </w:p>
        </w:tc>
      </w:tr>
      <w:tr w14:paraId="464EA8BD">
        <w:tblPrEx>
          <w:tblCellMar>
            <w:top w:w="0" w:type="dxa"/>
            <w:left w:w="108" w:type="dxa"/>
            <w:bottom w:w="0" w:type="dxa"/>
            <w:right w:w="108" w:type="dxa"/>
          </w:tblCellMar>
        </w:tblPrEx>
        <w:trPr>
          <w:cantSplit/>
          <w:tblHeader/>
        </w:trPr>
        <w:tc>
          <w:tcPr>
            <w:tcW w:w="21600" w:type="dxa"/>
            <w:gridSpan w:val="6"/>
            <w:noWrap w:val="0"/>
            <w:tcMar>
              <w:top w:w="15" w:type="dxa"/>
              <w:left w:w="108" w:type="dxa"/>
              <w:bottom w:w="15" w:type="dxa"/>
              <w:right w:w="108" w:type="dxa"/>
            </w:tcMar>
            <w:vAlign w:val="center"/>
          </w:tcPr>
          <w:p w14:paraId="3F98727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bottom"/>
          </w:tcPr>
          <w:p w14:paraId="2D0B832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75B5EB5A">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795D1D76">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5F97F9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00BAA0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8E8EC4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73A16A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BA71D0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9CB112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148FC6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2BF99C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375D2A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金额</w:t>
            </w:r>
          </w:p>
        </w:tc>
      </w:tr>
      <w:tr w14:paraId="7F092D2E">
        <w:tblPrEx>
          <w:tblCellMar>
            <w:top w:w="0" w:type="dxa"/>
            <w:left w:w="108" w:type="dxa"/>
            <w:bottom w:w="0" w:type="dxa"/>
            <w:right w:w="108" w:type="dxa"/>
          </w:tblCellMar>
        </w:tblPrEx>
        <w:trPr>
          <w:cantSplit/>
          <w:tblHeader/>
        </w:trPr>
        <w:tc>
          <w:tcPr>
            <w:tcW w:w="182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CA126D7">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60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A6E60CD">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A1EDE9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82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778152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95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5938E8">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03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AAEA505">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82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1A12F45">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3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E536809">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03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D56AA95">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56685F8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F0904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836C7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4F90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285.93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0B55C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6D321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E30F3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56421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D00B0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47D13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713E0D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263D2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595F0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034FC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176.58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58FFA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893AF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43FAE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EE779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CA58C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F039C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519DBB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9A73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0D49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37C8C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11.26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5655A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FE119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12A86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9B07A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2FC1F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2DAFF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FCD62E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B876F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92C0B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B2C88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98F32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A902B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75AFB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23ABC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A8D37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3DC1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2C16C0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DF6B3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CE868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EBC50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788DE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EB494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1FCE2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E98A2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2942B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356F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990584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36A2C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4D4B9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28F05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33.34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CF308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6753E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80B8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EF4BC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29733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4FA08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00B38F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D383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FA43E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14943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20.72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E88F2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440EB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24267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EFCF3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A9108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55757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1D5C4C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4F6D8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D655B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B00C0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2A166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E12AC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C6900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B065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6510F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77A0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2FBCC5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56559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142BA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8999C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14.34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2428F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F6A82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251E6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CC490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196AA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9C39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2B674D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1F551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D9545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E8B9C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8D83D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0982A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4F226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E09D4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AF815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2A66D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1FB3BF3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7CC4F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3453D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5E4E2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6C184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91F70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3A3AA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291A3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3F9BC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6CA27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3366FF9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3CF2B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53357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CF095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28.87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FE6DB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9AC17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BCA8C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D6106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BBD7D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55F04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69C94A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C925B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04AD8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F3722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0F8D4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C995B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F42CA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7C6DC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5083D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7346A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6F5E5D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924D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6782F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F00F8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8F38F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2F755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EF273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CD034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7073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B1098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43F968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71049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000F9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348EB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187.05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32476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6DD3C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89024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7E37E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DCFBA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C2AB6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0DCFE6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341E4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D847D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DCDE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56.14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DFF68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E1D18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666C4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33C86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D7030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FBD71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79971B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8AA1E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4A384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D01B3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05B47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8D60A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9DB17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C309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6F1BE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AD77A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B04EC3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8D651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66CCC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D5B70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A7624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91D67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6CD88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C5DB6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75417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23693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95B5A8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987BD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AF8F1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B12A1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64C69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B6EE1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60E50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BA39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11D31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FAEB2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4360EF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C69DA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06580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9C065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1.28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52B7E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00A68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B775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D0EA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8FC7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1B1DD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F31AFB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E66B3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B50A3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0FD6E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11F6A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AE24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3E79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23314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9CA80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166E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491E6C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BAE8C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6BEBB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6E1DE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34A39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2486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9D94A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D4FC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CAEC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7D7A1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B9DFA3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CBEF6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A6207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2EE91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815C8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C630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94413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F4EF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AB78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0A0D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265054C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9D678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67AEB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77FB7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BD4BA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87E3B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023A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21E8D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16E33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906AC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FAF145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41BB4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85F43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37F67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9"/>
                <w:szCs w:val="29"/>
              </w:rPr>
            </w:pPr>
            <w:r>
              <w:rPr>
                <w:rFonts w:hint="default" w:ascii="宋体" w:hAnsi="宋体" w:eastAsia="宋体" w:cs="宋体"/>
                <w:b w:val="0"/>
                <w:bCs w:val="0"/>
                <w:i w:val="0"/>
                <w:iCs w:val="0"/>
                <w:smallCaps w:val="0"/>
                <w:color w:val="000000"/>
                <w:kern w:val="0"/>
                <w:sz w:val="21"/>
                <w:szCs w:val="29"/>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E2842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DE9FA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7A9A0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9"/>
                <w:szCs w:val="29"/>
              </w:rPr>
            </w:pPr>
            <w:r>
              <w:rPr>
                <w:rFonts w:hint="default" w:ascii="宋体" w:hAnsi="宋体" w:eastAsia="宋体" w:cs="宋体"/>
                <w:b w:val="0"/>
                <w:bCs w:val="0"/>
                <w:i w:val="0"/>
                <w:iCs w:val="0"/>
                <w:smallCaps w:val="0"/>
                <w:color w:val="000000"/>
                <w:kern w:val="0"/>
                <w:sz w:val="21"/>
                <w:szCs w:val="29"/>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29C08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9F0AA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A58E2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9"/>
                <w:szCs w:val="29"/>
              </w:rPr>
            </w:pPr>
            <w:r>
              <w:rPr>
                <w:rFonts w:hint="default" w:ascii="宋体" w:hAnsi="宋体" w:eastAsia="宋体" w:cs="宋体"/>
                <w:b w:val="0"/>
                <w:bCs w:val="0"/>
                <w:i w:val="0"/>
                <w:iCs w:val="0"/>
                <w:smallCaps w:val="0"/>
                <w:color w:val="000000"/>
                <w:kern w:val="0"/>
                <w:sz w:val="21"/>
                <w:szCs w:val="29"/>
              </w:rPr>
              <w:t> </w:t>
            </w:r>
          </w:p>
        </w:tc>
      </w:tr>
      <w:tr w14:paraId="707B9E1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53CB4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60C5B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6C7F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D0C02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0B757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71E51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FF635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BFA77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4CE28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5ADCDA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59E69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3DC5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CC6B1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122.19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2CDE6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E1362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12715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46152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FCEBC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2BFF4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4319AE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51D5C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AF351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D34D2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0853D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7E75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54C58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A2BAAB">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451ED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785D5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FC11EF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EEC621">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FB982D">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13EDE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8D4D2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48DAA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4579B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18839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A4B8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7A6D4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74578E6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3B29A8">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3FAEA8">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CEC75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B9925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02828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221CA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86AE2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69D37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09CEF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7E8A40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480B4E">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0654E9">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D6F6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BD1D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D59C7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52852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CFEE9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3A56B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A1378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D92FDA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852054">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16214">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EA3A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B0F79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E98BE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95850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28105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CA04F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3F666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1B65990">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6B7D6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4A3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472.98</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D34AF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FE8BB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C2D7915">
        <w:tblPrEx>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tcPr>
          <w:p w14:paraId="345BF994">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注：1.本表反映单位本年度一般公共预算财政拨款基本支出明细情况。</w:t>
            </w:r>
          </w:p>
        </w:tc>
      </w:tr>
      <w:tr w14:paraId="20999786">
        <w:tblPrEx>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tcPr>
          <w:p w14:paraId="19876B97">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bl>
    <w:p w14:paraId="6F63FDAA">
      <w:pPr>
        <w:sectPr>
          <w:footerReference r:id="rId13"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7E6D849F">
      <w:pPr>
        <w:pStyle w:val="30"/>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613C487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2" w:name="_Toc256000063"/>
      <w:r>
        <w:rPr>
          <w:rFonts w:ascii="黑体" w:hAnsi="黑体" w:eastAsia="黑体" w:cs="黑体"/>
          <w:b w:val="0"/>
          <w:bCs w:val="0"/>
          <w:spacing w:val="0"/>
        </w:rPr>
        <w:t>七、一般公共预算财政拨款“三公”经费支出决算表</w:t>
      </w:r>
      <w:bookmarkEnd w:id="12"/>
    </w:p>
    <w:p w14:paraId="6B7E110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0" w:type="dxa"/>
          <w:left w:w="108" w:type="dxa"/>
          <w:bottom w:w="0" w:type="dxa"/>
          <w:right w:w="108" w:type="dxa"/>
        </w:tblCellMar>
      </w:tblPr>
      <w:tblGrid>
        <w:gridCol w:w="5053"/>
        <w:gridCol w:w="5053"/>
        <w:gridCol w:w="5053"/>
      </w:tblGrid>
      <w:tr w14:paraId="47B0C330">
        <w:tblPrEx>
          <w:tblCellMar>
            <w:top w:w="0" w:type="dxa"/>
            <w:left w:w="108" w:type="dxa"/>
            <w:bottom w:w="0" w:type="dxa"/>
            <w:right w:w="108" w:type="dxa"/>
          </w:tblCellMar>
        </w:tblPrEx>
        <w:trPr>
          <w:cantSplit/>
          <w:tblHeader/>
        </w:trPr>
        <w:tc>
          <w:tcPr>
            <w:tcW w:w="16383" w:type="dxa"/>
            <w:gridSpan w:val="3"/>
            <w:noWrap w:val="0"/>
            <w:tcMar>
              <w:top w:w="15" w:type="dxa"/>
              <w:left w:w="108" w:type="dxa"/>
              <w:bottom w:w="15" w:type="dxa"/>
              <w:right w:w="108" w:type="dxa"/>
            </w:tcMar>
            <w:vAlign w:val="center"/>
          </w:tcPr>
          <w:p w14:paraId="538512BB">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一般公共预算财政拨款“三公”经费支出决算表</w:t>
            </w:r>
          </w:p>
        </w:tc>
      </w:tr>
      <w:tr w14:paraId="47673CF0">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2FF9F40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39DC2E4E">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公开07表</w:t>
            </w:r>
          </w:p>
        </w:tc>
      </w:tr>
      <w:tr w14:paraId="135F9EF6">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center"/>
          </w:tcPr>
          <w:p w14:paraId="59AFF32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center"/>
          </w:tcPr>
          <w:p w14:paraId="26489FA9">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37878A0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281E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65D1C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BD618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决算数</w:t>
            </w:r>
          </w:p>
        </w:tc>
      </w:tr>
      <w:tr w14:paraId="449E5D7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1F930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0AB72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F2A9A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0.00</w:t>
            </w:r>
          </w:p>
        </w:tc>
      </w:tr>
      <w:tr w14:paraId="03FB0D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6F866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 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06D73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04082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0.00</w:t>
            </w:r>
          </w:p>
        </w:tc>
      </w:tr>
      <w:tr w14:paraId="3680D99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77ED1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1A1E0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A848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0.00</w:t>
            </w:r>
          </w:p>
        </w:tc>
      </w:tr>
      <w:tr w14:paraId="12960FC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39F1E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12FC8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1D6D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0.00</w:t>
            </w:r>
          </w:p>
        </w:tc>
      </w:tr>
      <w:tr w14:paraId="46F9D96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878323">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36BC2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C88B4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0.00</w:t>
            </w:r>
          </w:p>
        </w:tc>
      </w:tr>
      <w:tr w14:paraId="35A9260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CA655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86C6E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F3539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0.00</w:t>
            </w:r>
          </w:p>
        </w:tc>
      </w:tr>
      <w:tr w14:paraId="7F5C538A">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12FDB980">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r w14:paraId="754352E0">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37832EB2">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r w14:paraId="0DB5A025">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3EC71B40">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注：本单位2025年度没有使用一般公共预算财政拨款安排的“三公”经费支出。</w:t>
            </w:r>
          </w:p>
        </w:tc>
      </w:tr>
    </w:tbl>
    <w:p w14:paraId="7ED61570">
      <w:pPr>
        <w:sectPr>
          <w:footerReference r:id="rId14"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4106E909">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14:paraId="2EE7E001">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3" w:name="_Toc256000064"/>
      <w:r>
        <w:rPr>
          <w:rFonts w:ascii="黑体" w:hAnsi="黑体" w:eastAsia="黑体" w:cs="黑体"/>
          <w:b w:val="0"/>
          <w:bCs w:val="0"/>
          <w:spacing w:val="0"/>
        </w:rPr>
        <w:t>八、政府性基金预算财政拨款收入支出决算表</w:t>
      </w:r>
      <w:bookmarkEnd w:id="13"/>
    </w:p>
    <w:p w14:paraId="4AA8212C">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20"/>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36331148">
        <w:tblPrEx>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tcPr>
          <w:p w14:paraId="4B383494">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政府性基金预算财政拨款收入支出决算表</w:t>
            </w:r>
          </w:p>
        </w:tc>
      </w:tr>
      <w:tr w14:paraId="7DA843DB">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77FF0507">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tcPr>
          <w:p w14:paraId="68575E6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C17248F">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4632D1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74797F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4CDFD08">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516E93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4C5C74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471CAA9B">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公开08表</w:t>
            </w:r>
          </w:p>
        </w:tc>
      </w:tr>
      <w:tr w14:paraId="52BC9993">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74B9815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bottom"/>
          </w:tcPr>
          <w:p w14:paraId="5B3323D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6EAF1A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1F72AF00">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1859BAFF">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45878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5F16EA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41B87A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DF5A6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20253C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年末结转和结余</w:t>
            </w:r>
          </w:p>
        </w:tc>
      </w:tr>
      <w:tr w14:paraId="76672882">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9CF1B3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F9C843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2159" w:type="dxa"/>
            <w:vMerge w:val="continue"/>
            <w:tcBorders>
              <w:left w:val="single" w:color="000000" w:sz="6" w:space="0"/>
              <w:right w:val="single" w:color="000000" w:sz="6" w:space="0"/>
            </w:tcBorders>
            <w:tcMar>
              <w:left w:w="108" w:type="dxa"/>
              <w:right w:w="108" w:type="dxa"/>
            </w:tcMar>
            <w:vAlign w:val="center"/>
          </w:tcPr>
          <w:p w14:paraId="6407C671">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96" w:type="dxa"/>
            <w:vMerge w:val="continue"/>
            <w:tcBorders>
              <w:left w:val="single" w:color="000000" w:sz="6" w:space="0"/>
              <w:right w:val="single" w:color="000000" w:sz="6" w:space="0"/>
            </w:tcBorders>
            <w:tcMar>
              <w:left w:w="108" w:type="dxa"/>
              <w:right w:w="108" w:type="dxa"/>
            </w:tcMar>
            <w:vAlign w:val="center"/>
          </w:tcPr>
          <w:p w14:paraId="23DAA414">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87A6273">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840B27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CCBC57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项目支出</w:t>
            </w:r>
          </w:p>
        </w:tc>
        <w:tc>
          <w:tcPr>
            <w:tcW w:w="2161" w:type="dxa"/>
            <w:vMerge w:val="continue"/>
            <w:tcBorders>
              <w:left w:val="single" w:color="000000" w:sz="6" w:space="0"/>
              <w:right w:val="single" w:color="000000" w:sz="6" w:space="0"/>
            </w:tcBorders>
            <w:tcMar>
              <w:left w:w="108" w:type="dxa"/>
              <w:right w:w="108" w:type="dxa"/>
            </w:tcMar>
            <w:vAlign w:val="center"/>
          </w:tcPr>
          <w:p w14:paraId="43F4DC9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69C9A673">
        <w:tblPrEx>
          <w:tblCellMar>
            <w:top w:w="0" w:type="dxa"/>
            <w:left w:w="108" w:type="dxa"/>
            <w:bottom w:w="0" w:type="dxa"/>
            <w:right w:w="108" w:type="dxa"/>
          </w:tblCellMar>
        </w:tblPrEx>
        <w:trPr>
          <w:cantSplit/>
          <w:tblHeader/>
        </w:trPr>
        <w:tc>
          <w:tcPr>
            <w:tcW w:w="2271"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3BE01566">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26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DD1C528">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15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507877A">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EBEE9F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05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27667F1">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B0CACC">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14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A9BEEF7">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16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C5E6F0A">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0728DC62">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9197EC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F842E0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7E3AA0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9FDD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C3269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E15C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9F955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E32C39">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AB4FE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9A94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6</w:t>
            </w:r>
          </w:p>
        </w:tc>
      </w:tr>
      <w:tr w14:paraId="441D39C1">
        <w:tblPrEx>
          <w:tblCellMar>
            <w:top w:w="0" w:type="dxa"/>
            <w:left w:w="108" w:type="dxa"/>
            <w:bottom w:w="0" w:type="dxa"/>
            <w:right w:w="108" w:type="dxa"/>
          </w:tblCellMar>
        </w:tblPrEx>
        <w:trPr>
          <w:cantSplit/>
        </w:trPr>
        <w:tc>
          <w:tcPr>
            <w:tcW w:w="75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1307F6A">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75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7FA0C2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75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F6CDA2D">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5BE774">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6A7E2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AFB43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C7858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23007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03D53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59F49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4650A3F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D82FA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257D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2AABA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BA22B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95EF37">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B83FEF">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EAC86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88805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6B74E31B">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2CC52CC1">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r w14:paraId="417A1FDF">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04A5ED8C">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注：本单位2025年度没有使用政府性基金预算财政拨款安排的收支。</w:t>
            </w:r>
          </w:p>
        </w:tc>
      </w:tr>
    </w:tbl>
    <w:p w14:paraId="69BDFD90">
      <w:pPr>
        <w:sectPr>
          <w:footerReference r:id="rId15"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0677952F">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3DCC6A98">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4" w:name="_Toc256000065"/>
      <w:r>
        <w:rPr>
          <w:rFonts w:ascii="黑体" w:hAnsi="黑体" w:eastAsia="黑体" w:cs="黑体"/>
          <w:b w:val="0"/>
          <w:bCs w:val="0"/>
          <w:spacing w:val="0"/>
        </w:rPr>
        <w:t>九、国有资本经营预算财政拨款支出决算表</w:t>
      </w:r>
      <w:bookmarkEnd w:id="14"/>
    </w:p>
    <w:p w14:paraId="4EBE470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20"/>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7CB9A4F6">
        <w:tblPrEx>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tcPr>
          <w:p w14:paraId="304D9682">
            <w:pPr>
              <w:keepNext w:val="0"/>
              <w:keepLines w:val="0"/>
              <w:widowControl/>
              <w:suppressLineNumbers w:val="0"/>
              <w:spacing w:before="0" w:beforeAutospacing="0" w:after="0" w:afterAutospacing="0"/>
              <w:ind w:left="0" w:right="0"/>
              <w:jc w:val="center"/>
              <w:rPr>
                <w:rFonts w:hint="default" w:ascii="黑体" w:hAnsi="黑体" w:eastAsia="黑体" w:cs="黑体"/>
                <w:b w:val="0"/>
                <w:bCs w:val="0"/>
                <w:i w:val="0"/>
                <w:iCs w:val="0"/>
                <w:smallCaps w:val="0"/>
                <w:color w:val="000000"/>
                <w:kern w:val="0"/>
                <w:sz w:val="36"/>
                <w:szCs w:val="36"/>
              </w:rPr>
            </w:pPr>
            <w:r>
              <w:rPr>
                <w:rFonts w:hint="default" w:ascii="黑体" w:hAnsi="黑体" w:eastAsia="黑体" w:cs="黑体"/>
                <w:b w:val="0"/>
                <w:bCs w:val="0"/>
                <w:i w:val="0"/>
                <w:iCs w:val="0"/>
                <w:smallCaps w:val="0"/>
                <w:color w:val="000000"/>
                <w:kern w:val="0"/>
                <w:sz w:val="32"/>
                <w:szCs w:val="36"/>
              </w:rPr>
              <w:t>国有资本经营预算财政拨款支出决算表</w:t>
            </w:r>
          </w:p>
        </w:tc>
      </w:tr>
      <w:tr w14:paraId="2E40F225">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1ABBBA5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6262EE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A1BEB5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78EB97A3">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公开09表</w:t>
            </w:r>
          </w:p>
        </w:tc>
      </w:tr>
      <w:tr w14:paraId="5662FE4A">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4A31766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4"/>
                <w:szCs w:val="26"/>
              </w:rPr>
              <w:t>编制单位：福建省水产设计院</w:t>
            </w:r>
          </w:p>
        </w:tc>
        <w:tc>
          <w:tcPr>
            <w:tcW w:w="21600" w:type="dxa"/>
            <w:noWrap w:val="0"/>
            <w:tcMar>
              <w:top w:w="15" w:type="dxa"/>
              <w:left w:w="108" w:type="dxa"/>
              <w:bottom w:w="15" w:type="dxa"/>
              <w:right w:w="108" w:type="dxa"/>
            </w:tcMar>
            <w:vAlign w:val="center"/>
          </w:tcPr>
          <w:p w14:paraId="13E8909D">
            <w:pPr>
              <w:keepNext w:val="0"/>
              <w:keepLines w:val="0"/>
              <w:widowControl/>
              <w:suppressLineNumbers w:val="0"/>
              <w:spacing w:before="0" w:beforeAutospacing="0" w:after="0" w:afterAutospacing="0"/>
              <w:ind w:left="0" w:right="0"/>
              <w:jc w:val="righ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单位：万元</w:t>
            </w:r>
          </w:p>
        </w:tc>
      </w:tr>
      <w:tr w14:paraId="1BAB0F58">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8073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ABEB9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本年支出</w:t>
            </w:r>
          </w:p>
        </w:tc>
      </w:tr>
      <w:tr w14:paraId="6C1BCC50">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90AD6B8">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60BCBA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853A5D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D7DBA40">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9B408EB">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项目支出</w:t>
            </w:r>
          </w:p>
        </w:tc>
      </w:tr>
      <w:tr w14:paraId="5E987071">
        <w:tblPrEx>
          <w:tblCellMar>
            <w:top w:w="0" w:type="dxa"/>
            <w:left w:w="108" w:type="dxa"/>
            <w:bottom w:w="0" w:type="dxa"/>
            <w:right w:w="108" w:type="dxa"/>
          </w:tblCellMar>
        </w:tblPrEx>
        <w:trPr>
          <w:cantSplit/>
          <w:tblHeader/>
        </w:trPr>
        <w:tc>
          <w:tcPr>
            <w:tcW w:w="3712" w:type="dxa"/>
            <w:vMerge w:val="continue"/>
            <w:tcBorders>
              <w:left w:val="single" w:color="000000" w:sz="6" w:space="0"/>
              <w:right w:val="single" w:color="000000" w:sz="6" w:space="0"/>
            </w:tcBorders>
            <w:tcMar>
              <w:left w:w="108" w:type="dxa"/>
              <w:right w:w="108" w:type="dxa"/>
            </w:tcMar>
            <w:vAlign w:val="center"/>
          </w:tcPr>
          <w:p w14:paraId="171B6E15">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6773A8DE">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6BE58090">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0B569DFC">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5289D4A2">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47D9FDCE">
        <w:tblPrEx>
          <w:tblCellMar>
            <w:top w:w="0" w:type="dxa"/>
            <w:left w:w="108" w:type="dxa"/>
            <w:bottom w:w="0" w:type="dxa"/>
            <w:right w:w="108" w:type="dxa"/>
          </w:tblCellMar>
        </w:tblPrEx>
        <w:trPr>
          <w:cantSplit/>
          <w:tblHeader/>
        </w:trPr>
        <w:tc>
          <w:tcPr>
            <w:tcW w:w="37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4F767AD">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4A104A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F24AA14">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6206E61">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8D1A49F">
            <w:pPr>
              <w:keepNext w:val="0"/>
              <w:keepLines w:val="0"/>
              <w:suppressLineNumbers w:val="0"/>
              <w:spacing w:before="0" w:beforeAutospacing="0" w:after="0" w:afterAutospacing="0"/>
              <w:ind w:left="0" w:right="0"/>
              <w:rPr>
                <w:rFonts w:hint="default" w:ascii="Times New Roman" w:hAnsi="Times New Roman" w:eastAsia="Times New Roman" w:cs="Times New Roman"/>
                <w:b w:val="0"/>
                <w:bCs w:val="0"/>
                <w:i w:val="0"/>
                <w:iCs w:val="0"/>
                <w:smallCaps w:val="0"/>
                <w:color w:val="000000"/>
                <w:kern w:val="0"/>
                <w:sz w:val="26"/>
                <w:szCs w:val="26"/>
              </w:rPr>
            </w:pPr>
          </w:p>
        </w:tc>
      </w:tr>
      <w:tr w14:paraId="084B0FBA">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C54785">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4AB16D">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22F3CA">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3C562E">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3</w:t>
            </w:r>
          </w:p>
        </w:tc>
      </w:tr>
      <w:tr w14:paraId="26875F35">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8BB6D1">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03162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6026FC">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9EDAD2">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01A961A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033330">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8FE64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AD84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3ED95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00A6D6">
            <w:pPr>
              <w:keepNext w:val="0"/>
              <w:keepLines w:val="0"/>
              <w:widowControl/>
              <w:suppressLineNumbers w:val="0"/>
              <w:spacing w:before="0" w:beforeAutospacing="0" w:after="0" w:afterAutospacing="0"/>
              <w:ind w:left="0" w:right="0"/>
              <w:jc w:val="center"/>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 </w:t>
            </w:r>
          </w:p>
        </w:tc>
      </w:tr>
      <w:tr w14:paraId="52A0BA2C">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3C17786D">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p>
        </w:tc>
      </w:tr>
      <w:tr w14:paraId="435D420D">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4B3FF79F">
            <w:pPr>
              <w:keepNext w:val="0"/>
              <w:keepLines w:val="0"/>
              <w:widowControl/>
              <w:suppressLineNumbers w:val="0"/>
              <w:spacing w:before="0" w:beforeAutospacing="0" w:after="0" w:afterAutospacing="0" w:line="375" w:lineRule="atLeast"/>
              <w:ind w:left="0" w:right="0"/>
              <w:jc w:val="left"/>
              <w:rPr>
                <w:rFonts w:hint="default" w:ascii="Times New Roman" w:hAnsi="Times New Roman" w:eastAsia="Times New Roman" w:cs="Times New Roman"/>
                <w:b w:val="0"/>
                <w:bCs w:val="0"/>
                <w:i w:val="0"/>
                <w:iCs w:val="0"/>
                <w:smallCaps w:val="0"/>
                <w:color w:val="000000"/>
                <w:kern w:val="0"/>
                <w:sz w:val="26"/>
                <w:szCs w:val="26"/>
              </w:rPr>
            </w:pPr>
            <w:r>
              <w:rPr>
                <w:rFonts w:hint="default" w:ascii="宋体" w:hAnsi="宋体" w:eastAsia="宋体" w:cs="宋体"/>
                <w:b w:val="0"/>
                <w:bCs w:val="0"/>
                <w:i w:val="0"/>
                <w:iCs w:val="0"/>
                <w:smallCaps w:val="0"/>
                <w:color w:val="000000"/>
                <w:kern w:val="0"/>
                <w:sz w:val="21"/>
                <w:szCs w:val="26"/>
              </w:rPr>
              <w:t>注：本单位2025年度没有使用国有资本经营预算财政拨款安排的支出。</w:t>
            </w:r>
          </w:p>
        </w:tc>
      </w:tr>
    </w:tbl>
    <w:p w14:paraId="2F2E9820">
      <w:pPr>
        <w:sectPr>
          <w:footerReference r:id="rId16" w:type="default"/>
          <w:pgSz w:w="16383" w:h="11906" w:orient="landscape"/>
          <w:pgMar w:top="1134" w:right="720" w:bottom="1134" w:left="720" w:header="720" w:footer="720" w:gutter="0"/>
          <w:pgBorders>
            <w:top w:val="none" w:sz="0" w:space="0"/>
            <w:left w:val="none" w:sz="0" w:space="0"/>
            <w:bottom w:val="none" w:sz="0" w:space="0"/>
            <w:right w:val="none" w:sz="0" w:space="0"/>
          </w:pgBorders>
          <w:cols w:space="720" w:num="1"/>
        </w:sectPr>
      </w:pPr>
    </w:p>
    <w:p w14:paraId="759A5ACD">
      <w:pPr>
        <w:pStyle w:val="29"/>
        <w:widowControl/>
        <w:spacing w:before="240" w:after="240"/>
        <w:jc w:val="left"/>
        <w:rPr>
          <w:rFonts w:ascii="Times New Roman" w:hAnsi="Times New Roman" w:eastAsia="Times New Roman" w:cs="Times New Roman"/>
          <w:kern w:val="0"/>
          <w:sz w:val="24"/>
        </w:rPr>
      </w:pPr>
      <w:r>
        <w:rPr>
          <w:rFonts w:ascii="黑体" w:hAnsi="黑体" w:eastAsia="黑体" w:cs="黑体"/>
          <w:spacing w:val="0"/>
          <w:kern w:val="0"/>
          <w:sz w:val="56"/>
          <w:szCs w:val="56"/>
        </w:rPr>
        <w:t> </w:t>
      </w:r>
    </w:p>
    <w:p w14:paraId="1D4A410B">
      <w:pPr>
        <w:pStyle w:val="29"/>
        <w:widowControl/>
        <w:spacing w:before="240" w:after="240"/>
        <w:jc w:val="left"/>
        <w:rPr>
          <w:rFonts w:ascii="Times New Roman" w:hAnsi="Times New Roman" w:eastAsia="Times New Roman" w:cs="Times New Roman"/>
          <w:kern w:val="0"/>
          <w:sz w:val="24"/>
        </w:rPr>
      </w:pPr>
    </w:p>
    <w:p w14:paraId="05E3FDE4">
      <w:pPr>
        <w:pStyle w:val="29"/>
        <w:widowControl/>
        <w:spacing w:before="240" w:after="240"/>
        <w:jc w:val="left"/>
        <w:rPr>
          <w:rFonts w:ascii="Times New Roman" w:hAnsi="Times New Roman" w:eastAsia="Times New Roman" w:cs="Times New Roman"/>
          <w:kern w:val="0"/>
          <w:sz w:val="24"/>
        </w:rPr>
      </w:pPr>
    </w:p>
    <w:p w14:paraId="62257A84">
      <w:pPr>
        <w:pStyle w:val="29"/>
        <w:widowControl/>
        <w:spacing w:before="240" w:after="240"/>
        <w:jc w:val="left"/>
        <w:rPr>
          <w:rFonts w:ascii="Times New Roman" w:hAnsi="Times New Roman" w:eastAsia="Times New Roman" w:cs="Times New Roman"/>
          <w:kern w:val="0"/>
          <w:sz w:val="24"/>
        </w:rPr>
      </w:pPr>
    </w:p>
    <w:p w14:paraId="19199375">
      <w:pPr>
        <w:pStyle w:val="29"/>
        <w:widowControl/>
        <w:spacing w:before="240" w:after="240"/>
        <w:jc w:val="left"/>
        <w:rPr>
          <w:rFonts w:ascii="Times New Roman" w:hAnsi="Times New Roman" w:eastAsia="Times New Roman" w:cs="Times New Roman"/>
          <w:kern w:val="0"/>
          <w:sz w:val="24"/>
        </w:rPr>
      </w:pPr>
    </w:p>
    <w:p w14:paraId="58E03BB4">
      <w:pPr>
        <w:pStyle w:val="29"/>
        <w:widowControl/>
        <w:spacing w:before="240" w:after="240"/>
        <w:jc w:val="left"/>
        <w:rPr>
          <w:rFonts w:ascii="Times New Roman" w:hAnsi="Times New Roman" w:eastAsia="Times New Roman" w:cs="Times New Roman"/>
          <w:kern w:val="0"/>
          <w:sz w:val="24"/>
        </w:rPr>
      </w:pPr>
    </w:p>
    <w:p w14:paraId="1DAB2869">
      <w:pPr>
        <w:pStyle w:val="29"/>
        <w:widowControl/>
        <w:spacing w:before="240" w:after="240"/>
        <w:jc w:val="left"/>
        <w:rPr>
          <w:rFonts w:ascii="Times New Roman" w:hAnsi="Times New Roman" w:eastAsia="Times New Roman" w:cs="Times New Roman"/>
          <w:kern w:val="0"/>
          <w:sz w:val="24"/>
        </w:rPr>
      </w:pPr>
    </w:p>
    <w:p w14:paraId="5255A780">
      <w:pPr>
        <w:pStyle w:val="29"/>
        <w:widowControl/>
        <w:spacing w:before="240" w:after="240"/>
        <w:jc w:val="left"/>
        <w:rPr>
          <w:rFonts w:ascii="Times New Roman" w:hAnsi="Times New Roman" w:eastAsia="Times New Roman" w:cs="Times New Roman"/>
          <w:kern w:val="0"/>
          <w:sz w:val="24"/>
        </w:rPr>
      </w:pPr>
    </w:p>
    <w:p w14:paraId="6425EF5C">
      <w:pPr>
        <w:pStyle w:val="29"/>
        <w:widowControl/>
        <w:spacing w:before="240" w:after="240"/>
        <w:jc w:val="left"/>
        <w:rPr>
          <w:rFonts w:ascii="Times New Roman" w:hAnsi="Times New Roman" w:eastAsia="Times New Roman" w:cs="Times New Roman"/>
          <w:kern w:val="0"/>
          <w:sz w:val="24"/>
        </w:rPr>
      </w:pPr>
    </w:p>
    <w:p w14:paraId="3FFAE2D9">
      <w:pPr>
        <w:pStyle w:val="29"/>
        <w:widowControl/>
        <w:spacing w:before="240" w:after="240"/>
        <w:jc w:val="left"/>
        <w:rPr>
          <w:rFonts w:ascii="Times New Roman" w:hAnsi="Times New Roman" w:eastAsia="Times New Roman" w:cs="Times New Roman"/>
          <w:kern w:val="0"/>
          <w:sz w:val="24"/>
        </w:rPr>
      </w:pPr>
    </w:p>
    <w:p w14:paraId="513DE108">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5" w:name="_Toc256000066"/>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2025年度单位决算情况说明</w:t>
      </w:r>
      <w:bookmarkEnd w:id="15"/>
    </w:p>
    <w:p w14:paraId="3FC9DFC6">
      <w:pPr>
        <w:pStyle w:val="29"/>
        <w:widowControl/>
        <w:spacing w:before="100" w:after="100" w:line="560" w:lineRule="atLeast"/>
        <w:ind w:left="100" w:right="100" w:firstLine="0"/>
        <w:jc w:val="center"/>
        <w:rPr>
          <w:rFonts w:ascii="Times New Roman" w:hAnsi="Times New Roman" w:eastAsia="Times New Roman" w:cs="Times New Roman"/>
          <w:kern w:val="0"/>
          <w:sz w:val="24"/>
        </w:rPr>
      </w:pPr>
    </w:p>
    <w:p w14:paraId="126C26B6">
      <w:pPr>
        <w:sectPr>
          <w:footerReference r:id="rId17"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5D9D364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4E1C35C">
      <w:pPr>
        <w:widowControl/>
        <w:spacing w:before="240" w:after="240"/>
        <w:jc w:val="left"/>
        <w:rPr>
          <w:rFonts w:ascii="Times New Roman" w:hAnsi="Times New Roman" w:eastAsia="Times New Roman" w:cs="Times New Roman"/>
          <w:kern w:val="0"/>
          <w:sz w:val="24"/>
        </w:rPr>
      </w:pPr>
    </w:p>
    <w:p w14:paraId="78E6CD76">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6" w:name="_Toc256000067"/>
      <w:r>
        <w:rPr>
          <w:rFonts w:ascii="黑体" w:hAnsi="黑体" w:eastAsia="黑体" w:cs="黑体"/>
          <w:b w:val="0"/>
          <w:bCs w:val="0"/>
          <w:spacing w:val="0"/>
        </w:rPr>
        <w:t>一、收入支出决算总体情况说明</w:t>
      </w:r>
      <w:bookmarkEnd w:id="16"/>
    </w:p>
    <w:p w14:paraId="53784B70">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71CB776D">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2025年度本单位收入总计2592.95万元，支出总计2592.95万元，与上年决算数相比，各增加362.41万元，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16.25%。主要是</w:t>
      </w:r>
      <w:r>
        <w:rPr>
          <w:rFonts w:hint="eastAsia" w:ascii="仿宋_GB2312" w:hAnsi="仿宋_GB2312" w:eastAsia="仿宋_GB2312" w:cs="仿宋_GB2312"/>
          <w:spacing w:val="0"/>
          <w:kern w:val="0"/>
          <w:sz w:val="32"/>
          <w:szCs w:val="32"/>
          <w:lang w:val="en-US" w:eastAsia="zh-CN"/>
        </w:rPr>
        <w:t>本年</w:t>
      </w:r>
      <w:r>
        <w:rPr>
          <w:rFonts w:ascii="仿宋_GB2312" w:hAnsi="仿宋_GB2312" w:eastAsia="仿宋_GB2312" w:cs="仿宋_GB2312"/>
          <w:kern w:val="0"/>
          <w:sz w:val="32"/>
          <w:szCs w:val="32"/>
        </w:rPr>
        <w:t>事业收入</w:t>
      </w:r>
      <w:r>
        <w:rPr>
          <w:rFonts w:hint="eastAsia" w:ascii="仿宋_GB2312" w:hAnsi="仿宋_GB2312" w:eastAsia="仿宋_GB2312" w:cs="仿宋_GB2312"/>
          <w:kern w:val="0"/>
          <w:sz w:val="32"/>
          <w:szCs w:val="32"/>
          <w:lang w:val="en-US" w:eastAsia="zh-CN"/>
        </w:rPr>
        <w:t>增加，则相应事业支出也增加</w:t>
      </w:r>
      <w:r>
        <w:rPr>
          <w:rFonts w:hint="eastAsia" w:cs="Times New Roman"/>
          <w:kern w:val="0"/>
          <w:sz w:val="32"/>
          <w:szCs w:val="32"/>
          <w:lang w:val="en-US" w:eastAsia="zh-CN"/>
        </w:rPr>
        <w:t>。</w:t>
      </w:r>
    </w:p>
    <w:p w14:paraId="3B553A7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01F889A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2025年度收入2583.29万元，比上年决算数</w:t>
      </w:r>
      <w:r>
        <w:rPr>
          <w:rFonts w:ascii="FangSong_GB2312" w:hAnsi="FangSong_GB2312" w:eastAsia="FangSong_GB2312" w:cs="FangSong_GB2312"/>
          <w:kern w:val="0"/>
          <w:sz w:val="32"/>
          <w:szCs w:val="32"/>
        </w:rPr>
        <w:t>增加</w:t>
      </w:r>
      <w:r>
        <w:rPr>
          <w:rFonts w:ascii="FangSong_GB2312" w:hAnsi="FangSong_GB2312" w:eastAsia="FangSong_GB2312" w:cs="FangSong_GB2312"/>
          <w:spacing w:val="0"/>
          <w:kern w:val="0"/>
          <w:sz w:val="32"/>
          <w:szCs w:val="32"/>
        </w:rPr>
        <w:t>478.84万元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22.75%，具体情况如下：</w:t>
      </w:r>
    </w:p>
    <w:p w14:paraId="148136F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1.一般公共预算财政拨款收入548.39万元。</w:t>
      </w:r>
    </w:p>
    <w:p w14:paraId="3F66663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2.政府性基金预算财政拨款收入0万元。</w:t>
      </w:r>
    </w:p>
    <w:p w14:paraId="742E7190">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3.国有资本经营预算财政拨款收入0万元。</w:t>
      </w:r>
    </w:p>
    <w:p w14:paraId="56854B57">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4.上级补助收入0万元。</w:t>
      </w:r>
    </w:p>
    <w:p w14:paraId="7ED663E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5.事业收入1627.03万元。</w:t>
      </w:r>
    </w:p>
    <w:p w14:paraId="4C58A474">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6.经营收入0万元。</w:t>
      </w:r>
    </w:p>
    <w:p w14:paraId="755E6F68">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7.附属单位上缴收入0万元。</w:t>
      </w:r>
    </w:p>
    <w:p w14:paraId="519E49C3">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8.其他收入407.87万元。</w:t>
      </w:r>
    </w:p>
    <w:p w14:paraId="2AF51AE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3ED0F3A4">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2025年度支出2053.57万元，比上年决算数增加207.92万元，增长11.27%，具体情况如下：</w:t>
      </w:r>
    </w:p>
    <w:p w14:paraId="69638C0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1.基本支出1998.70万元。其中，人员支出1467.02万元，公用支出531.68万元。</w:t>
      </w:r>
    </w:p>
    <w:p w14:paraId="03CF8D4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2.项目支出54.87万元。</w:t>
      </w:r>
    </w:p>
    <w:p w14:paraId="580BF61D">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3.上缴上级支出0万元。</w:t>
      </w:r>
    </w:p>
    <w:p w14:paraId="6C7E1D07">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4.经营支出0万元。</w:t>
      </w:r>
    </w:p>
    <w:p w14:paraId="524642B2">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5.对附属单位补助支出0万元。</w:t>
      </w:r>
    </w:p>
    <w:p w14:paraId="475995DB">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7" w:name="_Toc256000068"/>
      <w:r>
        <w:rPr>
          <w:rFonts w:ascii="黑体" w:hAnsi="黑体" w:eastAsia="黑体" w:cs="黑体"/>
          <w:b w:val="0"/>
          <w:bCs w:val="0"/>
          <w:spacing w:val="0"/>
        </w:rPr>
        <w:t>二、财政拨款收入支出决算总体情况说明</w:t>
      </w:r>
      <w:bookmarkEnd w:id="17"/>
    </w:p>
    <w:p w14:paraId="245501FC">
      <w:pPr>
        <w:widowControl/>
        <w:spacing w:before="240" w:after="240"/>
        <w:ind w:firstLine="640" w:firstLineChars="20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2025年度财政拨款收入总计558.05万元，支出总计558.05万元，与上年决算数相比，各减少10.56万元，下降1.86%，主要是：</w:t>
      </w:r>
      <w:r>
        <w:rPr>
          <w:rFonts w:hint="eastAsia" w:ascii="仿宋_GB2312" w:hAnsi="仿宋_GB2312" w:eastAsia="仿宋_GB2312" w:cs="仿宋_GB2312"/>
          <w:spacing w:val="0"/>
          <w:kern w:val="0"/>
          <w:sz w:val="32"/>
          <w:szCs w:val="32"/>
          <w:lang w:val="en-US" w:eastAsia="zh-CN"/>
        </w:rPr>
        <w:t>本年在职人员较上年减少，</w:t>
      </w:r>
      <w:r>
        <w:rPr>
          <w:rFonts w:hint="eastAsia" w:ascii="仿宋_GB2312" w:hAnsi="仿宋_GB2312" w:eastAsia="仿宋_GB2312" w:cs="仿宋_GB2312"/>
          <w:kern w:val="0"/>
          <w:sz w:val="32"/>
          <w:szCs w:val="32"/>
          <w:lang w:val="en-US" w:eastAsia="zh-CN"/>
        </w:rPr>
        <w:t>财政拨款人员经费较上年收支相应减少</w:t>
      </w:r>
      <w:r>
        <w:rPr>
          <w:rFonts w:ascii="仿宋_GB2312" w:hAnsi="仿宋_GB2312" w:eastAsia="仿宋_GB2312" w:cs="仿宋_GB2312"/>
          <w:kern w:val="0"/>
          <w:sz w:val="32"/>
          <w:szCs w:val="32"/>
        </w:rPr>
        <w:t>。</w:t>
      </w:r>
    </w:p>
    <w:p w14:paraId="6E5F4E4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8" w:name="_Toc256000069"/>
      <w:r>
        <w:rPr>
          <w:rFonts w:ascii="黑体" w:hAnsi="黑体" w:eastAsia="黑体" w:cs="黑体"/>
          <w:b w:val="0"/>
          <w:bCs w:val="0"/>
          <w:spacing w:val="0"/>
        </w:rPr>
        <w:t>三、一般公共预算财政拨款支出决算情况说明</w:t>
      </w:r>
      <w:bookmarkEnd w:id="18"/>
    </w:p>
    <w:p w14:paraId="31491860">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2025年度一般公共预算财政拨款支出527.85万元，比上年决算数减少3.93万元，下降0.74%，具体情况如下(按</w:t>
      </w:r>
      <w:r>
        <w:rPr>
          <w:rStyle w:val="31"/>
          <w:rFonts w:ascii="FangSong_GB2312" w:hAnsi="FangSong_GB2312" w:eastAsia="FangSong_GB2312" w:cs="FangSong_GB2312"/>
          <w:spacing w:val="0"/>
          <w:kern w:val="0"/>
          <w:sz w:val="32"/>
          <w:szCs w:val="32"/>
        </w:rPr>
        <w:t>项级科目</w:t>
      </w:r>
      <w:r>
        <w:rPr>
          <w:rFonts w:ascii="FangSong_GB2312" w:hAnsi="FangSong_GB2312" w:eastAsia="FangSong_GB2312" w:cs="FangSong_GB2312"/>
          <w:spacing w:val="0"/>
          <w:kern w:val="0"/>
          <w:sz w:val="32"/>
          <w:szCs w:val="32"/>
        </w:rPr>
        <w:t>分类统计)：</w:t>
      </w:r>
    </w:p>
    <w:p w14:paraId="4764EFC7">
      <w:pPr>
        <w:pStyle w:val="29"/>
        <w:widowControl/>
        <w:spacing w:before="100" w:after="100" w:line="560" w:lineRule="atLeast"/>
        <w:ind w:left="100" w:right="100" w:firstLine="0"/>
        <w:jc w:val="left"/>
        <w:rPr>
          <w:rFonts w:hint="eastAsia" w:ascii="仿宋_GB2312" w:hAnsi="仿宋_GB2312" w:eastAsia="仿宋_GB2312" w:cs="仿宋_GB2312"/>
          <w:spacing w:val="0"/>
          <w:kern w:val="0"/>
          <w:sz w:val="32"/>
          <w:szCs w:val="32"/>
          <w:lang w:val="en-US" w:eastAsia="zh-CN"/>
        </w:rPr>
      </w:pPr>
      <w:r>
        <w:rPr>
          <w:rFonts w:ascii="FangSong_GB2312" w:hAnsi="FangSong_GB2312" w:eastAsia="FangSong_GB2312" w:cs="FangSong_GB2312"/>
          <w:spacing w:val="0"/>
          <w:kern w:val="0"/>
          <w:sz w:val="32"/>
          <w:szCs w:val="32"/>
        </w:rPr>
        <w:t>  （一）2080502 事业单位离退休 178.33万元，较上年决算数增加21.15万元，增长13.45%。主要原因是</w:t>
      </w:r>
      <w:r>
        <w:rPr>
          <w:rFonts w:hint="eastAsia" w:ascii="仿宋_GB2312" w:hAnsi="仿宋_GB2312" w:eastAsia="仿宋_GB2312" w:cs="仿宋_GB2312"/>
          <w:kern w:val="0"/>
          <w:sz w:val="32"/>
          <w:szCs w:val="32"/>
          <w:lang w:val="en-US" w:eastAsia="zh-CN"/>
        </w:rPr>
        <w:t>退休人员增加</w:t>
      </w:r>
      <w:r>
        <w:rPr>
          <w:rFonts w:ascii="仿宋_GB2312" w:hAnsi="仿宋_GB2312" w:eastAsia="仿宋_GB2312" w:cs="仿宋_GB2312"/>
          <w:kern w:val="0"/>
          <w:sz w:val="32"/>
          <w:szCs w:val="32"/>
        </w:rPr>
        <w:t>。</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  （二）2080505 机关事业单位基本养老保险缴费支出 20.72万元，较上年决算数减少2.68万元，下降11.45%。主要原因是</w:t>
      </w:r>
      <w:r>
        <w:rPr>
          <w:rFonts w:hint="eastAsia" w:ascii="FangSong_GB2312" w:hAnsi="FangSong_GB2312" w:eastAsia="FangSong_GB2312" w:cs="FangSong_GB2312"/>
          <w:spacing w:val="0"/>
          <w:kern w:val="0"/>
          <w:sz w:val="32"/>
          <w:szCs w:val="32"/>
          <w:lang w:val="en-US" w:eastAsia="zh-CN"/>
        </w:rPr>
        <w:t>在职</w:t>
      </w:r>
      <w:r>
        <w:rPr>
          <w:rFonts w:hint="eastAsia" w:ascii="仿宋_GB2312" w:hAnsi="仿宋_GB2312" w:eastAsia="仿宋_GB2312" w:cs="仿宋_GB2312"/>
          <w:kern w:val="0"/>
          <w:sz w:val="32"/>
          <w:szCs w:val="32"/>
          <w:lang w:val="en-US" w:eastAsia="zh-CN"/>
        </w:rPr>
        <w:t>缴纳基本养老保险人员减少。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  （三）2080801 死亡抚恤 7.44万元，较上年决算数增加1.16万元，增长18.51%。主要原因是</w:t>
      </w:r>
      <w:r>
        <w:rPr>
          <w:rFonts w:hint="eastAsia" w:ascii="仿宋_GB2312" w:hAnsi="仿宋_GB2312" w:eastAsia="仿宋_GB2312" w:cs="仿宋_GB2312"/>
          <w:spacing w:val="0"/>
          <w:kern w:val="0"/>
          <w:sz w:val="32"/>
          <w:szCs w:val="32"/>
          <w:lang w:val="en-US" w:eastAsia="zh-CN"/>
        </w:rPr>
        <w:t>本年抚恤金7.44万，上年抚恤金6.28万元。</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  （四）2101102 事业单位医疗 14.34万元，较上年决算数减少2.09万元，下降12.72%。主要原因是</w:t>
      </w:r>
      <w:r>
        <w:rPr>
          <w:rFonts w:hint="eastAsia" w:ascii="仿宋_GB2312" w:hAnsi="仿宋_GB2312" w:eastAsia="仿宋_GB2312" w:cs="仿宋_GB2312"/>
          <w:spacing w:val="0"/>
          <w:kern w:val="0"/>
          <w:sz w:val="32"/>
          <w:szCs w:val="32"/>
          <w:lang w:val="en-US" w:eastAsia="zh-CN"/>
        </w:rPr>
        <w:t>本年缴纳医保基数减少。</w:t>
      </w:r>
    </w:p>
    <w:p w14:paraId="2958D23C">
      <w:pPr>
        <w:pStyle w:val="29"/>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  （五）2130104 事业运行 215.08万元，较上年决算数增加28.20万元，增长15.09%。主要原因是</w:t>
      </w:r>
      <w:r>
        <w:rPr>
          <w:rFonts w:hint="eastAsia" w:ascii="仿宋_GB2312" w:hAnsi="仿宋_GB2312" w:eastAsia="仿宋_GB2312" w:cs="仿宋_GB2312"/>
          <w:spacing w:val="0"/>
          <w:kern w:val="0"/>
          <w:sz w:val="32"/>
          <w:szCs w:val="32"/>
          <w:lang w:val="en-US" w:eastAsia="zh-CN"/>
        </w:rPr>
        <w:t>本年补发在职人员调整基本工资31万元。</w:t>
      </w:r>
      <w:r>
        <w:rPr>
          <w:rFonts w:ascii="仿宋_GB2312" w:hAnsi="仿宋_GB2312" w:eastAsia="仿宋_GB2312" w:cs="仿宋_GB2312"/>
          <w:spacing w:val="0"/>
          <w:kern w:val="0"/>
          <w:sz w:val="32"/>
          <w:szCs w:val="32"/>
        </w:rPr>
        <w:br w:type="textWrapping"/>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  （六）2130148 渔业发展 54.87万元，较上年决算数减少43.96万元，下降44.48%。主要原因是</w:t>
      </w:r>
      <w:r>
        <w:rPr>
          <w:rFonts w:hint="eastAsia" w:ascii="仿宋_GB2312" w:hAnsi="仿宋_GB2312" w:eastAsia="仿宋_GB2312" w:cs="仿宋_GB2312"/>
          <w:spacing w:val="0"/>
          <w:kern w:val="0"/>
          <w:sz w:val="32"/>
          <w:szCs w:val="32"/>
          <w:lang w:val="en-US" w:eastAsia="zh-CN"/>
        </w:rPr>
        <w:t>上年渔业发展专项支出98.83万元，本年渔业发展专项支出</w:t>
      </w:r>
      <w:r>
        <w:rPr>
          <w:rFonts w:ascii="FangSong_GB2312" w:hAnsi="FangSong_GB2312" w:eastAsia="FangSong_GB2312" w:cs="FangSong_GB2312"/>
          <w:spacing w:val="0"/>
          <w:kern w:val="0"/>
          <w:sz w:val="32"/>
          <w:szCs w:val="32"/>
        </w:rPr>
        <w:t>54.87</w:t>
      </w:r>
      <w:r>
        <w:rPr>
          <w:rFonts w:hint="eastAsia" w:ascii="仿宋_GB2312" w:hAnsi="仿宋_GB2312" w:eastAsia="仿宋_GB2312" w:cs="仿宋_GB2312"/>
          <w:spacing w:val="0"/>
          <w:kern w:val="0"/>
          <w:sz w:val="32"/>
          <w:szCs w:val="32"/>
          <w:lang w:val="en-US" w:eastAsia="zh-CN"/>
        </w:rPr>
        <w:t>万元。</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  （七）2210201 住房公积金 28.87万元，较上年决算数减少4.52万元，下降13.54%。主要原因是</w:t>
      </w:r>
      <w:r>
        <w:rPr>
          <w:rFonts w:hint="eastAsia" w:ascii="仿宋_GB2312" w:hAnsi="仿宋_GB2312" w:eastAsia="仿宋_GB2312" w:cs="仿宋_GB2312"/>
          <w:kern w:val="0"/>
          <w:sz w:val="32"/>
          <w:szCs w:val="32"/>
          <w:lang w:val="en-US" w:eastAsia="zh-CN"/>
        </w:rPr>
        <w:t>缴纳住房公积金基数减少</w:t>
      </w:r>
      <w:r>
        <w:rPr>
          <w:rFonts w:ascii="仿宋_GB2312" w:hAnsi="仿宋_GB2312" w:eastAsia="仿宋_GB2312" w:cs="仿宋_GB2312"/>
          <w:kern w:val="0"/>
          <w:sz w:val="27"/>
          <w:szCs w:val="27"/>
        </w:rPr>
        <w:t>。</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  （八）2210202 提租补贴 8.20万元，较上年决算数减少1.19万元，下降12.67%。主要原因是</w:t>
      </w:r>
      <w:r>
        <w:rPr>
          <w:rFonts w:hint="eastAsia" w:ascii="仿宋_GB2312" w:hAnsi="仿宋_GB2312" w:eastAsia="仿宋_GB2312" w:cs="仿宋_GB2312"/>
          <w:spacing w:val="0"/>
          <w:kern w:val="0"/>
          <w:sz w:val="32"/>
          <w:szCs w:val="32"/>
          <w:lang w:val="en-US" w:eastAsia="zh-CN"/>
        </w:rPr>
        <w:t>本年财政拨款提租补贴按比例略有降低。</w:t>
      </w:r>
    </w:p>
    <w:p w14:paraId="19FD0A4F">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070"/>
      <w:r>
        <w:rPr>
          <w:rFonts w:ascii="黑体" w:hAnsi="黑体" w:eastAsia="黑体" w:cs="黑体"/>
          <w:b w:val="0"/>
          <w:bCs w:val="0"/>
          <w:spacing w:val="0"/>
        </w:rPr>
        <w:t>四、政府性基金预算财政拨款支出决算情况说明</w:t>
      </w:r>
      <w:bookmarkEnd w:id="19"/>
    </w:p>
    <w:p w14:paraId="54A6BBD2">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本单位2025年度没有使用政府性基金预算财政拨款安排的支出。</w:t>
      </w:r>
    </w:p>
    <w:p w14:paraId="393A8D2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0" w:name="_Toc256000071"/>
      <w:r>
        <w:rPr>
          <w:rFonts w:ascii="黑体" w:hAnsi="黑体" w:eastAsia="黑体" w:cs="黑体"/>
          <w:b w:val="0"/>
          <w:bCs w:val="0"/>
          <w:spacing w:val="0"/>
        </w:rPr>
        <w:t>五、国有资本经营预算财政拨款支出决算情况说明</w:t>
      </w:r>
      <w:bookmarkEnd w:id="20"/>
    </w:p>
    <w:p w14:paraId="58EF060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本单位2025年度没有使用国有资本经营预算财政拨款安排的支出。</w:t>
      </w:r>
    </w:p>
    <w:p w14:paraId="69FF477E">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1" w:name="_Toc256000072"/>
      <w:r>
        <w:rPr>
          <w:rFonts w:ascii="黑体" w:hAnsi="黑体" w:eastAsia="黑体" w:cs="黑体"/>
          <w:b w:val="0"/>
          <w:bCs w:val="0"/>
          <w:spacing w:val="0"/>
        </w:rPr>
        <w:t>六、一般公共预算财政拨款基本支出决算情况说明</w:t>
      </w:r>
      <w:bookmarkEnd w:id="21"/>
    </w:p>
    <w:p w14:paraId="342923E3">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2025年度一般公共预算财政拨款基本支出472.98万元，其中：</w:t>
      </w:r>
    </w:p>
    <w:p w14:paraId="2CF7DC1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（一）人员经费472.98万元，主要包括：</w:t>
      </w:r>
      <w:r>
        <w:rPr>
          <w:rFonts w:ascii="FangSong_GB2312" w:hAnsi="FangSong_GB2312" w:eastAsia="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037263E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（二）公用经费0万元，主要包括：</w:t>
      </w:r>
      <w:r>
        <w:rPr>
          <w:rFonts w:ascii="FangSong_GB2312" w:hAnsi="FangSong_GB2312" w:eastAsia="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70AA3089">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2" w:name="_Toc256000073"/>
      <w:r>
        <w:rPr>
          <w:rFonts w:ascii="黑体" w:hAnsi="黑体" w:eastAsia="黑体" w:cs="黑体"/>
          <w:b w:val="0"/>
          <w:bCs w:val="0"/>
          <w:spacing w:val="0"/>
        </w:rPr>
        <w:t>七、一般公共预算财政拨款“三公”经费支出决算情况说明</w:t>
      </w:r>
      <w:bookmarkEnd w:id="22"/>
    </w:p>
    <w:p w14:paraId="34CE5B87">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2025年度一般公共预算财政拨款“三公”经费支出0万元，与全年预算数持平，与上年决算数持平。具体情况如下：</w:t>
      </w:r>
    </w:p>
    <w:p w14:paraId="74B8DE42">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（一）因公出国（境）费用支出 0万元，与全年预算数持平，与上年决算数持平。全年安排本单位组织的出国团组0个，参加其他单位出国团组个；全年因公出国（境）累计0 人次。</w:t>
      </w:r>
    </w:p>
    <w:p w14:paraId="17D95DF5">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（二）公务用车购置及运行费支出0万元，与全年预算数持平，与上年决算数持平。</w:t>
      </w:r>
      <w:r>
        <w:rPr>
          <w:rFonts w:ascii="FangSong_GB2312" w:hAnsi="FangSong_GB2312" w:eastAsia="FangSong_GB2312" w:cs="FangSong_GB2312"/>
          <w:kern w:val="0"/>
          <w:sz w:val="32"/>
          <w:szCs w:val="32"/>
        </w:rPr>
        <w:t>其中：</w:t>
      </w:r>
    </w:p>
    <w:p w14:paraId="6FDBBD1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公务用车购置费支出0万元，与全年预算数持平，</w:t>
      </w:r>
      <w:r>
        <w:rPr>
          <w:rFonts w:ascii="FangSong_GB2312" w:hAnsi="FangSong_GB2312" w:eastAsia="FangSong_GB2312" w:cs="FangSong_GB2312"/>
          <w:kern w:val="0"/>
          <w:sz w:val="32"/>
          <w:szCs w:val="32"/>
        </w:rPr>
        <w:t>与上年决算数持平。2025年公务用车购置0辆。</w:t>
      </w:r>
    </w:p>
    <w:p w14:paraId="796F4B4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公务用车运行费支出0万元，与全年预算数持平，与上年决算数持平。截至2025年12月31日，本单位公务用车保有量为0辆。</w:t>
      </w:r>
    </w:p>
    <w:p w14:paraId="4037B364">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（三）公务接待费支出0万元，与全年预算数持平，与上年决算数持平。</w:t>
      </w:r>
      <w:r>
        <w:rPr>
          <w:rFonts w:ascii="FangSong_GB2312" w:hAnsi="FangSong_GB2312" w:eastAsia="FangSong_GB2312" w:cs="FangSong_GB2312"/>
          <w:kern w:val="0"/>
          <w:sz w:val="32"/>
          <w:szCs w:val="32"/>
        </w:rPr>
        <w:t>累计接待0批次、0人次。</w:t>
      </w:r>
    </w:p>
    <w:p w14:paraId="26A27B88">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3" w:name="_Toc256000074"/>
      <w:r>
        <w:rPr>
          <w:rFonts w:ascii="黑体" w:hAnsi="黑体" w:eastAsia="黑体" w:cs="黑体"/>
          <w:b w:val="0"/>
          <w:bCs w:val="0"/>
          <w:spacing w:val="0"/>
        </w:rPr>
        <w:t>八、预算绩效情况说明</w:t>
      </w:r>
      <w:bookmarkEnd w:id="23"/>
    </w:p>
    <w:p w14:paraId="44505D7D">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根据全面实施预算绩效管理要求，本单位组织对2025年度</w:t>
      </w:r>
      <w:r>
        <w:rPr>
          <w:rFonts w:hint="eastAsia" w:ascii="FangSong_GB2312" w:hAnsi="FangSong_GB2312" w:eastAsia="FangSong_GB2312" w:cs="FangSong_GB2312"/>
          <w:spacing w:val="0"/>
          <w:kern w:val="0"/>
          <w:sz w:val="32"/>
          <w:szCs w:val="32"/>
          <w:lang w:val="en-US" w:eastAsia="zh-CN"/>
        </w:rPr>
        <w:t>2</w:t>
      </w:r>
      <w:r>
        <w:rPr>
          <w:rFonts w:ascii="FangSong_GB2312" w:hAnsi="FangSong_GB2312" w:eastAsia="FangSong_GB2312" w:cs="FangSong_GB2312"/>
          <w:spacing w:val="0"/>
          <w:kern w:val="0"/>
          <w:sz w:val="32"/>
          <w:szCs w:val="32"/>
        </w:rPr>
        <w:t>个项目实施单位自评</w:t>
      </w:r>
      <w:r>
        <w:rPr>
          <w:rFonts w:hint="eastAsia" w:ascii="FangSong_GB2312" w:hAnsi="FangSong_GB2312" w:eastAsia="FangSong_GB2312" w:cs="FangSong_GB2312"/>
          <w:spacing w:val="0"/>
          <w:kern w:val="0"/>
          <w:sz w:val="32"/>
          <w:szCs w:val="32"/>
          <w:lang w:eastAsia="zh-CN"/>
        </w:rPr>
        <w:t>，</w:t>
      </w:r>
      <w:r>
        <w:rPr>
          <w:rFonts w:hint="eastAsia" w:ascii="FangSong_GB2312" w:hAnsi="FangSong_GB2312" w:eastAsia="FangSong_GB2312" w:cs="FangSong_GB2312"/>
          <w:spacing w:val="0"/>
          <w:kern w:val="0"/>
          <w:sz w:val="32"/>
          <w:szCs w:val="32"/>
          <w:lang w:val="en-US" w:eastAsia="zh-CN"/>
        </w:rPr>
        <w:t>一</w:t>
      </w:r>
      <w:r>
        <w:rPr>
          <w:rFonts w:ascii="仿宋_GB2312" w:hAnsi="仿宋_GB2312" w:eastAsia="仿宋_GB2312" w:cs="仿宋_GB2312"/>
          <w:spacing w:val="0"/>
          <w:kern w:val="0"/>
          <w:sz w:val="32"/>
          <w:szCs w:val="32"/>
        </w:rPr>
        <w:t>是</w:t>
      </w:r>
      <w:r>
        <w:rPr>
          <w:rFonts w:hint="eastAsia" w:ascii="仿宋_GB2312" w:hAnsi="仿宋_GB2312" w:eastAsia="仿宋_GB2312" w:cs="仿宋_GB2312"/>
          <w:spacing w:val="0"/>
          <w:kern w:val="0"/>
          <w:sz w:val="32"/>
          <w:szCs w:val="32"/>
          <w:lang w:val="en-US" w:eastAsia="zh-CN"/>
        </w:rPr>
        <w:t>2025年</w:t>
      </w:r>
      <w:r>
        <w:rPr>
          <w:rFonts w:hint="eastAsia" w:ascii="仿宋_GB2312" w:hAnsi="仿宋_GB2312" w:eastAsia="仿宋_GB2312" w:cs="仿宋_GB2312"/>
          <w:spacing w:val="0"/>
          <w:kern w:val="0"/>
          <w:sz w:val="32"/>
          <w:szCs w:val="32"/>
        </w:rPr>
        <w:t>促进海洋与渔业产业高质量发展专项</w:t>
      </w:r>
      <w:r>
        <w:rPr>
          <w:rFonts w:ascii="仿宋_GB2312" w:hAnsi="仿宋_GB2312" w:eastAsia="仿宋_GB2312" w:cs="仿宋_GB2312"/>
          <w:spacing w:val="0"/>
          <w:kern w:val="0"/>
          <w:sz w:val="32"/>
          <w:szCs w:val="32"/>
        </w:rPr>
        <w:t>项目，涉及财政拨款资金</w:t>
      </w:r>
      <w:r>
        <w:rPr>
          <w:rFonts w:hint="eastAsia" w:ascii="仿宋_GB2312" w:hAnsi="仿宋_GB2312" w:eastAsia="仿宋_GB2312" w:cs="仿宋_GB2312"/>
          <w:spacing w:val="0"/>
          <w:kern w:val="0"/>
          <w:sz w:val="32"/>
          <w:szCs w:val="32"/>
          <w:lang w:val="en-US" w:eastAsia="zh-CN"/>
        </w:rPr>
        <w:t>54</w:t>
      </w:r>
      <w:r>
        <w:rPr>
          <w:rFonts w:ascii="仿宋_GB2312" w:hAnsi="仿宋_GB2312" w:eastAsia="仿宋_GB2312" w:cs="仿宋_GB2312"/>
          <w:spacing w:val="0"/>
          <w:kern w:val="0"/>
          <w:sz w:val="32"/>
          <w:szCs w:val="32"/>
        </w:rPr>
        <w:t>万元</w:t>
      </w:r>
      <w:r>
        <w:rPr>
          <w:rFonts w:hint="eastAsia" w:ascii="仿宋_GB2312" w:hAnsi="仿宋_GB2312" w:eastAsia="仿宋_GB2312" w:cs="仿宋_GB2312"/>
          <w:spacing w:val="0"/>
          <w:kern w:val="0"/>
          <w:sz w:val="32"/>
          <w:szCs w:val="32"/>
          <w:lang w:eastAsia="zh-CN"/>
        </w:rPr>
        <w:t>，</w:t>
      </w:r>
      <w:r>
        <w:rPr>
          <w:rFonts w:hint="eastAsia" w:ascii="仿宋_GB2312" w:hAnsi="仿宋_GB2312" w:eastAsia="仿宋_GB2312" w:cs="仿宋_GB2312"/>
          <w:spacing w:val="0"/>
          <w:kern w:val="0"/>
          <w:sz w:val="32"/>
          <w:szCs w:val="32"/>
          <w:lang w:val="en-US" w:eastAsia="zh-CN"/>
        </w:rPr>
        <w:t>二是福建省渔港布局与建设规划项目，</w:t>
      </w:r>
      <w:r>
        <w:rPr>
          <w:rFonts w:ascii="仿宋_GB2312" w:hAnsi="仿宋_GB2312" w:eastAsia="仿宋_GB2312" w:cs="仿宋_GB2312"/>
          <w:spacing w:val="0"/>
          <w:kern w:val="0"/>
          <w:sz w:val="32"/>
          <w:szCs w:val="32"/>
        </w:rPr>
        <w:t>涉及财政拨款资金</w:t>
      </w:r>
      <w:r>
        <w:rPr>
          <w:rFonts w:hint="eastAsia" w:ascii="仿宋_GB2312" w:hAnsi="仿宋_GB2312" w:eastAsia="仿宋_GB2312" w:cs="仿宋_GB2312"/>
          <w:spacing w:val="0"/>
          <w:kern w:val="0"/>
          <w:sz w:val="32"/>
          <w:szCs w:val="32"/>
          <w:lang w:val="en-US" w:eastAsia="zh-CN"/>
        </w:rPr>
        <w:t>30</w:t>
      </w:r>
      <w:r>
        <w:rPr>
          <w:rFonts w:ascii="仿宋_GB2312" w:hAnsi="仿宋_GB2312" w:eastAsia="仿宋_GB2312" w:cs="仿宋_GB2312"/>
          <w:spacing w:val="0"/>
          <w:kern w:val="0"/>
          <w:sz w:val="32"/>
          <w:szCs w:val="32"/>
        </w:rPr>
        <w:t>万元。（《项目支出绩效自评表》详见附件）</w:t>
      </w:r>
    </w:p>
    <w:p w14:paraId="299ECEA9">
      <w:pPr>
        <w:pStyle w:val="29"/>
        <w:widowControl/>
        <w:spacing w:before="100" w:after="100" w:line="560" w:lineRule="atLeast"/>
        <w:ind w:left="100" w:right="100" w:firstLine="640"/>
        <w:jc w:val="left"/>
        <w:rPr>
          <w:rFonts w:ascii="Times New Roman" w:hAnsi="Times New Roman" w:eastAsia="Times New Roman" w:cs="Times New Roman"/>
          <w:kern w:val="0"/>
          <w:sz w:val="24"/>
        </w:rPr>
      </w:pPr>
    </w:p>
    <w:p w14:paraId="750ECFB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4" w:name="_Toc256000075"/>
      <w:r>
        <w:rPr>
          <w:rFonts w:ascii="黑体" w:hAnsi="黑体" w:eastAsia="黑体" w:cs="黑体"/>
          <w:b w:val="0"/>
          <w:bCs w:val="0"/>
          <w:spacing w:val="0"/>
        </w:rPr>
        <w:t>九、其他重要事项说明</w:t>
      </w:r>
      <w:bookmarkEnd w:id="24"/>
    </w:p>
    <w:p w14:paraId="1D40AF65">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（一）机关运行经费</w:t>
      </w:r>
      <w:r>
        <w:rPr>
          <w:rFonts w:ascii="楷体_GB2312" w:hAnsi="楷体_GB2312" w:eastAsia="楷体_GB2312" w:cs="楷体_GB2312"/>
          <w:spacing w:val="0"/>
          <w:kern w:val="0"/>
          <w:sz w:val="32"/>
          <w:szCs w:val="32"/>
        </w:rPr>
        <w:t> </w:t>
      </w:r>
    </w:p>
    <w:p w14:paraId="40B348F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本单位为事业单位没有机关运行经费。</w:t>
      </w:r>
    </w:p>
    <w:p w14:paraId="3740D4D7">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（二）政府采购情况</w:t>
      </w:r>
    </w:p>
    <w:p w14:paraId="686F51A3">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本单位2025年度没有政府采购支出。</w:t>
      </w:r>
    </w:p>
    <w:p w14:paraId="194CE8F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（三）国有资产占用使用情况</w:t>
      </w:r>
      <w:r>
        <w:rPr>
          <w:rFonts w:ascii="楷体_GB2312" w:hAnsi="楷体_GB2312" w:eastAsia="楷体_GB2312" w:cs="楷体_GB2312"/>
          <w:spacing w:val="0"/>
          <w:kern w:val="0"/>
          <w:sz w:val="32"/>
          <w:szCs w:val="32"/>
        </w:rPr>
        <w:t> </w:t>
      </w:r>
    </w:p>
    <w:p w14:paraId="4C63E881">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截至2025年12月31日，本单位共有车辆2 辆，其中：副部（省）级以上领导用车0 辆、主要负责人用车0 辆、机要通信用车0辆、应急保障用车0辆、执法执勤用车0辆、特种专业技术用车0辆、离退休干部服务用车0辆、其他用车2辆，其他用车主要是</w:t>
      </w:r>
      <w:r>
        <w:rPr>
          <w:rFonts w:hint="eastAsia" w:ascii="仿宋_GB2312" w:hAnsi="仿宋_GB2312" w:eastAsia="仿宋_GB2312" w:cs="仿宋_GB2312"/>
          <w:spacing w:val="0"/>
          <w:kern w:val="0"/>
          <w:sz w:val="32"/>
          <w:szCs w:val="32"/>
          <w:lang w:val="en-US" w:eastAsia="zh-CN"/>
        </w:rPr>
        <w:t>单位业务用车</w:t>
      </w:r>
      <w:r>
        <w:rPr>
          <w:rFonts w:ascii="FangSong_GB2312" w:hAnsi="FangSong_GB2312" w:eastAsia="FangSong_GB2312" w:cs="FangSong_GB2312"/>
          <w:spacing w:val="0"/>
          <w:kern w:val="0"/>
          <w:sz w:val="32"/>
          <w:szCs w:val="32"/>
        </w:rPr>
        <w:t>；单价100万元（含）以上设备（不含车辆）0台（套）。  </w:t>
      </w:r>
      <w:r>
        <w:rPr>
          <w:rFonts w:ascii="宋体" w:hAnsi="宋体" w:eastAsia="宋体" w:cs="宋体"/>
          <w:spacing w:val="0"/>
          <w:kern w:val="0"/>
          <w:sz w:val="56"/>
          <w:szCs w:val="56"/>
        </w:rPr>
        <w:t xml:space="preserve"> </w:t>
      </w:r>
    </w:p>
    <w:p w14:paraId="385DA850">
      <w:pPr>
        <w:sectPr>
          <w:footerReference r:id="rId18"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70EA718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265BCFB1">
      <w:pPr>
        <w:widowControl/>
        <w:spacing w:before="240" w:after="240"/>
        <w:jc w:val="left"/>
        <w:rPr>
          <w:rFonts w:ascii="Times New Roman" w:hAnsi="Times New Roman" w:eastAsia="Times New Roman" w:cs="Times New Roman"/>
          <w:kern w:val="0"/>
          <w:sz w:val="24"/>
        </w:rPr>
      </w:pPr>
    </w:p>
    <w:p w14:paraId="2A94ACAB">
      <w:pPr>
        <w:pStyle w:val="29"/>
        <w:widowControl/>
        <w:spacing w:before="100" w:after="100"/>
        <w:ind w:left="100" w:right="100" w:firstLine="640"/>
        <w:jc w:val="left"/>
        <w:rPr>
          <w:rFonts w:ascii="Times New Roman" w:hAnsi="Times New Roman" w:eastAsia="Times New Roman" w:cs="Times New Roman"/>
          <w:kern w:val="0"/>
          <w:sz w:val="24"/>
        </w:rPr>
      </w:pPr>
    </w:p>
    <w:p w14:paraId="008BF66F">
      <w:pPr>
        <w:pStyle w:val="29"/>
        <w:widowControl/>
        <w:spacing w:before="100" w:after="100"/>
        <w:ind w:left="100" w:right="100" w:firstLine="640"/>
        <w:jc w:val="left"/>
        <w:rPr>
          <w:rFonts w:ascii="Times New Roman" w:hAnsi="Times New Roman" w:eastAsia="Times New Roman" w:cs="Times New Roman"/>
          <w:kern w:val="0"/>
          <w:sz w:val="24"/>
        </w:rPr>
      </w:pPr>
    </w:p>
    <w:p w14:paraId="46BA62B6">
      <w:pPr>
        <w:pStyle w:val="29"/>
        <w:widowControl/>
        <w:spacing w:before="100" w:after="100"/>
        <w:ind w:left="100" w:right="100" w:firstLine="640"/>
        <w:jc w:val="left"/>
        <w:rPr>
          <w:rFonts w:ascii="Times New Roman" w:hAnsi="Times New Roman" w:eastAsia="Times New Roman" w:cs="Times New Roman"/>
          <w:kern w:val="0"/>
          <w:sz w:val="24"/>
        </w:rPr>
      </w:pPr>
    </w:p>
    <w:p w14:paraId="2E8275CA">
      <w:pPr>
        <w:pStyle w:val="29"/>
        <w:widowControl/>
        <w:spacing w:before="100" w:after="100"/>
        <w:ind w:left="100" w:right="100" w:firstLine="640"/>
        <w:jc w:val="left"/>
        <w:rPr>
          <w:rFonts w:ascii="Times New Roman" w:hAnsi="Times New Roman" w:eastAsia="Times New Roman" w:cs="Times New Roman"/>
          <w:kern w:val="0"/>
          <w:sz w:val="24"/>
        </w:rPr>
      </w:pPr>
    </w:p>
    <w:p w14:paraId="4B13C1E7">
      <w:pPr>
        <w:pStyle w:val="29"/>
        <w:widowControl/>
        <w:spacing w:before="100" w:after="100"/>
        <w:ind w:left="100" w:right="100" w:firstLine="640"/>
        <w:jc w:val="left"/>
        <w:rPr>
          <w:rFonts w:ascii="Times New Roman" w:hAnsi="Times New Roman" w:eastAsia="Times New Roman" w:cs="Times New Roman"/>
          <w:kern w:val="0"/>
          <w:sz w:val="24"/>
        </w:rPr>
      </w:pPr>
    </w:p>
    <w:p w14:paraId="0411CE7B">
      <w:pPr>
        <w:pStyle w:val="29"/>
        <w:widowControl/>
        <w:spacing w:before="100" w:after="100"/>
        <w:ind w:left="100" w:right="100" w:firstLine="640"/>
        <w:jc w:val="left"/>
        <w:rPr>
          <w:rFonts w:ascii="Times New Roman" w:hAnsi="Times New Roman" w:eastAsia="Times New Roman" w:cs="Times New Roman"/>
          <w:kern w:val="0"/>
          <w:sz w:val="24"/>
        </w:rPr>
      </w:pPr>
    </w:p>
    <w:p w14:paraId="332E3440">
      <w:pPr>
        <w:pStyle w:val="29"/>
        <w:widowControl/>
        <w:spacing w:before="100" w:after="100"/>
        <w:ind w:left="100" w:right="100" w:firstLine="640"/>
        <w:jc w:val="left"/>
        <w:rPr>
          <w:rFonts w:ascii="Times New Roman" w:hAnsi="Times New Roman" w:eastAsia="Times New Roman" w:cs="Times New Roman"/>
          <w:kern w:val="0"/>
          <w:sz w:val="24"/>
        </w:rPr>
      </w:pPr>
    </w:p>
    <w:p w14:paraId="1E859F6F">
      <w:pPr>
        <w:pStyle w:val="29"/>
        <w:widowControl/>
        <w:spacing w:before="100" w:after="100"/>
        <w:ind w:left="100" w:right="100" w:firstLine="640"/>
        <w:jc w:val="left"/>
        <w:rPr>
          <w:rFonts w:ascii="Times New Roman" w:hAnsi="Times New Roman" w:eastAsia="Times New Roman" w:cs="Times New Roman"/>
          <w:kern w:val="0"/>
          <w:sz w:val="24"/>
        </w:rPr>
      </w:pPr>
    </w:p>
    <w:p w14:paraId="28792A2F">
      <w:pPr>
        <w:pStyle w:val="29"/>
        <w:widowControl/>
        <w:spacing w:before="100" w:after="100"/>
        <w:ind w:left="100" w:right="100" w:firstLine="640"/>
        <w:jc w:val="left"/>
        <w:rPr>
          <w:rFonts w:ascii="Times New Roman" w:hAnsi="Times New Roman" w:eastAsia="Times New Roman" w:cs="Times New Roman"/>
          <w:kern w:val="0"/>
          <w:sz w:val="24"/>
        </w:rPr>
      </w:pPr>
    </w:p>
    <w:p w14:paraId="4564A082">
      <w:pPr>
        <w:pStyle w:val="29"/>
        <w:widowControl/>
        <w:spacing w:before="100" w:after="100"/>
        <w:ind w:left="100" w:right="100" w:firstLine="640"/>
        <w:jc w:val="left"/>
        <w:rPr>
          <w:rFonts w:ascii="Times New Roman" w:hAnsi="Times New Roman" w:eastAsia="Times New Roman" w:cs="Times New Roman"/>
          <w:kern w:val="0"/>
          <w:sz w:val="24"/>
        </w:rPr>
      </w:pPr>
    </w:p>
    <w:p w14:paraId="369016AF">
      <w:pPr>
        <w:pStyle w:val="29"/>
        <w:widowControl/>
        <w:spacing w:before="100" w:after="100"/>
        <w:ind w:left="100" w:right="100" w:firstLine="640"/>
        <w:jc w:val="left"/>
        <w:rPr>
          <w:rFonts w:ascii="Times New Roman" w:hAnsi="Times New Roman" w:eastAsia="Times New Roman" w:cs="Times New Roman"/>
          <w:kern w:val="0"/>
          <w:sz w:val="24"/>
        </w:rPr>
      </w:pPr>
    </w:p>
    <w:p w14:paraId="07FA6072">
      <w:pPr>
        <w:pStyle w:val="29"/>
        <w:widowControl/>
        <w:spacing w:before="100" w:after="100"/>
        <w:ind w:left="100" w:right="100" w:firstLine="640"/>
        <w:jc w:val="left"/>
        <w:rPr>
          <w:rFonts w:ascii="Times New Roman" w:hAnsi="Times New Roman" w:eastAsia="Times New Roman" w:cs="Times New Roman"/>
          <w:kern w:val="0"/>
          <w:sz w:val="24"/>
        </w:rPr>
      </w:pPr>
    </w:p>
    <w:p w14:paraId="4E9B1E62">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076"/>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25"/>
    </w:p>
    <w:p w14:paraId="5189B313">
      <w:pPr>
        <w:pStyle w:val="29"/>
        <w:widowControl/>
        <w:spacing w:before="100" w:after="100"/>
        <w:ind w:left="100" w:right="100" w:firstLine="0"/>
        <w:jc w:val="center"/>
        <w:rPr>
          <w:rFonts w:ascii="Times New Roman" w:hAnsi="Times New Roman" w:eastAsia="Times New Roman" w:cs="Times New Roman"/>
          <w:kern w:val="0"/>
          <w:sz w:val="24"/>
        </w:rPr>
      </w:pPr>
    </w:p>
    <w:p w14:paraId="38CE45BC">
      <w:pPr>
        <w:sectPr>
          <w:footerReference r:id="rId19"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3E00139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17501F3">
      <w:pPr>
        <w:widowControl/>
        <w:spacing w:before="240" w:after="240"/>
        <w:jc w:val="left"/>
        <w:rPr>
          <w:rFonts w:ascii="Times New Roman" w:hAnsi="Times New Roman" w:eastAsia="Times New Roman" w:cs="Times New Roman"/>
          <w:kern w:val="0"/>
          <w:sz w:val="24"/>
        </w:rPr>
      </w:pPr>
    </w:p>
    <w:p w14:paraId="39D24BCD">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一、财政拨款收入：</w:t>
      </w:r>
      <w:r>
        <w:rPr>
          <w:rFonts w:ascii="FangSong_GB2312" w:hAnsi="FangSong_GB2312" w:eastAsia="FangSong_GB2312" w:cs="FangSong_GB2312"/>
          <w:spacing w:val="0"/>
          <w:kern w:val="0"/>
          <w:sz w:val="32"/>
          <w:szCs w:val="32"/>
        </w:rPr>
        <w:t>指单位从本级财政单位取得的财政预算资金，包括一般公共预算财政拨款、政府性基金预算财政拨款和国有资本经营预算财政拨款。</w:t>
      </w:r>
    </w:p>
    <w:p w14:paraId="7BB8C223">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二、事业收入：</w:t>
      </w:r>
      <w:r>
        <w:rPr>
          <w:rFonts w:ascii="FangSong_GB2312" w:hAnsi="FangSong_GB2312" w:eastAsia="FangSong_GB2312" w:cs="FangSong_GB2312"/>
          <w:spacing w:val="0"/>
          <w:kern w:val="0"/>
          <w:sz w:val="32"/>
          <w:szCs w:val="32"/>
        </w:rPr>
        <w:t>指事业单位开展专业业务活动及辅助活动所取得的收入。</w:t>
      </w:r>
    </w:p>
    <w:p w14:paraId="47604BA5">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三、经营收入：</w:t>
      </w:r>
      <w:r>
        <w:rPr>
          <w:rFonts w:ascii="FangSong_GB2312" w:hAnsi="FangSong_GB2312" w:eastAsia="FangSong_GB2312" w:cs="FangSong_GB2312"/>
          <w:spacing w:val="0"/>
          <w:kern w:val="0"/>
          <w:sz w:val="32"/>
          <w:szCs w:val="32"/>
        </w:rPr>
        <w:t>指事业单位在专业业务活动及其辅助活动之外开展非独立核算经营活动取得的收入。</w:t>
      </w:r>
    </w:p>
    <w:p w14:paraId="36D5987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四、其他收入：</w:t>
      </w:r>
      <w:r>
        <w:rPr>
          <w:rFonts w:ascii="FangSong_GB2312" w:hAnsi="FangSong_GB2312" w:eastAsia="FangSong_GB2312" w:cs="FangSong_GB2312"/>
          <w:kern w:val="0"/>
          <w:sz w:val="32"/>
          <w:szCs w:val="32"/>
        </w:rPr>
        <w:t>指除上述“财政拨款收入”“事业收入”</w:t>
      </w:r>
      <w:r>
        <w:rPr>
          <w:rFonts w:ascii="FangSong_GB2312" w:hAnsi="FangSong_GB2312" w:eastAsia="FangSong_GB2312" w:cs="FangSong_GB2312"/>
          <w:kern w:val="0"/>
          <w:szCs w:val="21"/>
        </w:rPr>
        <w:t> </w:t>
      </w:r>
      <w:r>
        <w:rPr>
          <w:rFonts w:ascii="FangSong_GB2312" w:hAnsi="FangSong_GB2312" w:eastAsia="FangSong_GB2312" w:cs="FangSong_GB2312"/>
          <w:kern w:val="0"/>
          <w:sz w:val="32"/>
          <w:szCs w:val="32"/>
        </w:rPr>
        <w:t>“上级补助收入”“附属单位上缴收入”“经营收入”等以外取得的各项收入。主要是事业单位固定资产出租收入等。</w:t>
      </w:r>
    </w:p>
    <w:p w14:paraId="0526DD4C">
      <w:pPr>
        <w:pStyle w:val="29"/>
        <w:widowControl/>
        <w:spacing w:before="24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五、使用非财政拨款结余（含专用结余）：</w:t>
      </w:r>
      <w:r>
        <w:rPr>
          <w:rFonts w:ascii="FangSong_GB2312" w:hAnsi="FangSong_GB2312" w:eastAsia="FangSong_GB2312" w:cs="FangSong_GB2312"/>
          <w:kern w:val="0"/>
          <w:sz w:val="32"/>
          <w:szCs w:val="32"/>
        </w:rPr>
        <w:t>指事业单位按照预算管理要求使用非财政拨款结余弥补当年收支差额的金额，以及使用专用结余安排支出的金额。</w:t>
      </w:r>
    </w:p>
    <w:p w14:paraId="6A5E3757">
      <w:pPr>
        <w:pStyle w:val="29"/>
        <w:widowControl/>
        <w:spacing w:before="24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六、年初结转和结余：</w:t>
      </w:r>
      <w:r>
        <w:rPr>
          <w:rFonts w:ascii="FangSong_GB2312" w:hAnsi="FangSong_GB2312" w:eastAsia="FangSong_GB2312" w:cs="FangSong_GB2312"/>
          <w:spacing w:val="0"/>
          <w:kern w:val="0"/>
          <w:sz w:val="32"/>
          <w:szCs w:val="32"/>
        </w:rPr>
        <w:t>指单位以前年度尚未完成、结转到本年仍按原规定用途继续使用的资金，或项目已完成等产生的结余资金。</w:t>
      </w:r>
    </w:p>
    <w:p w14:paraId="5E5C428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七、结余分配：</w:t>
      </w:r>
      <w:r>
        <w:rPr>
          <w:rFonts w:ascii="FangSong_GB2312" w:hAnsi="FangSong_GB2312" w:eastAsia="FangSong_GB2312" w:cs="FangSong_GB2312"/>
          <w:spacing w:val="0"/>
          <w:kern w:val="0"/>
          <w:sz w:val="32"/>
          <w:szCs w:val="32"/>
        </w:rPr>
        <w:t>指事业单位按照会计制度规定缴纳的所得税、提取的专用结余以及转入非财政拨款结余的金额等。</w:t>
      </w:r>
    </w:p>
    <w:p w14:paraId="4F4FD85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八、年末结转和结余：</w:t>
      </w:r>
      <w:r>
        <w:rPr>
          <w:rFonts w:ascii="FangSong_GB2312" w:hAnsi="FangSong_GB2312" w:eastAsia="FangSong_GB2312" w:cs="FangSong_GB2312"/>
          <w:spacing w:val="0"/>
          <w:kern w:val="0"/>
          <w:sz w:val="32"/>
          <w:szCs w:val="32"/>
        </w:rPr>
        <w:t>指单位按有关规定结转到下年或以后年度继续使用的资金，或项目已完成等产生的结余资金。</w:t>
      </w:r>
    </w:p>
    <w:p w14:paraId="02F497E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九、基本支出：</w:t>
      </w:r>
      <w:r>
        <w:rPr>
          <w:rFonts w:ascii="FangSong_GB2312" w:hAnsi="FangSong_GB2312" w:eastAsia="FangSong_GB2312" w:cs="FangSong_GB2312"/>
          <w:spacing w:val="0"/>
          <w:kern w:val="0"/>
          <w:sz w:val="32"/>
          <w:szCs w:val="32"/>
        </w:rPr>
        <w:t>指为保障机构正常运转、完成日常工作任务而发生的人员支出和公用支出。</w:t>
      </w:r>
    </w:p>
    <w:p w14:paraId="0CA50383">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十、项目支出：</w:t>
      </w:r>
      <w:r>
        <w:rPr>
          <w:rFonts w:ascii="FangSong_GB2312" w:hAnsi="FangSong_GB2312" w:eastAsia="FangSong_GB2312" w:cs="FangSong_GB2312"/>
          <w:spacing w:val="0"/>
          <w:kern w:val="0"/>
          <w:sz w:val="32"/>
          <w:szCs w:val="32"/>
        </w:rPr>
        <w:t>指在基本支出之外为完成特定行政任务和事业发展目标所发生的支出。</w:t>
      </w:r>
    </w:p>
    <w:p w14:paraId="1D21BFF4">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十一、经营支出：</w:t>
      </w:r>
      <w:r>
        <w:rPr>
          <w:rFonts w:ascii="FangSong_GB2312" w:hAnsi="FangSong_GB2312" w:eastAsia="FangSong_GB2312" w:cs="FangSong_GB2312"/>
          <w:spacing w:val="0"/>
          <w:kern w:val="0"/>
          <w:sz w:val="32"/>
          <w:szCs w:val="32"/>
        </w:rPr>
        <w:t>指事业单位在专业业务活动及其辅助活动之外开展非独立核算经营活动发生的支出。</w:t>
      </w:r>
    </w:p>
    <w:p w14:paraId="2C30DA32">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十二、“三公”经费：</w:t>
      </w:r>
      <w:r>
        <w:rPr>
          <w:rFonts w:ascii="FangSong_GB2312" w:hAnsi="FangSong_GB2312" w:eastAsia="FangSong_GB2312" w:cs="FangSong_GB2312"/>
          <w:kern w:val="0"/>
          <w:sz w:val="32"/>
          <w:szCs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14:paraId="7A8B0717">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1"/>
          <w:rFonts w:ascii="楷体_GB2312" w:hAnsi="楷体_GB2312" w:eastAsia="楷体_GB2312" w:cs="楷体_GB2312"/>
          <w:b/>
          <w:bCs/>
          <w:spacing w:val="0"/>
          <w:kern w:val="0"/>
          <w:sz w:val="32"/>
          <w:szCs w:val="32"/>
        </w:rPr>
        <w:t>十三、机关运行经费：</w:t>
      </w:r>
      <w:r>
        <w:rPr>
          <w:rFonts w:ascii="FangSong_GB2312" w:hAnsi="FangSong_GB2312" w:eastAsia="FangSong_GB2312" w:cs="FangSong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014C1517">
      <w:pPr>
        <w:pStyle w:val="29"/>
        <w:widowControl/>
        <w:spacing w:before="240" w:after="240"/>
        <w:ind w:firstLine="643"/>
        <w:jc w:val="left"/>
        <w:rPr>
          <w:rFonts w:ascii="Times New Roman" w:hAnsi="Times New Roman" w:eastAsia="Times New Roman" w:cs="Times New Roman"/>
          <w:kern w:val="0"/>
          <w:sz w:val="24"/>
        </w:rPr>
      </w:pPr>
    </w:p>
    <w:p w14:paraId="4D2BABA5">
      <w:pPr>
        <w:pStyle w:val="29"/>
        <w:widowControl/>
        <w:spacing w:before="240" w:after="240"/>
        <w:jc w:val="left"/>
        <w:rPr>
          <w:rFonts w:ascii="Times New Roman" w:hAnsi="Times New Roman" w:eastAsia="Times New Roman" w:cs="Times New Roman"/>
          <w:kern w:val="0"/>
          <w:sz w:val="24"/>
        </w:rPr>
      </w:pPr>
    </w:p>
    <w:p w14:paraId="74073D67">
      <w:pPr>
        <w:sectPr>
          <w:footerReference r:id="rId20"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5AD859B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8BC6B80">
      <w:pPr>
        <w:widowControl/>
        <w:spacing w:before="240" w:after="240"/>
        <w:jc w:val="left"/>
        <w:rPr>
          <w:rFonts w:ascii="Times New Roman" w:hAnsi="Times New Roman" w:eastAsia="Times New Roman" w:cs="Times New Roman"/>
          <w:kern w:val="0"/>
          <w:sz w:val="24"/>
        </w:rPr>
      </w:pPr>
    </w:p>
    <w:p w14:paraId="2BB7A35C">
      <w:pPr>
        <w:pStyle w:val="29"/>
        <w:widowControl/>
        <w:spacing w:before="240" w:after="240"/>
        <w:jc w:val="left"/>
        <w:rPr>
          <w:rFonts w:ascii="Times New Roman" w:hAnsi="Times New Roman" w:eastAsia="Times New Roman" w:cs="Times New Roman"/>
          <w:kern w:val="0"/>
          <w:sz w:val="24"/>
        </w:rPr>
      </w:pPr>
    </w:p>
    <w:p w14:paraId="0F87D773">
      <w:pPr>
        <w:pStyle w:val="29"/>
        <w:widowControl/>
        <w:spacing w:before="240" w:after="240"/>
        <w:jc w:val="left"/>
        <w:rPr>
          <w:rFonts w:ascii="Times New Roman" w:hAnsi="Times New Roman" w:eastAsia="Times New Roman" w:cs="Times New Roman"/>
          <w:kern w:val="0"/>
          <w:sz w:val="24"/>
        </w:rPr>
      </w:pPr>
    </w:p>
    <w:p w14:paraId="3CC612D3">
      <w:pPr>
        <w:pStyle w:val="29"/>
        <w:widowControl/>
        <w:spacing w:before="240" w:after="240"/>
        <w:jc w:val="left"/>
        <w:rPr>
          <w:rFonts w:ascii="Times New Roman" w:hAnsi="Times New Roman" w:eastAsia="Times New Roman" w:cs="Times New Roman"/>
          <w:kern w:val="0"/>
          <w:sz w:val="24"/>
        </w:rPr>
      </w:pPr>
    </w:p>
    <w:p w14:paraId="4B834AE3">
      <w:pPr>
        <w:pStyle w:val="29"/>
        <w:widowControl/>
        <w:spacing w:before="240" w:after="240"/>
        <w:jc w:val="left"/>
        <w:rPr>
          <w:rFonts w:ascii="Times New Roman" w:hAnsi="Times New Roman" w:eastAsia="Times New Roman" w:cs="Times New Roman"/>
          <w:kern w:val="0"/>
          <w:sz w:val="24"/>
        </w:rPr>
      </w:pPr>
    </w:p>
    <w:p w14:paraId="655F68A1">
      <w:pPr>
        <w:pStyle w:val="29"/>
        <w:widowControl/>
        <w:spacing w:before="240" w:after="240"/>
        <w:jc w:val="left"/>
        <w:rPr>
          <w:rFonts w:ascii="Times New Roman" w:hAnsi="Times New Roman" w:eastAsia="Times New Roman" w:cs="Times New Roman"/>
          <w:kern w:val="0"/>
          <w:sz w:val="24"/>
        </w:rPr>
      </w:pPr>
    </w:p>
    <w:p w14:paraId="3C9E10E4">
      <w:pPr>
        <w:pStyle w:val="29"/>
        <w:widowControl/>
        <w:spacing w:before="240" w:after="240"/>
        <w:jc w:val="left"/>
        <w:rPr>
          <w:rFonts w:ascii="Times New Roman" w:hAnsi="Times New Roman" w:eastAsia="Times New Roman" w:cs="Times New Roman"/>
          <w:kern w:val="0"/>
          <w:sz w:val="24"/>
        </w:rPr>
      </w:pPr>
    </w:p>
    <w:p w14:paraId="24C6A92F">
      <w:pPr>
        <w:pStyle w:val="29"/>
        <w:widowControl/>
        <w:spacing w:before="240" w:after="240"/>
        <w:jc w:val="left"/>
        <w:rPr>
          <w:rFonts w:ascii="Times New Roman" w:hAnsi="Times New Roman" w:eastAsia="Times New Roman" w:cs="Times New Roman"/>
          <w:kern w:val="0"/>
          <w:sz w:val="24"/>
        </w:rPr>
      </w:pPr>
    </w:p>
    <w:p w14:paraId="0F70ACB2">
      <w:pPr>
        <w:pStyle w:val="29"/>
        <w:widowControl/>
        <w:spacing w:before="240" w:after="240"/>
        <w:jc w:val="left"/>
        <w:rPr>
          <w:rFonts w:ascii="Times New Roman" w:hAnsi="Times New Roman" w:eastAsia="Times New Roman" w:cs="Times New Roman"/>
          <w:kern w:val="0"/>
          <w:sz w:val="24"/>
        </w:rPr>
      </w:pPr>
    </w:p>
    <w:p w14:paraId="08C5B838">
      <w:pPr>
        <w:pStyle w:val="29"/>
        <w:widowControl/>
        <w:spacing w:before="240" w:after="240"/>
        <w:jc w:val="left"/>
        <w:rPr>
          <w:rFonts w:ascii="Times New Roman" w:hAnsi="Times New Roman" w:eastAsia="Times New Roman" w:cs="Times New Roman"/>
          <w:kern w:val="0"/>
          <w:sz w:val="24"/>
        </w:rPr>
      </w:pPr>
    </w:p>
    <w:p w14:paraId="03D4A3F9">
      <w:pPr>
        <w:pStyle w:val="3"/>
        <w:keepNext w:val="0"/>
        <w:keepLines w:val="0"/>
        <w:spacing w:before="299" w:after="299" w:line="240" w:lineRule="auto"/>
        <w:ind w:firstLine="0" w:firstLineChars="0"/>
        <w:jc w:val="center"/>
        <w:rPr>
          <w:rFonts w:ascii="Times New Roman" w:hAnsi="Times New Roman" w:eastAsia="Times New Roman" w:cs="Times New Roman"/>
          <w:b/>
          <w:bCs/>
          <w:kern w:val="0"/>
          <w:sz w:val="36"/>
          <w:szCs w:val="36"/>
        </w:rPr>
      </w:pPr>
      <w:bookmarkStart w:id="26" w:name="_Toc256000077"/>
      <w:r>
        <w:rPr>
          <w:rFonts w:ascii="黑体" w:hAnsi="黑体" w:eastAsia="黑体" w:cs="黑体"/>
          <w:b w:val="0"/>
          <w:bCs w:val="0"/>
          <w:sz w:val="56"/>
          <w:szCs w:val="56"/>
        </w:rPr>
        <w:t>第五部分</w:t>
      </w:r>
      <w:r>
        <w:rPr>
          <w:rFonts w:ascii="黑体" w:hAnsi="黑体" w:eastAsia="黑体" w:cs="黑体"/>
          <w:b w:val="0"/>
          <w:bCs w:val="0"/>
          <w:sz w:val="56"/>
          <w:szCs w:val="56"/>
        </w:rPr>
        <w:br w:type="textWrapping"/>
      </w:r>
      <w:r>
        <w:rPr>
          <w:rFonts w:ascii="黑体" w:hAnsi="黑体" w:eastAsia="黑体" w:cs="黑体"/>
          <w:b w:val="0"/>
          <w:bCs w:val="0"/>
          <w:sz w:val="56"/>
          <w:szCs w:val="56"/>
        </w:rPr>
        <w:t>附件</w:t>
      </w:r>
      <w:bookmarkEnd w:id="26"/>
    </w:p>
    <w:p w14:paraId="1013130B">
      <w:pPr>
        <w:pStyle w:val="29"/>
        <w:widowControl/>
        <w:spacing w:before="240" w:after="240"/>
        <w:jc w:val="center"/>
        <w:rPr>
          <w:rFonts w:ascii="Times New Roman" w:hAnsi="Times New Roman" w:eastAsia="Times New Roman" w:cs="Times New Roman"/>
          <w:kern w:val="0"/>
          <w:sz w:val="24"/>
        </w:rPr>
      </w:pPr>
    </w:p>
    <w:p w14:paraId="2914B959">
      <w:pPr>
        <w:sectPr>
          <w:footerReference r:id="rId21" w:type="default"/>
          <w:pgSz w:w="11906" w:h="16838"/>
          <w:pgMar w:top="1440" w:right="720" w:bottom="1440" w:left="720" w:header="720" w:footer="720" w:gutter="0"/>
          <w:pgBorders>
            <w:top w:val="none" w:sz="0" w:space="0"/>
            <w:left w:val="none" w:sz="0" w:space="0"/>
            <w:bottom w:val="none" w:sz="0" w:space="0"/>
            <w:right w:val="none" w:sz="0" w:space="0"/>
          </w:pgBorders>
          <w:cols w:space="720" w:num="1"/>
        </w:sectPr>
      </w:pPr>
    </w:p>
    <w:p w14:paraId="649DD76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B76B172">
      <w:pPr>
        <w:pStyle w:val="29"/>
        <w:widowControl/>
        <w:spacing w:before="240" w:after="240" w:line="560" w:lineRule="atLeast"/>
        <w:jc w:val="left"/>
        <w:rPr>
          <w:rFonts w:hint="eastAsia" w:ascii="黑体" w:hAnsi="黑体" w:eastAsia="黑体" w:cs="黑体"/>
          <w:kern w:val="0"/>
          <w:sz w:val="32"/>
          <w:szCs w:val="32"/>
          <w:lang w:eastAsia="zh-CN"/>
        </w:rPr>
      </w:pPr>
      <w:bookmarkStart w:id="27" w:name="_GoBack"/>
      <w:bookmarkEnd w:id="27"/>
      <w:r>
        <w:rPr>
          <w:rFonts w:hint="eastAsia" w:ascii="黑体" w:hAnsi="黑体" w:eastAsia="黑体" w:cs="黑体"/>
          <w:kern w:val="0"/>
          <w:sz w:val="32"/>
          <w:szCs w:val="32"/>
          <w:lang w:val="en-US" w:eastAsia="zh-CN"/>
        </w:rPr>
        <w:t>《</w:t>
      </w:r>
      <w:r>
        <w:rPr>
          <w:rFonts w:ascii="黑体" w:hAnsi="黑体" w:eastAsia="黑体" w:cs="黑体"/>
          <w:kern w:val="0"/>
          <w:sz w:val="32"/>
          <w:szCs w:val="32"/>
        </w:rPr>
        <w:t>项目支出绩效自评表</w:t>
      </w:r>
      <w:r>
        <w:rPr>
          <w:rFonts w:hint="eastAsia" w:ascii="黑体" w:hAnsi="黑体" w:eastAsia="黑体" w:cs="黑体"/>
          <w:kern w:val="0"/>
          <w:sz w:val="32"/>
          <w:szCs w:val="32"/>
          <w:lang w:eastAsia="zh-CN"/>
        </w:rPr>
        <w:t>》</w:t>
      </w:r>
    </w:p>
    <w:tbl>
      <w:tblPr>
        <w:tblStyle w:val="20"/>
        <w:tblpPr w:leftFromText="180" w:rightFromText="180" w:vertAnchor="text" w:horzAnchor="page" w:tblpX="895" w:tblpY="805"/>
        <w:tblOverlap w:val="never"/>
        <w:tblW w:w="134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759"/>
        <w:gridCol w:w="453"/>
        <w:gridCol w:w="555"/>
        <w:gridCol w:w="840"/>
        <w:gridCol w:w="1429"/>
        <w:gridCol w:w="803"/>
        <w:gridCol w:w="858"/>
        <w:gridCol w:w="327"/>
        <w:gridCol w:w="873"/>
        <w:gridCol w:w="300"/>
        <w:gridCol w:w="689"/>
        <w:gridCol w:w="376"/>
        <w:gridCol w:w="330"/>
        <w:gridCol w:w="1287"/>
        <w:gridCol w:w="2988"/>
      </w:tblGrid>
      <w:tr w14:paraId="0743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50" w:hRule="atLeast"/>
        </w:trPr>
        <w:tc>
          <w:tcPr>
            <w:tcW w:w="10455" w:type="dxa"/>
            <w:gridSpan w:val="15"/>
            <w:tcBorders>
              <w:top w:val="nil"/>
              <w:left w:val="nil"/>
              <w:bottom w:val="nil"/>
              <w:right w:val="nil"/>
            </w:tcBorders>
            <w:shd w:val="clear" w:color="auto" w:fill="auto"/>
            <w:vAlign w:val="center"/>
          </w:tcPr>
          <w:p w14:paraId="00C5E538">
            <w:pPr>
              <w:pStyle w:val="29"/>
              <w:keepNext w:val="0"/>
              <w:keepLines w:val="0"/>
              <w:widowControl/>
              <w:suppressLineNumbers w:val="0"/>
              <w:spacing w:before="240" w:beforeAutospacing="0" w:after="240" w:afterAutospacing="0"/>
              <w:ind w:left="0" w:right="0"/>
              <w:jc w:val="center"/>
              <w:rPr>
                <w:rFonts w:hint="eastAsia" w:ascii="宋体" w:hAnsi="宋体" w:eastAsia="宋体" w:cs="宋体"/>
                <w:b/>
                <w:bCs/>
                <w:i w:val="0"/>
                <w:iCs w:val="0"/>
                <w:color w:val="000000"/>
                <w:sz w:val="36"/>
                <w:szCs w:val="36"/>
                <w:u w:val="none"/>
              </w:rPr>
            </w:pPr>
            <w:r>
              <w:rPr>
                <w:rFonts w:hint="default" w:ascii="黑体" w:hAnsi="黑体" w:eastAsia="黑体" w:cs="黑体"/>
                <w:kern w:val="0"/>
                <w:sz w:val="32"/>
                <w:szCs w:val="32"/>
              </w:rPr>
              <w:t>项目支出绩效自评表</w:t>
            </w:r>
          </w:p>
        </w:tc>
      </w:tr>
      <w:tr w14:paraId="256B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10455" w:type="dxa"/>
            <w:gridSpan w:val="15"/>
            <w:tcBorders>
              <w:top w:val="nil"/>
              <w:left w:val="nil"/>
              <w:bottom w:val="nil"/>
              <w:right w:val="nil"/>
            </w:tcBorders>
            <w:shd w:val="clear" w:color="auto" w:fill="auto"/>
            <w:vAlign w:val="center"/>
          </w:tcPr>
          <w:p w14:paraId="675578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default" w:ascii="宋体" w:hAnsi="宋体" w:eastAsia="宋体" w:cs="宋体"/>
                <w:kern w:val="0"/>
                <w:sz w:val="22"/>
                <w:szCs w:val="22"/>
              </w:rPr>
              <w:t>（2025年度）</w:t>
            </w:r>
          </w:p>
        </w:tc>
      </w:tr>
      <w:tr w14:paraId="396C7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1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6B0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r>
              <w:rPr>
                <w:rFonts w:hint="eastAsia" w:ascii="宋体" w:hAnsi="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t>名称</w:t>
            </w:r>
          </w:p>
        </w:tc>
        <w:tc>
          <w:tcPr>
            <w:tcW w:w="8667" w:type="dxa"/>
            <w:gridSpan w:val="12"/>
            <w:tcBorders>
              <w:top w:val="single" w:color="000000" w:sz="4" w:space="0"/>
              <w:left w:val="nil"/>
              <w:bottom w:val="single" w:color="000000" w:sz="4" w:space="0"/>
              <w:right w:val="single" w:color="000000" w:sz="4" w:space="0"/>
            </w:tcBorders>
            <w:shd w:val="clear" w:color="auto" w:fill="auto"/>
            <w:vAlign w:val="center"/>
          </w:tcPr>
          <w:p w14:paraId="3F0E6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福建省渔港布局与建设规划</w:t>
            </w:r>
          </w:p>
        </w:tc>
      </w:tr>
      <w:tr w14:paraId="4642C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88" w:type="dxa"/>
          <w:trHeight w:val="480" w:hRule="atLeast"/>
        </w:trPr>
        <w:tc>
          <w:tcPr>
            <w:tcW w:w="1788" w:type="dxa"/>
            <w:gridSpan w:val="3"/>
            <w:tcBorders>
              <w:top w:val="single" w:color="000000" w:sz="4" w:space="0"/>
              <w:left w:val="single" w:color="000000" w:sz="4" w:space="0"/>
              <w:bottom w:val="nil"/>
              <w:right w:val="single" w:color="000000" w:sz="4" w:space="0"/>
            </w:tcBorders>
            <w:shd w:val="clear" w:color="auto" w:fill="auto"/>
            <w:vAlign w:val="center"/>
          </w:tcPr>
          <w:p w14:paraId="3BF2D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28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2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福建省海洋与渔业局</w:t>
            </w:r>
          </w:p>
        </w:tc>
        <w:tc>
          <w:tcPr>
            <w:tcW w:w="286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5C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298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EB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福建省水产设计院</w:t>
            </w:r>
          </w:p>
        </w:tc>
      </w:tr>
      <w:tr w14:paraId="7D015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1440" w:hRule="atLeast"/>
        </w:trPr>
        <w:tc>
          <w:tcPr>
            <w:tcW w:w="1788" w:type="dxa"/>
            <w:gridSpan w:val="3"/>
            <w:tcBorders>
              <w:top w:val="single" w:color="000000" w:sz="4" w:space="0"/>
              <w:left w:val="single" w:color="000000" w:sz="4" w:space="0"/>
              <w:bottom w:val="nil"/>
              <w:right w:val="single" w:color="000000" w:sz="4" w:space="0"/>
            </w:tcBorders>
            <w:shd w:val="clear" w:color="auto" w:fill="auto"/>
            <w:vAlign w:val="center"/>
          </w:tcPr>
          <w:p w14:paraId="7D4919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项目概况</w:t>
            </w:r>
          </w:p>
        </w:tc>
        <w:tc>
          <w:tcPr>
            <w:tcW w:w="86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D253C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为进一步加快福建省渔港建设，完善渔港布局，提高防灾减灾能力，推进海洋与渔业高质量发展，本项目在《福建省渔港布局与建设规划（2020-2025年）》的基础上，继续推动福建省2026-2030年渔港布局与建设规划，进一步完善以中心、一级渔港为主体，二、三级渔港和避风锚地为支撑，布局合理、定位明确、功能完善、安全可靠、环境优美、管理有序的现代渔港体系，进而达到持续推动渔业产业发展，助力渔区乡村振兴的总体建设目标。                </w:t>
            </w:r>
          </w:p>
        </w:tc>
      </w:tr>
      <w:tr w14:paraId="354B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88" w:type="dxa"/>
          <w:trHeight w:val="699" w:hRule="atLeast"/>
        </w:trPr>
        <w:tc>
          <w:tcPr>
            <w:tcW w:w="1788" w:type="dxa"/>
            <w:gridSpan w:val="3"/>
            <w:tcBorders>
              <w:top w:val="single" w:color="000000" w:sz="4" w:space="0"/>
              <w:left w:val="single" w:color="000000" w:sz="4" w:space="0"/>
              <w:bottom w:val="nil"/>
              <w:right w:val="single" w:color="000000" w:sz="4" w:space="0"/>
            </w:tcBorders>
            <w:shd w:val="clear" w:color="auto" w:fill="auto"/>
            <w:vAlign w:val="center"/>
          </w:tcPr>
          <w:p w14:paraId="0DD94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主要成效</w:t>
            </w:r>
          </w:p>
        </w:tc>
        <w:tc>
          <w:tcPr>
            <w:tcW w:w="8667"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F8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编制完成《福建省渔港布局与建设规划(2026-2030年)》报告</w:t>
            </w:r>
          </w:p>
        </w:tc>
      </w:tr>
      <w:tr w14:paraId="75545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780" w:hRule="atLeast"/>
        </w:trPr>
        <w:tc>
          <w:tcPr>
            <w:tcW w:w="576" w:type="dxa"/>
            <w:vMerge w:val="restart"/>
            <w:tcBorders>
              <w:top w:val="single" w:color="000000" w:sz="4" w:space="0"/>
              <w:left w:val="single" w:color="000000" w:sz="4" w:space="0"/>
              <w:bottom w:val="nil"/>
              <w:right w:val="single" w:color="000000" w:sz="4" w:space="0"/>
            </w:tcBorders>
            <w:shd w:val="clear" w:color="auto" w:fill="auto"/>
            <w:vAlign w:val="center"/>
          </w:tcPr>
          <w:p w14:paraId="340D7C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项目资金(万元)</w:t>
            </w:r>
          </w:p>
        </w:tc>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41F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DAF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1429" w:type="dxa"/>
            <w:tcBorders>
              <w:top w:val="single" w:color="000000" w:sz="4" w:space="0"/>
              <w:left w:val="nil"/>
              <w:bottom w:val="single" w:color="000000" w:sz="4" w:space="0"/>
              <w:right w:val="single" w:color="000000" w:sz="4" w:space="0"/>
            </w:tcBorders>
            <w:shd w:val="clear" w:color="auto" w:fill="auto"/>
            <w:vAlign w:val="center"/>
          </w:tcPr>
          <w:p w14:paraId="1182F5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096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ED0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13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3B5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8E5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6C9F1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88" w:type="dxa"/>
          <w:trHeight w:val="480" w:hRule="atLeast"/>
        </w:trPr>
        <w:tc>
          <w:tcPr>
            <w:tcW w:w="576" w:type="dxa"/>
            <w:vMerge w:val="continue"/>
            <w:tcBorders>
              <w:top w:val="single" w:color="000000" w:sz="4" w:space="0"/>
              <w:left w:val="single" w:color="000000" w:sz="4" w:space="0"/>
              <w:bottom w:val="nil"/>
              <w:right w:val="single" w:color="000000" w:sz="4" w:space="0"/>
            </w:tcBorders>
            <w:shd w:val="clear" w:color="auto" w:fill="auto"/>
            <w:vAlign w:val="center"/>
          </w:tcPr>
          <w:p w14:paraId="7B2C4B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B61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1E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1429" w:type="dxa"/>
            <w:tcBorders>
              <w:top w:val="single" w:color="000000" w:sz="4" w:space="0"/>
              <w:left w:val="nil"/>
              <w:bottom w:val="single" w:color="000000" w:sz="4" w:space="0"/>
              <w:right w:val="single" w:color="000000" w:sz="4" w:space="0"/>
            </w:tcBorders>
            <w:shd w:val="clear" w:color="auto" w:fill="auto"/>
            <w:vAlign w:val="center"/>
          </w:tcPr>
          <w:p w14:paraId="018F0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AE1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21.28</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C9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F6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70.93</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A7B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7.09</w:t>
            </w:r>
          </w:p>
        </w:tc>
      </w:tr>
      <w:tr w14:paraId="10F1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740" w:hRule="atLeast"/>
        </w:trPr>
        <w:tc>
          <w:tcPr>
            <w:tcW w:w="576" w:type="dxa"/>
            <w:vMerge w:val="continue"/>
            <w:tcBorders>
              <w:top w:val="single" w:color="000000" w:sz="4" w:space="0"/>
              <w:left w:val="single" w:color="000000" w:sz="4" w:space="0"/>
              <w:bottom w:val="nil"/>
              <w:right w:val="single" w:color="000000" w:sz="4" w:space="0"/>
            </w:tcBorders>
            <w:shd w:val="clear" w:color="auto" w:fill="auto"/>
            <w:vAlign w:val="center"/>
          </w:tcPr>
          <w:p w14:paraId="6245DF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FE4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其中：当年财政拨款</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840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1429" w:type="dxa"/>
            <w:tcBorders>
              <w:top w:val="single" w:color="000000" w:sz="4" w:space="0"/>
              <w:left w:val="nil"/>
              <w:bottom w:val="single" w:color="000000" w:sz="4" w:space="0"/>
              <w:right w:val="single" w:color="000000" w:sz="4" w:space="0"/>
            </w:tcBorders>
            <w:shd w:val="clear" w:color="auto" w:fill="auto"/>
            <w:vAlign w:val="center"/>
          </w:tcPr>
          <w:p w14:paraId="31DA2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6A6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21.28</w:t>
            </w:r>
          </w:p>
        </w:tc>
        <w:tc>
          <w:tcPr>
            <w:tcW w:w="1200" w:type="dxa"/>
            <w:gridSpan w:val="2"/>
            <w:tcBorders>
              <w:top w:val="nil"/>
              <w:left w:val="nil"/>
              <w:bottom w:val="nil"/>
              <w:right w:val="nil"/>
            </w:tcBorders>
            <w:shd w:val="clear" w:color="auto" w:fill="auto"/>
            <w:noWrap/>
            <w:vAlign w:val="center"/>
          </w:tcPr>
          <w:p w14:paraId="3A8284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3A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70.94</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E8F4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29F4E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88" w:type="dxa"/>
          <w:trHeight w:val="480" w:hRule="atLeast"/>
        </w:trPr>
        <w:tc>
          <w:tcPr>
            <w:tcW w:w="576" w:type="dxa"/>
            <w:vMerge w:val="continue"/>
            <w:tcBorders>
              <w:top w:val="single" w:color="000000" w:sz="4" w:space="0"/>
              <w:left w:val="single" w:color="000000" w:sz="4" w:space="0"/>
              <w:bottom w:val="nil"/>
              <w:right w:val="single" w:color="000000" w:sz="4" w:space="0"/>
            </w:tcBorders>
            <w:shd w:val="clear" w:color="auto" w:fill="auto"/>
            <w:vAlign w:val="center"/>
          </w:tcPr>
          <w:p w14:paraId="7D887C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AC2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31F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429" w:type="dxa"/>
            <w:tcBorders>
              <w:top w:val="single" w:color="000000" w:sz="4" w:space="0"/>
              <w:left w:val="nil"/>
              <w:bottom w:val="single" w:color="000000" w:sz="4" w:space="0"/>
              <w:right w:val="single" w:color="000000" w:sz="4" w:space="0"/>
            </w:tcBorders>
            <w:shd w:val="clear" w:color="auto" w:fill="auto"/>
            <w:vAlign w:val="center"/>
          </w:tcPr>
          <w:p w14:paraId="7EBF3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A1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4B4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24F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D36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6214B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576" w:type="dxa"/>
            <w:vMerge w:val="continue"/>
            <w:tcBorders>
              <w:top w:val="single" w:color="000000" w:sz="4" w:space="0"/>
              <w:left w:val="single" w:color="000000" w:sz="4" w:space="0"/>
              <w:bottom w:val="nil"/>
              <w:right w:val="single" w:color="000000" w:sz="4" w:space="0"/>
            </w:tcBorders>
            <w:shd w:val="clear" w:color="auto" w:fill="auto"/>
            <w:vAlign w:val="center"/>
          </w:tcPr>
          <w:p w14:paraId="7D1BD4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F3E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B2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429" w:type="dxa"/>
            <w:tcBorders>
              <w:top w:val="single" w:color="000000" w:sz="4" w:space="0"/>
              <w:left w:val="nil"/>
              <w:bottom w:val="single" w:color="000000" w:sz="4" w:space="0"/>
              <w:right w:val="single" w:color="000000" w:sz="4" w:space="0"/>
            </w:tcBorders>
            <w:shd w:val="clear" w:color="auto" w:fill="auto"/>
            <w:vAlign w:val="center"/>
          </w:tcPr>
          <w:p w14:paraId="1C23D0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BA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08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DB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6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2084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224D9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894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40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EE6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58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6631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67F29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9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5D3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403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498F4DD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编制《福建省渔港布局与建设规划（2026-2030年）》报告                </w:t>
            </w:r>
          </w:p>
        </w:tc>
        <w:tc>
          <w:tcPr>
            <w:tcW w:w="5843"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30FFB70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《福建省渔港布局与建设规划(2026-2030年)》报告编制完成进度约80%</w:t>
            </w:r>
          </w:p>
        </w:tc>
      </w:tr>
      <w:tr w14:paraId="6778A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90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5FA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759" w:type="dxa"/>
            <w:tcBorders>
              <w:top w:val="single" w:color="000000" w:sz="4" w:space="0"/>
              <w:left w:val="single" w:color="000000" w:sz="4" w:space="0"/>
              <w:bottom w:val="nil"/>
              <w:right w:val="single" w:color="000000" w:sz="4" w:space="0"/>
            </w:tcBorders>
            <w:shd w:val="clear" w:color="auto" w:fill="auto"/>
            <w:vAlign w:val="center"/>
          </w:tcPr>
          <w:p w14:paraId="5C6A83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A9D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3072" w:type="dxa"/>
            <w:gridSpan w:val="3"/>
            <w:tcBorders>
              <w:top w:val="single" w:color="000000" w:sz="4" w:space="0"/>
              <w:left w:val="single" w:color="000000" w:sz="4" w:space="0"/>
              <w:bottom w:val="single" w:color="000000" w:sz="4" w:space="0"/>
              <w:right w:val="nil"/>
            </w:tcBorders>
            <w:shd w:val="clear" w:color="auto" w:fill="auto"/>
            <w:vAlign w:val="center"/>
          </w:tcPr>
          <w:p w14:paraId="6A8B1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63D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D9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8F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指标分值</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218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自评得分</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1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52B1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9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DBAE1">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84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7D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9D2E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《福建省渔港布局与建设规划（2026-2030年）》报告</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4998A4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=1篇</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6FB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0.8</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C3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E14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17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报告已完成一轮评审，加快修改</w:t>
            </w:r>
          </w:p>
        </w:tc>
      </w:tr>
      <w:tr w14:paraId="4073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57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10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7A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F3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577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资金使用重大违规行为</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3AB7AD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4F5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1F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FC2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CBFE">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8CA9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82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44C4D">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9A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8E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E12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定期编制项目执行情况报告</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1DA231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=2篇</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FB0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33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3B6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BB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推进报告编制进程</w:t>
            </w:r>
          </w:p>
        </w:tc>
      </w:tr>
      <w:tr w14:paraId="34DE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88" w:type="dxa"/>
          <w:trHeight w:val="120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596E9">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C5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BD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A02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财政资金使用总量控制率</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21CBDD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A5A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70.93</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73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F16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2.84</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EF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优化支出提升资金使用的</w:t>
            </w:r>
            <w:r>
              <w:rPr>
                <w:rFonts w:hint="eastAsia" w:ascii="宋体" w:hAnsi="宋体" w:cs="宋体"/>
                <w:i w:val="0"/>
                <w:iCs w:val="0"/>
                <w:color w:val="000000"/>
                <w:kern w:val="0"/>
                <w:sz w:val="24"/>
                <w:szCs w:val="24"/>
                <w:u w:val="none"/>
                <w:lang w:val="en-US" w:eastAsia="zh-CN" w:bidi="ar"/>
              </w:rPr>
              <w:t>有效性</w:t>
            </w:r>
            <w:r>
              <w:rPr>
                <w:rFonts w:hint="eastAsia" w:ascii="宋体" w:hAnsi="宋体" w:eastAsia="宋体" w:cs="宋体"/>
                <w:i w:val="0"/>
                <w:iCs w:val="0"/>
                <w:color w:val="000000"/>
                <w:kern w:val="0"/>
                <w:sz w:val="24"/>
                <w:szCs w:val="24"/>
                <w:u w:val="none"/>
                <w:lang w:val="en-US" w:eastAsia="zh-CN" w:bidi="ar"/>
              </w:rPr>
              <w:t>。</w:t>
            </w:r>
          </w:p>
        </w:tc>
      </w:tr>
      <w:tr w14:paraId="55850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69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06DB5">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73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84A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社会成本指标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E7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社会安全成本控制率</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012357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CF4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AB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5C0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F885">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3F45A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62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A9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1D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126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生态环境成本指标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C6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环境成本控制率</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1419BF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E4F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4F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ED3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04E4">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0BCD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7C89B">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C8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5EC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97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带动社会投资金额</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023CE0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≥1亿元</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41E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31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FED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FB7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4FD1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6CE3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BA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D61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08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渔业产业结构情况</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4CF09C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940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8E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9C7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7A3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7F4C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38372">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33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FC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21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渔业环境健康情况</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14C072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502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8C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FB2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98F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DAC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88" w:type="dxa"/>
          <w:trHeight w:val="102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95267">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D9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259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42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项目执行受投诉情况</w:t>
            </w:r>
          </w:p>
        </w:tc>
        <w:tc>
          <w:tcPr>
            <w:tcW w:w="1185" w:type="dxa"/>
            <w:gridSpan w:val="2"/>
            <w:tcBorders>
              <w:top w:val="single" w:color="000000" w:sz="4" w:space="0"/>
              <w:left w:val="single" w:color="000000" w:sz="4" w:space="0"/>
              <w:bottom w:val="single" w:color="000000" w:sz="4" w:space="0"/>
              <w:right w:val="nil"/>
            </w:tcBorders>
            <w:shd w:val="clear" w:color="auto" w:fill="auto"/>
            <w:vAlign w:val="center"/>
          </w:tcPr>
          <w:p w14:paraId="001248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FA0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B0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A84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4D62">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AB45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1788" w:type="dxa"/>
            <w:gridSpan w:val="3"/>
            <w:tcBorders>
              <w:top w:val="single" w:color="000000" w:sz="4" w:space="0"/>
              <w:left w:val="single" w:color="000000" w:sz="4" w:space="0"/>
              <w:bottom w:val="single" w:color="000000" w:sz="4" w:space="0"/>
              <w:right w:val="nil"/>
            </w:tcBorders>
            <w:shd w:val="clear" w:color="auto" w:fill="auto"/>
            <w:vAlign w:val="center"/>
          </w:tcPr>
          <w:p w14:paraId="4BD1A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总分值、评价总分 (S)</w:t>
            </w:r>
          </w:p>
        </w:tc>
        <w:tc>
          <w:tcPr>
            <w:tcW w:w="86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1EC5E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87.93</w:t>
            </w:r>
          </w:p>
        </w:tc>
      </w:tr>
      <w:tr w14:paraId="6D022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80" w:hRule="atLeast"/>
        </w:trPr>
        <w:tc>
          <w:tcPr>
            <w:tcW w:w="1788" w:type="dxa"/>
            <w:gridSpan w:val="3"/>
            <w:tcBorders>
              <w:top w:val="single" w:color="000000" w:sz="4" w:space="0"/>
              <w:left w:val="single" w:color="000000" w:sz="4" w:space="0"/>
              <w:bottom w:val="nil"/>
              <w:right w:val="single" w:color="000000" w:sz="4" w:space="0"/>
            </w:tcBorders>
            <w:shd w:val="clear" w:color="auto" w:fill="auto"/>
            <w:vAlign w:val="center"/>
          </w:tcPr>
          <w:p w14:paraId="4A3462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评价等级 </w:t>
            </w:r>
          </w:p>
        </w:tc>
        <w:tc>
          <w:tcPr>
            <w:tcW w:w="8667" w:type="dxa"/>
            <w:gridSpan w:val="12"/>
            <w:tcBorders>
              <w:top w:val="single" w:color="000000" w:sz="4" w:space="0"/>
              <w:left w:val="single" w:color="000000" w:sz="4" w:space="0"/>
              <w:bottom w:val="nil"/>
              <w:right w:val="single" w:color="000000" w:sz="4" w:space="0"/>
            </w:tcBorders>
            <w:shd w:val="clear" w:color="auto" w:fill="auto"/>
            <w:vAlign w:val="center"/>
          </w:tcPr>
          <w:p w14:paraId="006309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良（90&gt;S≧80）</w:t>
            </w:r>
          </w:p>
        </w:tc>
      </w:tr>
      <w:tr w14:paraId="2FF45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441" w:hRule="atLeast"/>
        </w:trPr>
        <w:tc>
          <w:tcPr>
            <w:tcW w:w="17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BB0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问题与建议（每条问题和建议不少于30个字）</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B99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问题类型</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4A46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存在问题</w:t>
            </w:r>
          </w:p>
        </w:tc>
        <w:tc>
          <w:tcPr>
            <w:tcW w:w="29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F9D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改进建议</w:t>
            </w:r>
          </w:p>
        </w:tc>
      </w:tr>
      <w:tr w14:paraId="19F5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988" w:type="dxa"/>
          <w:trHeight w:val="1240" w:hRule="atLeast"/>
        </w:trPr>
        <w:tc>
          <w:tcPr>
            <w:tcW w:w="17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F27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F0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目标完成问题</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2650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项目过程管控精细化不足，绩效目标落地跟踪不够及时，部分指标完成质量仍有提升空间。</w:t>
            </w:r>
          </w:p>
        </w:tc>
        <w:tc>
          <w:tcPr>
            <w:tcW w:w="29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355A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强化全流程动态监管，定期对标绩效指标复盘梳理，细化任务分工，提升资金使用效益与项目管理水平。</w:t>
            </w:r>
          </w:p>
        </w:tc>
      </w:tr>
      <w:tr w14:paraId="6A29C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13443" w:type="dxa"/>
            <w:gridSpan w:val="16"/>
            <w:tcBorders>
              <w:top w:val="nil"/>
              <w:left w:val="nil"/>
              <w:bottom w:val="nil"/>
              <w:right w:val="nil"/>
            </w:tcBorders>
            <w:shd w:val="clear" w:color="auto" w:fill="auto"/>
            <w:vAlign w:val="center"/>
          </w:tcPr>
          <w:p w14:paraId="69D303D6">
            <w:pPr>
              <w:pStyle w:val="29"/>
              <w:keepNext w:val="0"/>
              <w:keepLines w:val="0"/>
              <w:widowControl/>
              <w:suppressLineNumbers w:val="0"/>
              <w:spacing w:before="240" w:beforeAutospacing="0" w:after="240" w:afterAutospacing="0"/>
              <w:ind w:left="0" w:right="0" w:firstLine="3520" w:firstLineChars="1100"/>
              <w:jc w:val="both"/>
              <w:rPr>
                <w:rFonts w:hint="eastAsia" w:ascii="宋体" w:hAnsi="宋体" w:eastAsia="宋体" w:cs="宋体"/>
                <w:b/>
                <w:bCs/>
                <w:i w:val="0"/>
                <w:iCs w:val="0"/>
                <w:color w:val="000000"/>
                <w:kern w:val="2"/>
                <w:sz w:val="36"/>
                <w:szCs w:val="36"/>
                <w:u w:val="none"/>
                <w:lang w:val="en-US" w:eastAsia="zh-CN" w:bidi="ar-SA"/>
              </w:rPr>
            </w:pPr>
            <w:r>
              <w:rPr>
                <w:rFonts w:hint="default" w:ascii="黑体" w:hAnsi="黑体" w:eastAsia="黑体" w:cs="黑体"/>
                <w:b w:val="0"/>
                <w:bCs w:val="0"/>
                <w:kern w:val="0"/>
                <w:sz w:val="32"/>
                <w:szCs w:val="32"/>
              </w:rPr>
              <w:t>项目支出绩效自评表</w:t>
            </w:r>
          </w:p>
        </w:tc>
      </w:tr>
      <w:tr w14:paraId="5351E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3443" w:type="dxa"/>
            <w:gridSpan w:val="16"/>
            <w:tcBorders>
              <w:top w:val="nil"/>
              <w:left w:val="nil"/>
              <w:bottom w:val="nil"/>
              <w:right w:val="nil"/>
            </w:tcBorders>
            <w:shd w:val="clear" w:color="auto" w:fill="auto"/>
            <w:vAlign w:val="center"/>
          </w:tcPr>
          <w:p w14:paraId="77C8D2FC">
            <w:pPr>
              <w:keepNext w:val="0"/>
              <w:keepLines w:val="0"/>
              <w:widowControl/>
              <w:suppressLineNumbers w:val="0"/>
              <w:spacing w:before="0" w:beforeAutospacing="0" w:after="0" w:afterAutospacing="0"/>
              <w:ind w:left="0" w:right="0" w:firstLine="4180" w:firstLineChars="1900"/>
              <w:jc w:val="both"/>
              <w:textAlignment w:val="center"/>
              <w:rPr>
                <w:rFonts w:hint="eastAsia" w:ascii="宋体" w:hAnsi="宋体" w:eastAsia="宋体" w:cs="宋体"/>
                <w:i w:val="0"/>
                <w:iCs w:val="0"/>
                <w:color w:val="000000"/>
                <w:kern w:val="2"/>
                <w:sz w:val="24"/>
                <w:szCs w:val="24"/>
                <w:u w:val="none"/>
                <w:lang w:val="en-US" w:eastAsia="zh-CN" w:bidi="ar-SA"/>
              </w:rPr>
            </w:pPr>
            <w:r>
              <w:rPr>
                <w:rFonts w:hint="default" w:ascii="宋体" w:hAnsi="宋体" w:eastAsia="宋体" w:cs="宋体"/>
                <w:kern w:val="0"/>
                <w:sz w:val="22"/>
                <w:szCs w:val="22"/>
              </w:rPr>
              <w:t>（2025年度）</w:t>
            </w:r>
          </w:p>
        </w:tc>
      </w:tr>
      <w:bookmarkEnd w:id="0"/>
    </w:tbl>
    <w:p w14:paraId="2D5044E5">
      <w:pPr>
        <w:keepNext w:val="0"/>
        <w:keepLines w:val="0"/>
        <w:widowControl w:val="0"/>
        <w:suppressLineNumbers w:val="0"/>
        <w:spacing w:before="0" w:beforeAutospacing="0" w:after="0" w:afterAutospacing="0"/>
        <w:ind w:left="0" w:right="0"/>
        <w:jc w:val="both"/>
        <w:rPr>
          <w:lang w:val="en-US"/>
        </w:rPr>
      </w:pPr>
    </w:p>
    <w:tbl>
      <w:tblPr>
        <w:tblStyle w:val="20"/>
        <w:tblW w:w="1032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8"/>
        <w:gridCol w:w="697"/>
        <w:gridCol w:w="1140"/>
        <w:gridCol w:w="780"/>
        <w:gridCol w:w="315"/>
        <w:gridCol w:w="615"/>
        <w:gridCol w:w="945"/>
        <w:gridCol w:w="1425"/>
        <w:gridCol w:w="1200"/>
        <w:gridCol w:w="819"/>
        <w:gridCol w:w="1971"/>
      </w:tblGrid>
      <w:tr w14:paraId="458B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914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r>
              <w:rPr>
                <w:rFonts w:hint="eastAsia" w:ascii="宋体" w:hAnsi="宋体" w:cs="宋体"/>
                <w:i w:val="0"/>
                <w:iCs w:val="0"/>
                <w:color w:val="000000"/>
                <w:kern w:val="0"/>
                <w:sz w:val="24"/>
                <w:szCs w:val="24"/>
                <w:u w:val="none"/>
                <w:lang w:val="en-US" w:eastAsia="zh-CN" w:bidi="ar"/>
              </w:rPr>
              <w:t>目</w:t>
            </w:r>
            <w:r>
              <w:rPr>
                <w:rFonts w:hint="eastAsia" w:ascii="宋体" w:hAnsi="宋体" w:eastAsia="宋体" w:cs="宋体"/>
                <w:i w:val="0"/>
                <w:iCs w:val="0"/>
                <w:color w:val="000000"/>
                <w:kern w:val="0"/>
                <w:sz w:val="24"/>
                <w:szCs w:val="24"/>
                <w:u w:val="none"/>
                <w:lang w:val="en-US" w:eastAsia="zh-CN" w:bidi="ar"/>
              </w:rPr>
              <w:t>名称</w:t>
            </w:r>
          </w:p>
        </w:tc>
        <w:tc>
          <w:tcPr>
            <w:tcW w:w="8070" w:type="dxa"/>
            <w:gridSpan w:val="8"/>
            <w:tcBorders>
              <w:top w:val="single" w:color="000000" w:sz="4" w:space="0"/>
              <w:left w:val="nil"/>
              <w:bottom w:val="single" w:color="000000" w:sz="4" w:space="0"/>
              <w:right w:val="single" w:color="000000" w:sz="4" w:space="0"/>
            </w:tcBorders>
            <w:shd w:val="clear" w:color="auto" w:fill="auto"/>
            <w:vAlign w:val="center"/>
          </w:tcPr>
          <w:p w14:paraId="5B3424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仿宋" w:hAnsi="仿宋" w:eastAsia="仿宋" w:cs="仿宋"/>
                <w:b/>
                <w:bCs/>
                <w:i w:val="0"/>
                <w:iCs w:val="0"/>
                <w:color w:val="000000"/>
                <w:kern w:val="0"/>
                <w:sz w:val="32"/>
                <w:szCs w:val="32"/>
                <w:u w:val="none"/>
                <w:lang w:val="en-US" w:eastAsia="zh-CN" w:bidi="ar"/>
              </w:rPr>
              <w:t>事业运行业务费</w:t>
            </w:r>
          </w:p>
        </w:tc>
      </w:tr>
      <w:tr w14:paraId="3F19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255" w:type="dxa"/>
            <w:gridSpan w:val="3"/>
            <w:tcBorders>
              <w:top w:val="single" w:color="000000" w:sz="4" w:space="0"/>
              <w:left w:val="single" w:color="000000" w:sz="4" w:space="0"/>
              <w:bottom w:val="nil"/>
              <w:right w:val="single" w:color="000000" w:sz="4" w:space="0"/>
            </w:tcBorders>
            <w:shd w:val="clear" w:color="auto" w:fill="auto"/>
            <w:vAlign w:val="center"/>
          </w:tcPr>
          <w:p w14:paraId="49D8DA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7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8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福建省海洋与渔业局</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F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39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50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福建省水产设计院</w:t>
            </w:r>
          </w:p>
        </w:tc>
      </w:tr>
      <w:tr w14:paraId="021E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255" w:type="dxa"/>
            <w:gridSpan w:val="3"/>
            <w:tcBorders>
              <w:top w:val="single" w:color="000000" w:sz="4" w:space="0"/>
              <w:left w:val="single" w:color="000000" w:sz="4" w:space="0"/>
              <w:bottom w:val="nil"/>
              <w:right w:val="single" w:color="000000" w:sz="4" w:space="0"/>
            </w:tcBorders>
            <w:shd w:val="clear" w:color="auto" w:fill="auto"/>
            <w:vAlign w:val="center"/>
          </w:tcPr>
          <w:p w14:paraId="41D2B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项目概况</w:t>
            </w:r>
          </w:p>
        </w:tc>
        <w:tc>
          <w:tcPr>
            <w:tcW w:w="80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A7CE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确保单位工作正常运行，开展业务补充财政拨款不足部分，保障各项经费开支。</w:t>
            </w:r>
          </w:p>
        </w:tc>
      </w:tr>
      <w:tr w14:paraId="436F5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2255" w:type="dxa"/>
            <w:gridSpan w:val="3"/>
            <w:tcBorders>
              <w:top w:val="single" w:color="000000" w:sz="4" w:space="0"/>
              <w:left w:val="single" w:color="000000" w:sz="4" w:space="0"/>
              <w:bottom w:val="nil"/>
              <w:right w:val="single" w:color="000000" w:sz="4" w:space="0"/>
            </w:tcBorders>
            <w:shd w:val="clear" w:color="auto" w:fill="auto"/>
            <w:vAlign w:val="center"/>
          </w:tcPr>
          <w:p w14:paraId="53E65F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主要成效</w:t>
            </w:r>
          </w:p>
        </w:tc>
        <w:tc>
          <w:tcPr>
            <w:tcW w:w="80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4102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本年开展业务取得事业收入1627万元，补充财政拨款不足部分即保障各项公用经费支出</w:t>
            </w:r>
            <w:r>
              <w:rPr>
                <w:rFonts w:hint="eastAsia" w:ascii="宋体" w:hAnsi="宋体" w:eastAsia="宋体" w:cs="宋体"/>
                <w:i w:val="0"/>
                <w:iCs w:val="0"/>
                <w:color w:val="000000"/>
                <w:kern w:val="0"/>
                <w:sz w:val="24"/>
                <w:szCs w:val="24"/>
                <w:u w:val="none"/>
                <w:lang w:val="en-US" w:eastAsia="zh-CN" w:bidi="ar"/>
              </w:rPr>
              <w:t>。</w:t>
            </w:r>
          </w:p>
        </w:tc>
      </w:tr>
      <w:tr w14:paraId="6546C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8" w:type="dxa"/>
            <w:vMerge w:val="restart"/>
            <w:tcBorders>
              <w:top w:val="single" w:color="000000" w:sz="4" w:space="0"/>
              <w:left w:val="single" w:color="000000" w:sz="4" w:space="0"/>
              <w:bottom w:val="nil"/>
              <w:right w:val="single" w:color="000000" w:sz="4" w:space="0"/>
            </w:tcBorders>
            <w:shd w:val="clear" w:color="auto" w:fill="auto"/>
            <w:vAlign w:val="center"/>
          </w:tcPr>
          <w:p w14:paraId="388215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项目资金(万元)</w:t>
            </w: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33F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6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E26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DE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1A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C39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24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14:paraId="199E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18" w:type="dxa"/>
            <w:vMerge w:val="continue"/>
            <w:tcBorders>
              <w:top w:val="single" w:color="000000" w:sz="4" w:space="0"/>
              <w:left w:val="single" w:color="000000" w:sz="4" w:space="0"/>
              <w:bottom w:val="nil"/>
              <w:right w:val="single" w:color="000000" w:sz="4" w:space="0"/>
            </w:tcBorders>
            <w:shd w:val="clear" w:color="auto" w:fill="auto"/>
            <w:vAlign w:val="center"/>
          </w:tcPr>
          <w:p w14:paraId="6CD9A2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76B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A7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1500</w:t>
            </w:r>
            <w:r>
              <w:rPr>
                <w:rFonts w:hint="eastAsia" w:ascii="宋体" w:hAnsi="宋体" w:eastAsia="宋体" w:cs="宋体"/>
                <w:i w:val="0"/>
                <w:iCs w:val="0"/>
                <w:color w:val="000000"/>
                <w:kern w:val="0"/>
                <w:sz w:val="24"/>
                <w:szCs w:val="24"/>
                <w:u w:val="none"/>
                <w:lang w:val="en-US" w:eastAsia="zh-CN" w:bidi="ar"/>
              </w:rPr>
              <w:t xml:space="preserve"> </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4E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1500</w:t>
            </w:r>
            <w:r>
              <w:rPr>
                <w:rFonts w:hint="eastAsia" w:ascii="宋体" w:hAnsi="宋体" w:eastAsia="宋体" w:cs="宋体"/>
                <w:i w:val="0"/>
                <w:iCs w:val="0"/>
                <w:color w:val="000000"/>
                <w:kern w:val="0"/>
                <w:sz w:val="24"/>
                <w:szCs w:val="24"/>
                <w:u w:val="none"/>
                <w:lang w:val="en-US" w:eastAsia="zh-CN" w:bidi="ar"/>
              </w:rPr>
              <w:t xml:space="preserve">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B5E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1627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BF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70F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80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 xml:space="preserve"> </w:t>
            </w:r>
          </w:p>
        </w:tc>
      </w:tr>
      <w:tr w14:paraId="0072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18" w:type="dxa"/>
            <w:vMerge w:val="continue"/>
            <w:tcBorders>
              <w:top w:val="single" w:color="000000" w:sz="4" w:space="0"/>
              <w:left w:val="single" w:color="000000" w:sz="4" w:space="0"/>
              <w:bottom w:val="nil"/>
              <w:right w:val="single" w:color="000000" w:sz="4" w:space="0"/>
            </w:tcBorders>
            <w:shd w:val="clear" w:color="auto" w:fill="auto"/>
            <w:vAlign w:val="center"/>
          </w:tcPr>
          <w:p w14:paraId="7C6A1B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6FF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其中：当年财政拨款</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D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EF8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56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425" w:type="dxa"/>
            <w:tcBorders>
              <w:top w:val="nil"/>
              <w:left w:val="nil"/>
              <w:bottom w:val="nil"/>
              <w:right w:val="nil"/>
            </w:tcBorders>
            <w:shd w:val="clear" w:color="auto" w:fill="auto"/>
            <w:noWrap/>
            <w:vAlign w:val="center"/>
          </w:tcPr>
          <w:p w14:paraId="72010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7FB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9D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6B0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8" w:type="dxa"/>
            <w:vMerge w:val="continue"/>
            <w:tcBorders>
              <w:top w:val="single" w:color="000000" w:sz="4" w:space="0"/>
              <w:left w:val="single" w:color="000000" w:sz="4" w:space="0"/>
              <w:bottom w:val="nil"/>
              <w:right w:val="single" w:color="000000" w:sz="4" w:space="0"/>
            </w:tcBorders>
            <w:shd w:val="clear" w:color="auto" w:fill="auto"/>
            <w:vAlign w:val="center"/>
          </w:tcPr>
          <w:p w14:paraId="23E8D57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E67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3F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1500</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B702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1500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2E1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1627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FF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65E8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7B3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698E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418" w:type="dxa"/>
            <w:vMerge w:val="continue"/>
            <w:tcBorders>
              <w:top w:val="single" w:color="000000" w:sz="4" w:space="0"/>
              <w:left w:val="single" w:color="000000" w:sz="4" w:space="0"/>
              <w:bottom w:val="nil"/>
              <w:right w:val="single" w:color="000000" w:sz="4" w:space="0"/>
            </w:tcBorders>
            <w:shd w:val="clear" w:color="auto" w:fill="auto"/>
            <w:vAlign w:val="center"/>
          </w:tcPr>
          <w:p w14:paraId="2D967B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D63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上年结转资金</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B8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 xml:space="preserve"> </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908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66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E1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B29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9E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308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AA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35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418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63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DC72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14:paraId="18AA0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271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3547"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6EBE101">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确保单位工作正常运行，开展业务补充财政拨款不足部分，保障各项经费开支。</w:t>
            </w:r>
          </w:p>
        </w:tc>
        <w:tc>
          <w:tcPr>
            <w:tcW w:w="636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D2FBB6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本年开展业务取得事业收入1627万元，补充财政拨款不足部分即保障各项公用经费支出</w:t>
            </w:r>
            <w:r>
              <w:rPr>
                <w:rFonts w:hint="eastAsia" w:ascii="宋体" w:hAnsi="宋体" w:eastAsia="宋体" w:cs="宋体"/>
                <w:i w:val="0"/>
                <w:iCs w:val="0"/>
                <w:color w:val="000000"/>
                <w:kern w:val="0"/>
                <w:sz w:val="24"/>
                <w:szCs w:val="24"/>
                <w:u w:val="none"/>
                <w:lang w:val="en-US" w:eastAsia="zh-CN" w:bidi="ar"/>
              </w:rPr>
              <w:t>。</w:t>
            </w:r>
          </w:p>
        </w:tc>
      </w:tr>
      <w:tr w14:paraId="3DD38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789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指标</w:t>
            </w:r>
          </w:p>
        </w:tc>
        <w:tc>
          <w:tcPr>
            <w:tcW w:w="697" w:type="dxa"/>
            <w:tcBorders>
              <w:top w:val="single" w:color="000000" w:sz="4" w:space="0"/>
              <w:left w:val="single" w:color="000000" w:sz="4" w:space="0"/>
              <w:bottom w:val="nil"/>
              <w:right w:val="single" w:color="000000" w:sz="4" w:space="0"/>
            </w:tcBorders>
            <w:shd w:val="clear" w:color="auto" w:fill="auto"/>
            <w:vAlign w:val="center"/>
          </w:tcPr>
          <w:p w14:paraId="202232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90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095" w:type="dxa"/>
            <w:gridSpan w:val="2"/>
            <w:tcBorders>
              <w:top w:val="single" w:color="000000" w:sz="4" w:space="0"/>
              <w:left w:val="single" w:color="000000" w:sz="4" w:space="0"/>
              <w:bottom w:val="single" w:color="000000" w:sz="4" w:space="0"/>
              <w:right w:val="nil"/>
            </w:tcBorders>
            <w:shd w:val="clear" w:color="auto" w:fill="auto"/>
            <w:vAlign w:val="center"/>
          </w:tcPr>
          <w:p w14:paraId="57FBE9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07D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D2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40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指标分值</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DB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自评得分</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D4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14:paraId="31F6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EE700">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58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C8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99F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资金实际到位率</w:t>
            </w:r>
          </w:p>
        </w:tc>
        <w:tc>
          <w:tcPr>
            <w:tcW w:w="1560" w:type="dxa"/>
            <w:gridSpan w:val="2"/>
            <w:tcBorders>
              <w:top w:val="single" w:color="000000" w:sz="4" w:space="0"/>
              <w:left w:val="single" w:color="000000" w:sz="4" w:space="0"/>
              <w:bottom w:val="single" w:color="000000" w:sz="4" w:space="0"/>
              <w:right w:val="nil"/>
            </w:tcBorders>
            <w:shd w:val="clear" w:color="auto" w:fill="auto"/>
            <w:vAlign w:val="center"/>
          </w:tcPr>
          <w:p w14:paraId="5D656E6B">
            <w:pPr>
              <w:keepNext w:val="0"/>
              <w:keepLines w:val="0"/>
              <w:widowControl/>
              <w:suppressLineNumbers w:val="0"/>
              <w:spacing w:before="0" w:beforeAutospacing="0" w:after="0" w:afterAutospacing="0"/>
              <w:ind w:left="0" w:right="0"/>
              <w:jc w:val="left"/>
              <w:textAlignment w:val="center"/>
              <w:rPr>
                <w:rFonts w:hint="default" w:ascii="Arial" w:hAnsi="Arial" w:eastAsia="宋体" w:cs="Arial"/>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&gt;85%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E37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78</w:t>
            </w:r>
            <w:r>
              <w:rPr>
                <w:rFonts w:hint="eastAsia" w:ascii="宋体" w:hAnsi="宋体" w:eastAsia="宋体" w:cs="宋体"/>
                <w:i w:val="0"/>
                <w:iCs w:val="0"/>
                <w:color w:val="000000"/>
                <w:kern w:val="0"/>
                <w:sz w:val="24"/>
                <w:szCs w:val="24"/>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8EF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805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5</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5AA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业务资金收回难度增大</w:t>
            </w:r>
          </w:p>
        </w:tc>
      </w:tr>
      <w:tr w14:paraId="2CF7A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0D9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53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B6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928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工程技术服务收入</w:t>
            </w:r>
          </w:p>
        </w:tc>
        <w:tc>
          <w:tcPr>
            <w:tcW w:w="1560" w:type="dxa"/>
            <w:gridSpan w:val="2"/>
            <w:tcBorders>
              <w:top w:val="single" w:color="000000" w:sz="4" w:space="0"/>
              <w:left w:val="single" w:color="000000" w:sz="4" w:space="0"/>
              <w:bottom w:val="single" w:color="000000" w:sz="4" w:space="0"/>
              <w:right w:val="nil"/>
            </w:tcBorders>
            <w:shd w:val="clear" w:color="auto" w:fill="auto"/>
            <w:vAlign w:val="center"/>
          </w:tcPr>
          <w:p w14:paraId="307BF6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≥1500万元</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303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1627</w:t>
            </w:r>
            <w:r>
              <w:rPr>
                <w:rFonts w:hint="eastAsia" w:ascii="宋体" w:hAnsi="宋体" w:eastAsia="宋体" w:cs="宋体"/>
                <w:i w:val="0"/>
                <w:iCs w:val="0"/>
                <w:color w:val="000000"/>
                <w:kern w:val="0"/>
                <w:sz w:val="24"/>
                <w:szCs w:val="24"/>
                <w:u w:val="none"/>
                <w:lang w:val="en-US" w:eastAsia="zh-CN" w:bidi="ar"/>
              </w:rPr>
              <w:t>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FC9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BA8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0A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2"/>
                <w:szCs w:val="22"/>
                <w:u w:val="none"/>
                <w:lang w:val="en-US" w:eastAsia="zh-CN" w:bidi="ar"/>
              </w:rPr>
            </w:pPr>
          </w:p>
        </w:tc>
      </w:tr>
      <w:tr w14:paraId="630B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3D26">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97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3C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65EF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服务对象满意度</w:t>
            </w:r>
          </w:p>
        </w:tc>
        <w:tc>
          <w:tcPr>
            <w:tcW w:w="1560" w:type="dxa"/>
            <w:gridSpan w:val="2"/>
            <w:tcBorders>
              <w:top w:val="single" w:color="000000" w:sz="4" w:space="0"/>
              <w:left w:val="single" w:color="000000" w:sz="4" w:space="0"/>
              <w:bottom w:val="single" w:color="000000" w:sz="4" w:space="0"/>
              <w:right w:val="nil"/>
            </w:tcBorders>
            <w:shd w:val="clear" w:color="auto" w:fill="auto"/>
            <w:vAlign w:val="center"/>
          </w:tcPr>
          <w:p w14:paraId="5C45273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&gt;</w:t>
            </w:r>
            <w:r>
              <w:rPr>
                <w:rFonts w:hint="eastAsia" w:ascii="宋体" w:hAnsi="宋体" w:cs="宋体"/>
                <w:i w:val="0"/>
                <w:iCs w:val="0"/>
                <w:color w:val="000000"/>
                <w:kern w:val="0"/>
                <w:sz w:val="24"/>
                <w:szCs w:val="24"/>
                <w:u w:val="none"/>
                <w:lang w:val="en-US" w:eastAsia="zh-CN" w:bidi="ar"/>
              </w:rPr>
              <w:t>95%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7838">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E08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70D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E34D">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2BC7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18" w:type="dxa"/>
            <w:vMerge w:val="restart"/>
            <w:tcBorders>
              <w:top w:val="single" w:color="000000" w:sz="4" w:space="0"/>
              <w:left w:val="single" w:color="000000" w:sz="4" w:space="0"/>
              <w:right w:val="single" w:color="000000" w:sz="4" w:space="0"/>
            </w:tcBorders>
            <w:shd w:val="clear" w:color="auto" w:fill="auto"/>
            <w:vAlign w:val="center"/>
          </w:tcPr>
          <w:p w14:paraId="0C8100FF">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697"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14:paraId="655CAE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4BD269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95"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17374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签订工程技术合同数</w:t>
            </w:r>
          </w:p>
        </w:tc>
        <w:tc>
          <w:tcPr>
            <w:tcW w:w="1560" w:type="dxa"/>
            <w:gridSpan w:val="2"/>
            <w:tcBorders>
              <w:top w:val="single" w:color="000000" w:sz="4" w:space="0"/>
              <w:left w:val="single" w:color="000000" w:sz="4" w:space="0"/>
              <w:bottom w:val="single" w:color="000000" w:sz="4" w:space="0"/>
              <w:right w:val="nil"/>
            </w:tcBorders>
            <w:shd w:val="clear" w:color="auto" w:fill="auto"/>
            <w:vAlign w:val="center"/>
          </w:tcPr>
          <w:p w14:paraId="644718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&gt;12个</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DF90">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F194">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B5A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C3ED">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68FA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03E32">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69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F013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722B6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95"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0A3F2A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项目验收通过率</w:t>
            </w:r>
          </w:p>
        </w:tc>
        <w:tc>
          <w:tcPr>
            <w:tcW w:w="1560" w:type="dxa"/>
            <w:gridSpan w:val="2"/>
            <w:tcBorders>
              <w:top w:val="single" w:color="000000" w:sz="4" w:space="0"/>
              <w:left w:val="single" w:color="000000" w:sz="4" w:space="0"/>
              <w:bottom w:val="single" w:color="000000" w:sz="4" w:space="0"/>
              <w:right w:val="nil"/>
            </w:tcBorders>
            <w:shd w:val="clear" w:color="auto" w:fill="auto"/>
            <w:vAlign w:val="center"/>
          </w:tcPr>
          <w:p w14:paraId="4153C1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00</w:t>
            </w:r>
            <w:r>
              <w:rPr>
                <w:rFonts w:hint="eastAsia" w:ascii="宋体" w:hAnsi="宋体" w:eastAsia="宋体" w:cs="宋体"/>
                <w:i w:val="0"/>
                <w:iCs w:val="0"/>
                <w:color w:val="000000"/>
                <w:kern w:val="0"/>
                <w:sz w:val="22"/>
                <w:szCs w:val="22"/>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C0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AFA7">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02FD">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E352">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1B2D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FB7B3">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697"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233036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EA891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95"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578946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项目按时完成率</w:t>
            </w:r>
          </w:p>
        </w:tc>
        <w:tc>
          <w:tcPr>
            <w:tcW w:w="1560" w:type="dxa"/>
            <w:gridSpan w:val="2"/>
            <w:tcBorders>
              <w:top w:val="single" w:color="000000" w:sz="4" w:space="0"/>
              <w:left w:val="single" w:color="000000" w:sz="4" w:space="0"/>
              <w:bottom w:val="single" w:color="000000" w:sz="4" w:space="0"/>
              <w:right w:val="nil"/>
            </w:tcBorders>
            <w:shd w:val="clear" w:color="auto" w:fill="auto"/>
            <w:vAlign w:val="center"/>
          </w:tcPr>
          <w:p w14:paraId="1F0CDD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00</w:t>
            </w:r>
            <w:r>
              <w:rPr>
                <w:rFonts w:hint="eastAsia" w:ascii="宋体" w:hAnsi="宋体" w:eastAsia="宋体" w:cs="宋体"/>
                <w:i w:val="0"/>
                <w:iCs w:val="0"/>
                <w:color w:val="000000"/>
                <w:kern w:val="0"/>
                <w:sz w:val="22"/>
                <w:szCs w:val="22"/>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876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A91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AB5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4279">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r>
      <w:tr w14:paraId="4EEB8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6335" w:type="dxa"/>
            <w:gridSpan w:val="8"/>
            <w:tcBorders>
              <w:top w:val="single" w:color="000000" w:sz="4" w:space="0"/>
              <w:left w:val="single" w:color="000000" w:sz="4" w:space="0"/>
              <w:bottom w:val="nil"/>
              <w:right w:val="nil"/>
            </w:tcBorders>
            <w:shd w:val="clear" w:color="auto" w:fill="auto"/>
            <w:vAlign w:val="center"/>
          </w:tcPr>
          <w:p w14:paraId="4FBB01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总分值、评价总分 (S)</w:t>
            </w:r>
          </w:p>
        </w:tc>
        <w:tc>
          <w:tcPr>
            <w:tcW w:w="39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9FC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95</w:t>
            </w:r>
          </w:p>
        </w:tc>
      </w:tr>
      <w:tr w14:paraId="704E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6FF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评价等级 </w:t>
            </w:r>
          </w:p>
        </w:tc>
        <w:tc>
          <w:tcPr>
            <w:tcW w:w="9210" w:type="dxa"/>
            <w:gridSpan w:val="9"/>
            <w:tcBorders>
              <w:top w:val="single" w:color="000000" w:sz="4" w:space="0"/>
              <w:left w:val="nil"/>
              <w:bottom w:val="nil"/>
              <w:right w:val="single" w:color="000000" w:sz="4" w:space="0"/>
            </w:tcBorders>
            <w:shd w:val="clear" w:color="auto" w:fill="auto"/>
            <w:vAlign w:val="center"/>
          </w:tcPr>
          <w:p w14:paraId="2159E1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优</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100</w:t>
            </w:r>
            <w:r>
              <w:rPr>
                <w:rFonts w:hint="eastAsia" w:ascii="宋体" w:hAnsi="宋体" w:eastAsia="宋体" w:cs="宋体"/>
                <w:i w:val="0"/>
                <w:iCs w:val="0"/>
                <w:color w:val="000000"/>
                <w:kern w:val="0"/>
                <w:sz w:val="24"/>
                <w:szCs w:val="24"/>
                <w:u w:val="none"/>
                <w:lang w:val="en-US" w:eastAsia="zh-CN" w:bidi="ar"/>
              </w:rPr>
              <w:t>≧S&gt;</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0）</w:t>
            </w:r>
          </w:p>
        </w:tc>
      </w:tr>
      <w:tr w14:paraId="67F4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7" w:hRule="atLeast"/>
        </w:trPr>
        <w:tc>
          <w:tcPr>
            <w:tcW w:w="1115" w:type="dxa"/>
            <w:gridSpan w:val="2"/>
            <w:tcBorders>
              <w:top w:val="single" w:color="000000" w:sz="4" w:space="0"/>
              <w:left w:val="single" w:color="000000" w:sz="4" w:space="0"/>
              <w:bottom w:val="nil"/>
              <w:right w:val="single" w:color="000000" w:sz="4" w:space="0"/>
            </w:tcBorders>
            <w:shd w:val="clear" w:color="auto" w:fill="auto"/>
            <w:vAlign w:val="center"/>
          </w:tcPr>
          <w:p w14:paraId="5FDFDE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问题与建议（每条问题和建议不少于30个字）</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C57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问题类型</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0640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存在问题</w:t>
            </w:r>
          </w:p>
        </w:tc>
        <w:tc>
          <w:tcPr>
            <w:tcW w:w="39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0ED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改进建议</w:t>
            </w:r>
          </w:p>
        </w:tc>
      </w:tr>
      <w:tr w14:paraId="5854F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1115" w:type="dxa"/>
            <w:gridSpan w:val="2"/>
            <w:tcBorders>
              <w:top w:val="nil"/>
              <w:left w:val="single" w:color="000000" w:sz="4" w:space="0"/>
              <w:bottom w:val="single" w:color="000000" w:sz="4" w:space="0"/>
              <w:right w:val="single" w:color="000000" w:sz="4" w:space="0"/>
            </w:tcBorders>
            <w:shd w:val="clear" w:color="auto" w:fill="auto"/>
            <w:noWrap/>
            <w:vAlign w:val="center"/>
          </w:tcPr>
          <w:p w14:paraId="6CA55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B281">
            <w:pPr>
              <w:keepNext w:val="0"/>
              <w:keepLines w:val="0"/>
              <w:widowControl/>
              <w:suppressLineNumbers w:val="0"/>
              <w:spacing w:before="0" w:beforeAutospacing="0" w:after="0" w:afterAutospacing="0"/>
              <w:ind w:left="0" w:leftChars="0" w:right="0" w:rightChars="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目标完成问题</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EA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项目管控过程</w:t>
            </w:r>
            <w:r>
              <w:rPr>
                <w:rFonts w:hint="eastAsia" w:ascii="宋体" w:hAnsi="宋体" w:cs="宋体"/>
                <w:i w:val="0"/>
                <w:iCs w:val="0"/>
                <w:color w:val="000000"/>
                <w:kern w:val="0"/>
                <w:sz w:val="22"/>
                <w:szCs w:val="22"/>
                <w:u w:val="none"/>
                <w:lang w:val="en-US" w:eastAsia="zh-CN" w:bidi="ar"/>
              </w:rPr>
              <w:t>中对应收款项</w:t>
            </w:r>
            <w:r>
              <w:rPr>
                <w:rFonts w:hint="eastAsia" w:ascii="宋体" w:hAnsi="宋体" w:eastAsia="宋体" w:cs="宋体"/>
                <w:i w:val="0"/>
                <w:iCs w:val="0"/>
                <w:color w:val="000000"/>
                <w:kern w:val="0"/>
                <w:sz w:val="22"/>
                <w:szCs w:val="22"/>
                <w:u w:val="none"/>
                <w:lang w:val="en-US" w:eastAsia="zh-CN" w:bidi="ar"/>
              </w:rPr>
              <w:t>跟踪不够及时，部分</w:t>
            </w:r>
            <w:r>
              <w:rPr>
                <w:rFonts w:hint="eastAsia" w:ascii="宋体" w:hAnsi="宋体" w:cs="宋体"/>
                <w:i w:val="0"/>
                <w:iCs w:val="0"/>
                <w:color w:val="000000"/>
                <w:kern w:val="0"/>
                <w:sz w:val="22"/>
                <w:szCs w:val="22"/>
                <w:u w:val="none"/>
                <w:lang w:val="en-US" w:eastAsia="zh-CN" w:bidi="ar"/>
              </w:rPr>
              <w:t>款项目未能按合同约定收回</w:t>
            </w:r>
            <w:r>
              <w:rPr>
                <w:rFonts w:hint="eastAsia" w:ascii="宋体" w:hAnsi="宋体" w:eastAsia="宋体" w:cs="宋体"/>
                <w:i w:val="0"/>
                <w:iCs w:val="0"/>
                <w:color w:val="000000"/>
                <w:kern w:val="0"/>
                <w:sz w:val="22"/>
                <w:szCs w:val="22"/>
                <w:u w:val="none"/>
                <w:lang w:val="en-US" w:eastAsia="zh-CN" w:bidi="ar"/>
              </w:rPr>
              <w:t>。</w:t>
            </w:r>
          </w:p>
        </w:tc>
        <w:tc>
          <w:tcPr>
            <w:tcW w:w="39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64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强化全流程动态监管，定期对</w:t>
            </w:r>
            <w:r>
              <w:rPr>
                <w:rFonts w:hint="eastAsia" w:ascii="宋体" w:hAnsi="宋体" w:cs="宋体"/>
                <w:i w:val="0"/>
                <w:iCs w:val="0"/>
                <w:color w:val="000000"/>
                <w:kern w:val="0"/>
                <w:sz w:val="22"/>
                <w:szCs w:val="22"/>
                <w:u w:val="none"/>
                <w:lang w:val="en-US" w:eastAsia="zh-CN" w:bidi="ar"/>
              </w:rPr>
              <w:t>应收款项目</w:t>
            </w:r>
            <w:r>
              <w:rPr>
                <w:rFonts w:hint="eastAsia" w:ascii="宋体" w:hAnsi="宋体" w:eastAsia="宋体" w:cs="宋体"/>
                <w:i w:val="0"/>
                <w:iCs w:val="0"/>
                <w:color w:val="000000"/>
                <w:kern w:val="0"/>
                <w:sz w:val="22"/>
                <w:szCs w:val="22"/>
                <w:u w:val="none"/>
                <w:lang w:val="en-US" w:eastAsia="zh-CN" w:bidi="ar"/>
              </w:rPr>
              <w:t>梳理，提</w:t>
            </w:r>
            <w:r>
              <w:rPr>
                <w:rFonts w:hint="eastAsia" w:ascii="宋体" w:hAnsi="宋体" w:cs="宋体"/>
                <w:i w:val="0"/>
                <w:iCs w:val="0"/>
                <w:color w:val="000000"/>
                <w:kern w:val="0"/>
                <w:sz w:val="22"/>
                <w:szCs w:val="22"/>
                <w:u w:val="none"/>
                <w:lang w:val="en-US" w:eastAsia="zh-CN" w:bidi="ar"/>
              </w:rPr>
              <w:t>高</w:t>
            </w:r>
            <w:r>
              <w:rPr>
                <w:rFonts w:hint="eastAsia" w:ascii="宋体" w:hAnsi="宋体" w:eastAsia="宋体" w:cs="宋体"/>
                <w:i w:val="0"/>
                <w:iCs w:val="0"/>
                <w:color w:val="000000"/>
                <w:kern w:val="0"/>
                <w:sz w:val="22"/>
                <w:szCs w:val="22"/>
                <w:u w:val="none"/>
                <w:lang w:val="en-US" w:eastAsia="zh-CN" w:bidi="ar"/>
              </w:rPr>
              <w:t>资金</w:t>
            </w:r>
            <w:r>
              <w:rPr>
                <w:rFonts w:hint="eastAsia" w:ascii="宋体" w:hAnsi="宋体" w:cs="宋体"/>
                <w:i w:val="0"/>
                <w:iCs w:val="0"/>
                <w:color w:val="000000"/>
                <w:kern w:val="0"/>
                <w:sz w:val="22"/>
                <w:szCs w:val="22"/>
                <w:u w:val="none"/>
                <w:lang w:val="en-US" w:eastAsia="zh-CN" w:bidi="ar"/>
              </w:rPr>
              <w:t>到位率</w:t>
            </w:r>
            <w:r>
              <w:rPr>
                <w:rFonts w:hint="eastAsia" w:ascii="宋体" w:hAnsi="宋体" w:eastAsia="宋体" w:cs="宋体"/>
                <w:i w:val="0"/>
                <w:iCs w:val="0"/>
                <w:color w:val="000000"/>
                <w:kern w:val="0"/>
                <w:sz w:val="22"/>
                <w:szCs w:val="22"/>
                <w:u w:val="none"/>
                <w:lang w:val="en-US" w:eastAsia="zh-CN" w:bidi="ar"/>
              </w:rPr>
              <w:t>。</w:t>
            </w:r>
          </w:p>
        </w:tc>
      </w:tr>
    </w:tbl>
    <w:p w14:paraId="7868E914">
      <w:pPr>
        <w:keepNext w:val="0"/>
        <w:keepLines w:val="0"/>
        <w:pageBreakBefore w:val="0"/>
        <w:widowControl w:val="0"/>
        <w:tabs>
          <w:tab w:val="left" w:pos="8415"/>
        </w:tabs>
        <w:kinsoku/>
        <w:wordWrap/>
        <w:overflowPunct/>
        <w:topLinePunct w:val="0"/>
        <w:autoSpaceDE/>
        <w:autoSpaceDN/>
        <w:bidi w:val="0"/>
        <w:adjustRightInd/>
        <w:snapToGrid/>
        <w:textAlignment w:val="auto"/>
      </w:pPr>
    </w:p>
    <w:sectPr>
      <w:footerReference r:id="rId22" w:type="default"/>
      <w:pgSz w:w="11906" w:h="16838"/>
      <w:pgMar w:top="1984" w:right="1083" w:bottom="1984" w:left="1083" w:header="0" w:footer="720" w:gutter="0"/>
      <w:pgBorders>
        <w:top w:val="none" w:sz="0" w:space="0"/>
        <w:left w:val="none" w:sz="0" w:space="0"/>
        <w:bottom w:val="none" w:sz="0" w:space="0"/>
        <w:right w:val="none" w:sz="0" w:space="0"/>
      </w:pgBorders>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FangSong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BFDA8B98">
    <w:panose1 w:val="0201060103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EE05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CCC0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14</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4A2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17</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5C66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18</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7F14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C819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06CD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370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26</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38D3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27</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5B58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29</w:t>
    </w:r>
    <w:r>
      <w:rPr>
        <w:rFonts w:ascii="宋体" w:hAnsi="宋体" w:eastAsia="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CC45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6C68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7580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31</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0651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5769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654A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457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705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7</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7ABD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9</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95DA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12</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balanceSingleByteDoubleByteWidth/>
    <w:doNotExpandShiftReturn/>
    <w:adjustLineHeightInTable/>
    <w:doNotWrapTextWithPunct/>
    <w:doNotUseEastAsianBreakRules/>
    <w:useFELayout/>
    <w:splitPgBreakAndParaMark/>
    <w:compatSetting w:name="compatibilityMode" w:uri="http://schemas.microsoft.com/office/word" w:val="12"/>
  </w:compat>
  <w:rsids>
    <w:rsidRoot w:val="00000000"/>
    <w:rsid w:val="01EE5E5A"/>
    <w:rsid w:val="03B31109"/>
    <w:rsid w:val="0480002F"/>
    <w:rsid w:val="067A5F0E"/>
    <w:rsid w:val="0788053B"/>
    <w:rsid w:val="0C3E178C"/>
    <w:rsid w:val="0D5D5C42"/>
    <w:rsid w:val="0F957F8C"/>
    <w:rsid w:val="13B27240"/>
    <w:rsid w:val="188520F9"/>
    <w:rsid w:val="1D097B5B"/>
    <w:rsid w:val="1FB42039"/>
    <w:rsid w:val="28CA290A"/>
    <w:rsid w:val="28EB63A0"/>
    <w:rsid w:val="2A375D41"/>
    <w:rsid w:val="2BB331A5"/>
    <w:rsid w:val="2D542766"/>
    <w:rsid w:val="30E107B4"/>
    <w:rsid w:val="3268280F"/>
    <w:rsid w:val="33791799"/>
    <w:rsid w:val="33B95A18"/>
    <w:rsid w:val="38082ACA"/>
    <w:rsid w:val="3B3B4F65"/>
    <w:rsid w:val="3ECD2378"/>
    <w:rsid w:val="43C55D14"/>
    <w:rsid w:val="47321912"/>
    <w:rsid w:val="48D944FE"/>
    <w:rsid w:val="4F5B42B7"/>
    <w:rsid w:val="50D17AA6"/>
    <w:rsid w:val="5B710D67"/>
    <w:rsid w:val="65553D8F"/>
    <w:rsid w:val="68152516"/>
    <w:rsid w:val="6A49363D"/>
    <w:rsid w:val="6DB8406F"/>
    <w:rsid w:val="703B2D36"/>
    <w:rsid w:val="73C53042"/>
    <w:rsid w:val="75FC2F67"/>
    <w:rsid w:val="7709593C"/>
    <w:rsid w:val="7DC227E6"/>
    <w:rsid w:val="7EE672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4"/>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5"/>
    <w:qFormat/>
    <w:uiPriority w:val="0"/>
    <w:pPr>
      <w:keepNext/>
      <w:keepLines/>
      <w:spacing w:before="280" w:after="290" w:line="376" w:lineRule="auto"/>
      <w:outlineLvl w:val="3"/>
    </w:pPr>
    <w:rPr>
      <w:rFonts w:ascii="Cambria" w:hAnsi="Cambria" w:eastAsia="仿宋"/>
      <w:bCs/>
      <w:sz w:val="32"/>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qFormat/>
    <w:uiPriority w:val="0"/>
    <w:pPr>
      <w:ind w:left="1470"/>
      <w:jc w:val="left"/>
    </w:pPr>
    <w:rPr>
      <w:sz w:val="20"/>
      <w:szCs w:val="20"/>
    </w:rPr>
  </w:style>
  <w:style w:type="paragraph" w:styleId="12">
    <w:name w:val="footer"/>
    <w:basedOn w:val="1"/>
    <w:link w:val="27"/>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qFormat/>
    <w:uiPriority w:val="0"/>
    <w:pPr>
      <w:ind w:left="1680"/>
      <w:jc w:val="left"/>
    </w:pPr>
    <w:rPr>
      <w:sz w:val="20"/>
      <w:szCs w:val="20"/>
    </w:rPr>
  </w:style>
  <w:style w:type="paragraph" w:styleId="19">
    <w:name w:val="Normal (Web)"/>
    <w:basedOn w:val="1"/>
    <w:qFormat/>
    <w:uiPriority w:val="0"/>
    <w:rPr>
      <w:sz w:val="24"/>
    </w:rPr>
  </w:style>
  <w:style w:type="character" w:styleId="22">
    <w:name w:val="page number"/>
    <w:basedOn w:val="21"/>
    <w:qFormat/>
    <w:uiPriority w:val="0"/>
  </w:style>
  <w:style w:type="character" w:styleId="23">
    <w:name w:val="Hyperlink"/>
    <w:qFormat/>
    <w:uiPriority w:val="0"/>
    <w:rPr>
      <w:rFonts w:ascii="宋体" w:hAnsi="宋体" w:eastAsia="仿宋" w:cs="Times New Roman"/>
      <w:kern w:val="2"/>
      <w:sz w:val="32"/>
      <w:szCs w:val="32"/>
      <w:lang w:val="en-US" w:eastAsia="zh-CN" w:bidi="ar-SA"/>
    </w:rPr>
  </w:style>
  <w:style w:type="character" w:customStyle="1" w:styleId="24">
    <w:name w:val="标题 3 字符"/>
    <w:basedOn w:val="21"/>
    <w:link w:val="5"/>
    <w:qFormat/>
    <w:uiPriority w:val="0"/>
    <w:rPr>
      <w:rFonts w:eastAsia="仿宋"/>
      <w:bCs/>
      <w:kern w:val="2"/>
      <w:sz w:val="32"/>
      <w:szCs w:val="32"/>
    </w:rPr>
  </w:style>
  <w:style w:type="character" w:customStyle="1" w:styleId="25">
    <w:name w:val="标题 4 字符"/>
    <w:basedOn w:val="21"/>
    <w:link w:val="6"/>
    <w:qFormat/>
    <w:uiPriority w:val="0"/>
    <w:rPr>
      <w:rFonts w:ascii="Cambria" w:hAnsi="Cambria" w:eastAsia="仿宋"/>
      <w:bCs/>
      <w:kern w:val="2"/>
      <w:sz w:val="32"/>
      <w:szCs w:val="28"/>
    </w:rPr>
  </w:style>
  <w:style w:type="character" w:customStyle="1" w:styleId="26">
    <w:name w:val="无间隔 字符"/>
    <w:link w:val="4"/>
    <w:qFormat/>
    <w:locked/>
    <w:uiPriority w:val="0"/>
    <w:rPr>
      <w:rFonts w:eastAsia="仿宋_GB2312"/>
      <w:sz w:val="30"/>
      <w:szCs w:val="22"/>
      <w:lang w:bidi="ar-SA"/>
    </w:rPr>
  </w:style>
  <w:style w:type="character" w:customStyle="1" w:styleId="27">
    <w:name w:val="页脚 字符"/>
    <w:basedOn w:val="21"/>
    <w:link w:val="12"/>
    <w:qFormat/>
    <w:uiPriority w:val="0"/>
    <w:rPr>
      <w:kern w:val="2"/>
      <w:sz w:val="18"/>
      <w:szCs w:val="18"/>
    </w:rPr>
  </w:style>
  <w:style w:type="paragraph" w:styleId="28">
    <w:name w:val="List Paragraph"/>
    <w:basedOn w:val="1"/>
    <w:qFormat/>
    <w:uiPriority w:val="0"/>
    <w:pPr>
      <w:ind w:firstLine="420" w:firstLineChars="200"/>
    </w:pPr>
  </w:style>
  <w:style w:type="paragraph" w:customStyle="1" w:styleId="29">
    <w:name w:val="MsoNormal"/>
    <w:basedOn w:val="1"/>
    <w:qFormat/>
    <w:uiPriority w:val="0"/>
  </w:style>
  <w:style w:type="paragraph" w:customStyle="1" w:styleId="30">
    <w:name w:val="p"/>
    <w:basedOn w:val="1"/>
    <w:qFormat/>
    <w:uiPriority w:val="0"/>
  </w:style>
  <w:style w:type="character" w:customStyle="1" w:styleId="31">
    <w:name w:val="15"/>
    <w:basedOn w:val="2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38</Pages>
  <Words>2822</Words>
  <Characters>3533</Characters>
  <Lines>1</Lines>
  <Paragraphs>1</Paragraphs>
  <TotalTime>13</TotalTime>
  <ScaleCrop>false</ScaleCrop>
  <LinksUpToDate>false</LinksUpToDate>
  <CharactersWithSpaces>3880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雨林</cp:lastModifiedBy>
  <cp:lastPrinted>2026-09-06T03:29:00Z</cp:lastPrinted>
  <dcterms:modified xsi:type="dcterms:W3CDTF">2026-09-07T08:11:55Z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3D04896FCF7D4FF0B69018AF38D31AC5_13</vt:lpwstr>
  </property>
  <property fmtid="{D5CDD505-2E9C-101B-9397-08002B2CF9AE}" pid="3" name="KSOProductBuildVer">
    <vt:lpwstr>2052-12.1.0.28505</vt:lpwstr>
  </property>
  <property fmtid="{D5CDD505-2E9C-101B-9397-08002B2CF9AE}" pid="4" name="KSOTemplateDocerSaveRecord">
    <vt:lpwstr>eyJoZGlkIjoiMGVmNjcxNDJjYzA0MmNkZjA4NWIyMzQzYjU0NzgzMmUiLCJ1c2VySWQiOiIxMzE5MjQ2NDI4In0=</vt:lpwstr>
  </property>
</Properties>
</file>