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606"/>
        </w:tabs>
        <w:spacing w:after="0"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/>
        </w:rPr>
        <w:t>总队一体化协同办公平台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/>
        </w:rPr>
        <w:t>运维服务项目服务内容及要求</w:t>
      </w:r>
    </w:p>
    <w:p>
      <w:pPr>
        <w:pStyle w:val="2"/>
        <w:tabs>
          <w:tab w:val="left" w:pos="4606"/>
        </w:tabs>
        <w:spacing w:after="0" w:line="500" w:lineRule="exact"/>
        <w:ind w:left="0" w:leftChars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>
      <w:pPr>
        <w:spacing w:line="560" w:lineRule="exact"/>
        <w:ind w:firstLine="620" w:firstLineChars="200"/>
        <w:outlineLvl w:val="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总队一体化协同办公平台运维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供应商须提供一体化协同办公平台1年</w:t>
      </w:r>
      <w:r>
        <w:rPr>
          <w:rFonts w:hint="eastAsia" w:ascii="仿宋_GB2312" w:hAnsi="仿宋_GB2312" w:eastAsia="仿宋_GB2312" w:cs="仿宋_GB2312"/>
          <w:sz w:val="32"/>
          <w:szCs w:val="40"/>
        </w:rPr>
        <w:t>运行维护服务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，包括日常使用指导、日常巡检、技术支持、系统升级、故障处理、需求变更服务等工作。</w:t>
      </w:r>
    </w:p>
    <w:p>
      <w:pPr>
        <w:numPr>
          <w:ilvl w:val="0"/>
          <w:numId w:val="1"/>
        </w:numPr>
        <w:spacing w:line="55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99618712"/>
      <w:bookmarkStart w:id="1" w:name="_Toc105072287"/>
      <w:bookmarkStart w:id="2" w:name="_Toc99615879"/>
      <w:bookmarkStart w:id="3" w:name="_Toc99618758"/>
      <w:r>
        <w:rPr>
          <w:rFonts w:hint="eastAsia" w:ascii="黑体" w:hAnsi="黑体" w:eastAsia="黑体" w:cs="黑体"/>
          <w:sz w:val="32"/>
          <w:szCs w:val="32"/>
        </w:rPr>
        <w:t>平台运维服务内容及要求</w:t>
      </w:r>
    </w:p>
    <w:p>
      <w:pPr>
        <w:spacing w:line="55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1.平台运行维护服务内容</w:t>
      </w:r>
    </w:p>
    <w:bookmarkEnd w:id="0"/>
    <w:bookmarkEnd w:id="1"/>
    <w:bookmarkEnd w:id="2"/>
    <w:bookmarkEnd w:id="3"/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65"/>
        <w:gridCol w:w="5106"/>
        <w:gridCol w:w="5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40" w:type="dxa"/>
            <w:vAlign w:val="center"/>
          </w:tcPr>
          <w:p>
            <w:pPr>
              <w:widowControl w:val="0"/>
              <w:spacing w:line="560" w:lineRule="exact"/>
              <w:ind w:left="-66" w:leftChars="-30" w:right="-66" w:rightChars="-3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560" w:lineRule="exact"/>
              <w:ind w:left="-66" w:leftChars="-30" w:right="-66" w:rightChars="-3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服务项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服务内容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40" w:type="dxa"/>
            <w:vAlign w:val="center"/>
          </w:tcPr>
          <w:p>
            <w:pPr>
              <w:pStyle w:val="8"/>
              <w:widowControl w:val="0"/>
              <w:spacing w:line="320" w:lineRule="exact"/>
              <w:ind w:left="-66" w:leftChars="-30" w:right="-66" w:rightChars="-30" w:firstLine="0" w:firstLine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420" w:lineRule="exact"/>
              <w:ind w:left="-66" w:leftChars="-30" w:right="-66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日常使用指导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对服务范围内的平台功能模块使用问题，进行一对一的远程指导，确保用户高效掌握平台功能，提升办公协同效率。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及时、精准、易懂的操作指引和问题解答，通过系统化的知识传递与个性化的辅导，高效完成各项工作任务，深度挖掘并充分发挥平台的内在潜能与综合效能。此项服务的核心目标在于促进工作的无缝融合，实现技术赋能与工作效率的倍增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内容包括系统使用，标准规范，开发技术等。方式包括电话支持、电子邮件支持、传真、文档提供等多种以解决实际问题为目的的方式。对系统使用过程中遇到的操作性、业务性、维护性等各类问题，技术人员进行解答并帮助其解决问题，同时记录问题内容，根据问题提出的频率整理出技术支持问题列表和相应的文档资料，定期进行分析。主要工作内容包括：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（1）对软件使用过程中出现的各类问题进行解答。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（2）以前台操作为主，能够通过前台操作完成的，不在后台调整。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（3）系统使用中出现的常见问题，及时通过文档等形式予以登记。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通过远程指导和支持，帮助用户理解平台各项功能模块的操作方法和应用场景。运维团队结合工作特性，提供使用建议和技巧分享，发掘平台的潜在价值，实现更优的工作流程和协同方式。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40" w:type="dxa"/>
            <w:vAlign w:val="center"/>
          </w:tcPr>
          <w:p>
            <w:pPr>
              <w:pStyle w:val="8"/>
              <w:widowControl w:val="0"/>
              <w:spacing w:line="320" w:lineRule="exact"/>
              <w:ind w:left="-66" w:leftChars="-30" w:right="-66" w:rightChars="-30" w:firstLine="0" w:firstLine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420" w:lineRule="exact"/>
              <w:ind w:left="-66" w:leftChars="-30" w:right="-66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日常巡检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通过全维度健康检查，提前发现系统隐患，保障平台稳定性与性能优化。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1.关键服务巡检：云文档服务、轻阅读服务、签章服务、短信服务、网关服务等关键服务进行可用性、响应速度、稳定性等方面的巡检。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2.核心系统功能巡检：对服务内的重要业务功能进行巡检，验证其可用性。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3.涉及到的服务器巡检：对本服务涉及到的服务器的CPU、内存、硬盘等使用情况进行日常巡检。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4.通过巡回检修服务了解系统运行情况，及时发现和排除潜在问题或故障隐患，保证系统的稳定运行。检查的内容包括：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（1）数据库的状态，查看数据库的空间情况，性能情况，系统异常记录。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（2）应用系统的运行状况，是否可访问，各项服务是否运转，系统性能状况，应用系统的日志等。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（3）应用服务器的运行情况，查看运行日志。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（4）各系统间的集成联通状况。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（5）数据交换、报送程序是否运转，查看运行日志。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（6）系统备份情况，是否自动备份。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通过健康检查，及时发现本项目运行过程出现的问题，排除本项目的隐患，保证本项目的可靠运行；并合理调配相关的系统资源，提高本项目的可用性。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140" w:type="dxa"/>
            <w:vAlign w:val="center"/>
          </w:tcPr>
          <w:p>
            <w:pPr>
              <w:pStyle w:val="8"/>
              <w:widowControl w:val="0"/>
              <w:spacing w:line="320" w:lineRule="exact"/>
              <w:ind w:left="-66" w:leftChars="-30" w:right="-66" w:rightChars="-30" w:firstLine="0" w:firstLine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420" w:lineRule="exact"/>
              <w:ind w:left="-66" w:leftChars="-30" w:right="-66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技术支持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建全时段、多渠道技术支撑体系，确保问题快速响应、高效解决。对服务期内遇到的技术问题提供24小时技术支持，包括电话技术支持、远程技术支持，若以上方式无法解决时，提供现场技术支持。支持内容包括平台运行基础环境、平台软件系统本身的操作及系统配置等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1.电话支持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于一般问题可由运维工程师通过电话、传真和电子邮件的方式指导使用人员解决问题，并通过电子邮件报告系统故障说明，直至将问题解决为止。若本方式未能解决问题，则可将采用远程拨入、现场服务等方式解决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2.远程服务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若电话支持无法有效解决问题或遇复杂故障，运维工程师将通过加密通道远程接入系统后台，协助用户进行问题排查与修复，并分析定位问题原因，做相关优化，避免后续同类问题的产生。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3.临时现场服务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项目实施或运维过程中，根据需要临时派遣专业人员到现场，提供技术支持、问题解决和服务、进行系统调试和配置等，确保系统能够正常运行并满足预期要求。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4.技术会商服务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专业的技术支持和指导，解决项目中的技术难题和疑虑。通过技术会商，与项目团队共同探讨系统架构、设计方案、技术选型等关键技术问题，输出解决方案和建议，以确保项目的技术方向正确，达到预期的技术目标。分析问题，提供深入的技术洞察，帮助项目团队制定最佳实践，促进项目的顺利实施并保障技术质量。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40" w:type="dxa"/>
            <w:vAlign w:val="center"/>
          </w:tcPr>
          <w:p>
            <w:pPr>
              <w:pStyle w:val="8"/>
              <w:widowControl w:val="0"/>
              <w:spacing w:line="320" w:lineRule="exact"/>
              <w:ind w:left="-66" w:leftChars="-30" w:right="-66" w:rightChars="-30" w:firstLine="0" w:firstLine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420" w:lineRule="exact"/>
              <w:ind w:left="-66" w:leftChars="-30" w:right="-66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系统升级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平台提供系统功能的持续升级，并根据三级等保的要求，持续升级系统安全防护措施。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建立合理的机制、管理机构，使系统能够可持续、长期地发展。依托云协同的技术优势，平台将持续进行功能更新与用户体验优化。升级时充分考虑行业发展趋势，旨在让平台更加智能、便捷、高效。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严格遵循国家信息安全等级保护的要求，对平台的安全防护措施进行持续的升级和加固，及时修补潜在漏洞，增强对各类网络攻击和安全威胁的抵御能力，确保数据和信息的绝对安全。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采用“灰度发布+ A/B测试”机制，优先在测试环境验证升级内容，确保无风险后再推至生产环境，并做好版本控制管理。对所有系统升级操作都制定周密的计划和回滚预案，尽可能选择在业务低谷期进行，并提前进行沟通协调，确保升级过程对日常办公的影响降至最低。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0" w:type="dxa"/>
            <w:vAlign w:val="center"/>
          </w:tcPr>
          <w:p>
            <w:pPr>
              <w:pStyle w:val="8"/>
              <w:widowControl w:val="0"/>
              <w:spacing w:line="320" w:lineRule="exact"/>
              <w:ind w:left="-66" w:leftChars="-30" w:right="-66" w:rightChars="-30" w:firstLine="0" w:firstLine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420" w:lineRule="exact"/>
              <w:ind w:left="-66" w:leftChars="-30" w:right="-66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故障处理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标准化故障处置流程，实现“快速响应、精准定位、最小影响、长效预防”，每一次故障处理都将作为一次案例进行深入分析和总结，不断优化应急预案和处理流程，提升团队的故障应对能力，并积极从技术和管理层面采取预防措施，减少同类故障的再次发生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对平台使用过程中出现的错误流程、错误数据、错误格式、缺失数据等问题，按照用户提供的故障描述、截图、照片等信息处理故障。若远程技术支持无效的情况下，技术支持人员提供现场故障处理。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依据提供的故障现象描述、截图、照片等信息，运维团队迅速展开分析研判，运用专业工具和技术手段，精准定位故障根源。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一旦故障原因查明，立即制定并实施有效的解决方案。对于能够远程解决的问题，将通过在线方式快速处理；若远程支持无法彻底解决，则立即启动现场支持，派遣技术人员进行现场排障。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在故障处理过程中，始终将最大限度降低对业务的影响放在首位，采取一切必要措施保障核心业务的连续性。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140" w:type="dxa"/>
            <w:vAlign w:val="center"/>
          </w:tcPr>
          <w:p>
            <w:pPr>
              <w:pStyle w:val="8"/>
              <w:widowControl w:val="0"/>
              <w:spacing w:line="320" w:lineRule="exact"/>
              <w:ind w:left="-66" w:leftChars="-30" w:right="-66" w:rightChars="-30" w:firstLine="0" w:firstLineChars="0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spacing w:line="420" w:lineRule="exact"/>
              <w:ind w:left="-66" w:leftChars="-30" w:right="-66" w:rightChars="-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需求变更</w:t>
            </w:r>
          </w:p>
        </w:tc>
        <w:tc>
          <w:tcPr>
            <w:tcW w:w="5388" w:type="dxa"/>
            <w:vAlign w:val="center"/>
          </w:tcPr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规范需求管理流程，平衡业务需求与系统稳定性，实现敏捷响应与可控变更。具体要求如下：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1.在接收到用户单位在标准服务范围内提出的需求变更申请后，运维团队在24小时内给予积极响应，并就需求的具体内容进行初步沟通。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2.对提出的需求变更，运维团队需进行专业的技术评估和影响分析，明确其在现有平台架构下的可行性、实现方式以及可能带来的相关影响。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3.在评估完成后，提供清晰的处理反馈意见和具体的处理办法或建议方案。对于可行的变更，明确后续的实施步骤和大致时间计划；对于暂不可行或存在较大风险的变更，给予充分的解释和替代建议。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（1）接收标准服务内的需求变更工单处理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接收到标准服务内的需求变更申请后，在24小时内响应，并给予反馈意见及处理办法。对于纳入实施范围的需求变更，按照既定的开发和测试流程进行，确保变更的质量和稳定性，并在完成后及时进行验证。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（2）标准服务外的需求变更工单处理</w:t>
            </w:r>
          </w:p>
          <w:p>
            <w:pPr>
              <w:widowControl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对于超出标准化服务范畴的工单需求，按以下规程处理：经受理后首先进行需求性质判定，若确认为个性化定制需求，则启动技术可行性评估程序。对于经评估具备实施可行性的需求，结合开发复杂度、资源投入量等维度制定实施方案，最终依据个性化服务收费标准进行磋商。</w:t>
            </w:r>
          </w:p>
        </w:tc>
        <w:tc>
          <w:tcPr>
            <w:tcW w:w="56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9"/>
        <w:numPr>
          <w:ilvl w:val="0"/>
          <w:numId w:val="2"/>
        </w:numPr>
        <w:spacing w:after="179" w:afterLines="30" w:line="560" w:lineRule="exact"/>
        <w:ind w:left="-440" w:leftChars="0" w:firstLine="0" w:firstLineChars="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平台运维服务响应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055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9151" w:type="dxa"/>
            <w:gridSpan w:val="4"/>
            <w:vAlign w:val="center"/>
          </w:tcPr>
          <w:p>
            <w:pPr>
              <w:pStyle w:val="9"/>
              <w:spacing w:line="240" w:lineRule="atLeast"/>
              <w:ind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-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8"/>
              </w:rPr>
              <w:t>平台运维服务响应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366" w:type="dxa"/>
            <w:vAlign w:val="center"/>
          </w:tcPr>
          <w:p>
            <w:pPr>
              <w:pStyle w:val="9"/>
              <w:spacing w:line="240" w:lineRule="atLeast"/>
              <w:ind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-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8"/>
              </w:rPr>
              <w:t>故障级别</w:t>
            </w:r>
          </w:p>
        </w:tc>
        <w:tc>
          <w:tcPr>
            <w:tcW w:w="5055" w:type="dxa"/>
            <w:vAlign w:val="center"/>
          </w:tcPr>
          <w:p>
            <w:pPr>
              <w:pStyle w:val="9"/>
              <w:spacing w:line="240" w:lineRule="atLeast"/>
              <w:ind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-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8"/>
              </w:rPr>
              <w:t>故障主要特征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spacing w:line="240" w:lineRule="atLeast"/>
              <w:ind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pacing w:val="-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8"/>
              </w:rPr>
              <w:t>响应时间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恢复时间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366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紧急</w:t>
            </w:r>
          </w:p>
        </w:tc>
        <w:tc>
          <w:tcPr>
            <w:tcW w:w="5055" w:type="dxa"/>
            <w:vAlign w:val="center"/>
          </w:tcPr>
          <w:p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系统出现宕机等严重问题；系统无法启用；出现关键业务故障；系统故障可能造成重大安全事故或损失。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10分钟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4小时内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366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一般</w:t>
            </w:r>
          </w:p>
        </w:tc>
        <w:tc>
          <w:tcPr>
            <w:tcW w:w="5055" w:type="dxa"/>
            <w:vAlign w:val="center"/>
          </w:tcPr>
          <w:p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系统基本正常，出现非致命性、非关键业务错误，但影响用户工作。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30分钟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8小时内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366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轻微</w:t>
            </w:r>
          </w:p>
        </w:tc>
        <w:tc>
          <w:tcPr>
            <w:tcW w:w="5055" w:type="dxa"/>
            <w:vAlign w:val="center"/>
          </w:tcPr>
          <w:p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其他非功能性问题，如用户认为操作不方便、不够友好而要求改进。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按需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按需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B4784"/>
    <w:multiLevelType w:val="singleLevel"/>
    <w:tmpl w:val="DAAB47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45221B"/>
    <w:multiLevelType w:val="singleLevel"/>
    <w:tmpl w:val="1F45221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92B3528"/>
    <w:rsid w:val="5D1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unhideWhenUsed/>
    <w:qFormat/>
    <w:uiPriority w:val="99"/>
    <w:pPr>
      <w:spacing w:line="360" w:lineRule="auto"/>
      <w:ind w:firstLine="420" w:firstLineChars="200"/>
    </w:pPr>
    <w:rPr>
      <w:rFonts w:ascii="宋体" w:hAnsi="Calibri" w:eastAsia="宋体"/>
      <w:sz w:val="24"/>
    </w:rPr>
  </w:style>
  <w:style w:type="paragraph" w:customStyle="1" w:styleId="9">
    <w:name w:val="无间隔1"/>
    <w:qFormat/>
    <w:uiPriority w:val="1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2026-05-29T02:23:45Z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