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32"/>
          <w:szCs w:val="32"/>
          <w:u w:val="none"/>
          <w:lang w:val="en-US" w:eastAsia="zh-CN" w:bidi="ar"/>
        </w:rPr>
      </w:pPr>
      <w:bookmarkStart w:id="0" w:name="_GoBack"/>
      <w:bookmarkEnd w:id="0"/>
      <w:r>
        <w:rPr>
          <w:rFonts w:hint="eastAsia" w:ascii="黑体" w:hAnsi="黑体" w:eastAsia="黑体" w:cs="黑体"/>
          <w:i w:val="0"/>
          <w:color w:val="000000"/>
          <w:spacing w:val="-6"/>
          <w:kern w:val="0"/>
          <w:sz w:val="32"/>
          <w:szCs w:val="32"/>
          <w:u w:val="none"/>
          <w:lang w:val="en-US" w:eastAsia="zh-CN" w:bidi="ar"/>
        </w:rPr>
        <w:t>附件1</w:t>
      </w:r>
    </w:p>
    <w:p>
      <w:pPr>
        <w:spacing w:beforeLines="0" w:afterLines="0" w:line="400" w:lineRule="exact"/>
        <w:jc w:val="center"/>
        <w:rPr>
          <w:rFonts w:hint="eastAsia" w:ascii="方正小标宋简体" w:hAnsi="方正小标宋简体" w:eastAsia="方正小标宋简体" w:cs="方正小标宋简体"/>
          <w:b w:val="0"/>
          <w:bCs w:val="0"/>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40" w:lineRule="exact"/>
        <w:ind w:left="-308" w:leftChars="-100"/>
        <w:jc w:val="center"/>
        <w:textAlignment w:val="auto"/>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eastAsia="zh-CN"/>
        </w:rPr>
        <w:t>福建省海洋与渔业局继续有效的规范性文件目录</w:t>
      </w:r>
    </w:p>
    <w:p>
      <w:pPr>
        <w:spacing w:beforeLines="0" w:afterLines="0" w:line="54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2025年11</w:t>
      </w:r>
      <w:r>
        <w:rPr>
          <w:rFonts w:hint="default" w:ascii="方正小标宋简体" w:hAnsi="方正小标宋简体" w:eastAsia="方正小标宋简体" w:cs="方正小标宋简体"/>
          <w:b w:val="0"/>
          <w:bCs w:val="0"/>
          <w:sz w:val="44"/>
          <w:szCs w:val="44"/>
          <w:lang w:val="en" w:eastAsia="zh-CN"/>
        </w:rPr>
        <w:t>月</w:t>
      </w:r>
      <w:r>
        <w:rPr>
          <w:rFonts w:hint="eastAsia" w:ascii="方正小标宋简体" w:hAnsi="方正小标宋简体" w:eastAsia="方正小标宋简体" w:cs="方正小标宋简体"/>
          <w:b w:val="0"/>
          <w:bCs w:val="0"/>
          <w:sz w:val="44"/>
          <w:szCs w:val="44"/>
          <w:lang w:val="en-US" w:eastAsia="zh-CN"/>
        </w:rPr>
        <w:t>之前</w:t>
      </w:r>
      <w:r>
        <w:rPr>
          <w:rFonts w:hint="eastAsia" w:ascii="方正小标宋简体" w:hAnsi="方正小标宋简体" w:eastAsia="方正小标宋简体" w:cs="方正小标宋简体"/>
          <w:b w:val="0"/>
          <w:bCs w:val="0"/>
          <w:sz w:val="44"/>
          <w:szCs w:val="44"/>
          <w:lang w:eastAsia="zh-CN"/>
        </w:rPr>
        <w:t>）</w:t>
      </w:r>
    </w:p>
    <w:tbl>
      <w:tblPr>
        <w:tblStyle w:val="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640"/>
        <w:gridCol w:w="6049"/>
        <w:gridCol w:w="2281"/>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序号</w:t>
            </w:r>
          </w:p>
        </w:tc>
        <w:tc>
          <w:tcPr>
            <w:tcW w:w="60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文件标题</w:t>
            </w:r>
          </w:p>
        </w:tc>
        <w:tc>
          <w:tcPr>
            <w:tcW w:w="228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文号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left"/>
              <w:outlineLvl w:val="9"/>
              <w:rPr>
                <w:rFonts w:hint="eastAsia" w:ascii="仿宋_GB2312" w:eastAsia="仿宋_GB2312"/>
                <w:b/>
                <w:bCs/>
                <w:szCs w:val="32"/>
                <w:vertAlign w:val="baseline"/>
                <w:lang w:eastAsia="zh-CN"/>
              </w:rPr>
            </w:pPr>
            <w:r>
              <w:rPr>
                <w:rFonts w:hint="eastAsia" w:ascii="仿宋_GB2312" w:hAnsi="宋体" w:cs="仿宋_GB2312"/>
                <w:b/>
                <w:bCs/>
                <w:i w:val="0"/>
                <w:color w:val="000000"/>
                <w:spacing w:val="-6"/>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9"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1</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福建省海洋与渔业局关于印发《福建省渔业防台风应急预案》的通知</w:t>
            </w:r>
          </w:p>
          <w:p>
            <w:pPr>
              <w:keepNext w:val="0"/>
              <w:keepLines w:val="0"/>
              <w:widowControl/>
              <w:suppressLineNumbers w:val="0"/>
              <w:jc w:val="center"/>
              <w:textAlignment w:val="center"/>
              <w:rPr>
                <w:rFonts w:hint="eastAsia" w:ascii="仿宋_GB2312" w:hAnsi="宋体" w:cs="仿宋_GB2312"/>
                <w:b/>
                <w:bCs/>
                <w:i w:val="0"/>
                <w:color w:val="000000"/>
                <w:spacing w:val="-6"/>
                <w:kern w:val="0"/>
                <w:sz w:val="20"/>
                <w:szCs w:val="20"/>
                <w:u w:val="none"/>
                <w:lang w:val="en-US" w:eastAsia="zh-CN" w:bidi="ar"/>
              </w:rPr>
            </w:pPr>
          </w:p>
        </w:tc>
        <w:tc>
          <w:tcPr>
            <w:tcW w:w="2281" w:type="dxa"/>
            <w:noWrap w:val="0"/>
            <w:vAlign w:val="center"/>
          </w:tcPr>
          <w:p>
            <w:pPr>
              <w:keepNext w:val="0"/>
              <w:keepLines w:val="0"/>
              <w:widowControl/>
              <w:suppressLineNumbers w:val="0"/>
              <w:jc w:val="center"/>
              <w:textAlignment w:val="auto"/>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闽海渔规〔2025〕7号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39"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w:t>
            </w:r>
          </w:p>
        </w:tc>
        <w:tc>
          <w:tcPr>
            <w:tcW w:w="6049" w:type="dxa"/>
            <w:noWrap w:val="0"/>
            <w:vAlign w:val="center"/>
          </w:tcPr>
          <w:p>
            <w:pPr>
              <w:keepNext w:val="0"/>
              <w:keepLines w:val="0"/>
              <w:widowControl/>
              <w:suppressLineNumbers w:val="0"/>
              <w:jc w:val="center"/>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福建省海洋与渔业局关于废止和宣布失效一批行政规范性文件的通知</w:t>
            </w:r>
          </w:p>
        </w:tc>
        <w:tc>
          <w:tcPr>
            <w:tcW w:w="2281" w:type="dxa"/>
            <w:noWrap w:val="0"/>
            <w:vAlign w:val="center"/>
          </w:tcPr>
          <w:p>
            <w:pPr>
              <w:keepNext w:val="0"/>
              <w:keepLines w:val="0"/>
              <w:widowControl/>
              <w:suppressLineNumbers w:val="0"/>
              <w:jc w:val="center"/>
              <w:textAlignment w:val="center"/>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闽海渔规〔2025〕6号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71"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3</w:t>
            </w:r>
          </w:p>
        </w:tc>
        <w:tc>
          <w:tcPr>
            <w:tcW w:w="6049" w:type="dxa"/>
            <w:noWrap w:val="0"/>
            <w:vAlign w:val="center"/>
          </w:tcPr>
          <w:p>
            <w:pPr>
              <w:keepNext w:val="0"/>
              <w:keepLines w:val="0"/>
              <w:widowControl/>
              <w:suppressLineNumbers w:val="0"/>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福建省海洋与渔业局等13部门关于印发《福建省“三无”船舶认定和处置办法》的通知</w:t>
            </w:r>
          </w:p>
          <w:p>
            <w:pPr>
              <w:keepNext w:val="0"/>
              <w:keepLines w:val="0"/>
              <w:widowControl/>
              <w:suppressLineNumbers w:val="0"/>
              <w:jc w:val="center"/>
              <w:textAlignment w:val="center"/>
              <w:rPr>
                <w:rFonts w:hint="eastAsia" w:ascii="仿宋_GB2312" w:hAnsi="宋体" w:eastAsia="宋体" w:cs="仿宋_GB2312"/>
                <w:b/>
                <w:bCs/>
                <w:i w:val="0"/>
                <w:color w:val="000000"/>
                <w:spacing w:val="-6"/>
                <w:kern w:val="0"/>
                <w:sz w:val="20"/>
                <w:szCs w:val="20"/>
                <w:u w:val="none"/>
                <w:lang w:val="en-US" w:eastAsia="zh-CN" w:bidi="ar"/>
              </w:rPr>
            </w:pPr>
          </w:p>
        </w:tc>
        <w:tc>
          <w:tcPr>
            <w:tcW w:w="2281" w:type="dxa"/>
            <w:noWrap w:val="0"/>
            <w:vAlign w:val="center"/>
          </w:tcPr>
          <w:p>
            <w:pPr>
              <w:keepNext w:val="0"/>
              <w:keepLines w:val="0"/>
              <w:widowControl/>
              <w:suppressLineNumbers w:val="0"/>
              <w:jc w:val="center"/>
              <w:textAlignment w:val="auto"/>
              <w:rPr>
                <w:rFonts w:hint="eastAsia" w:ascii="仿宋_GB2312" w:hAnsi="宋体" w:eastAsia="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闽海渔规〔2025〕5号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3"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4</w:t>
            </w:r>
          </w:p>
        </w:tc>
        <w:tc>
          <w:tcPr>
            <w:tcW w:w="6049" w:type="dxa"/>
            <w:noWrap w:val="0"/>
            <w:vAlign w:val="center"/>
          </w:tcPr>
          <w:p>
            <w:pPr>
              <w:keepNext w:val="0"/>
              <w:keepLines w:val="0"/>
              <w:widowControl/>
              <w:suppressLineNumbers w:val="0"/>
              <w:jc w:val="center"/>
              <w:textAlignment w:val="center"/>
              <w:rPr>
                <w:rFonts w:hint="eastAsia" w:ascii="仿宋_GB2312" w:hAnsi="宋体" w:eastAsia="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福建省海洋与渔业局福建省交通运输厅福建省文化和旅游厅福建省体育局福建市场监督管理局关于印发《福建省乡镇船舶交易管理办法》的通知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闽海渔规〔2025〕3号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42"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5</w:t>
            </w:r>
          </w:p>
        </w:tc>
        <w:tc>
          <w:tcPr>
            <w:tcW w:w="6049" w:type="dxa"/>
            <w:noWrap w:val="0"/>
            <w:vAlign w:val="center"/>
          </w:tcPr>
          <w:p>
            <w:pPr>
              <w:keepNext w:val="0"/>
              <w:keepLines w:val="0"/>
              <w:widowControl/>
              <w:suppressLineNumbers w:val="0"/>
              <w:jc w:val="center"/>
              <w:textAlignment w:val="center"/>
              <w:rPr>
                <w:rFonts w:hint="eastAsia" w:ascii="仿宋_GB2312" w:hAnsi="宋体" w:eastAsia="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福建省海洋与渔业局关于印发《福建省海洋与渔业行政处罚自由裁量适用规则（2025年版）》《福建省海洋与渔业行政处罚自由裁量基准（2025年版）》的通知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闽海渔规〔2025〕2号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0"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6</w:t>
            </w:r>
          </w:p>
        </w:tc>
        <w:tc>
          <w:tcPr>
            <w:tcW w:w="6049" w:type="dxa"/>
            <w:noWrap w:val="0"/>
            <w:vAlign w:val="center"/>
          </w:tcPr>
          <w:p>
            <w:pPr>
              <w:keepNext w:val="0"/>
              <w:keepLines w:val="0"/>
              <w:widowControl/>
              <w:suppressLineNumbers w:val="0"/>
              <w:jc w:val="center"/>
              <w:textAlignment w:val="center"/>
              <w:rPr>
                <w:rFonts w:hint="default" w:ascii="仿宋_GB2312" w:hAnsi="宋体" w:eastAsia="宋体" w:cs="仿宋_GB2312"/>
                <w:b/>
                <w:bCs/>
                <w:i w:val="0"/>
                <w:color w:val="000000"/>
                <w:spacing w:val="-6"/>
                <w:kern w:val="0"/>
                <w:sz w:val="20"/>
                <w:szCs w:val="20"/>
                <w:u w:val="none"/>
                <w:lang w:val="en"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 福建省财政厅关于印发《福建省涉案渔获物先行处置办法》的通知</w:t>
            </w:r>
          </w:p>
        </w:tc>
        <w:tc>
          <w:tcPr>
            <w:tcW w:w="2281" w:type="dxa"/>
            <w:noWrap w:val="0"/>
            <w:vAlign w:val="center"/>
          </w:tcPr>
          <w:p>
            <w:pPr>
              <w:keepNext w:val="0"/>
              <w:keepLines w:val="0"/>
              <w:widowControl/>
              <w:suppressLineNumbers w:val="0"/>
              <w:jc w:val="center"/>
              <w:textAlignment w:val="center"/>
              <w:rPr>
                <w:rFonts w:hint="default" w:ascii="仿宋_GB2312" w:hAnsi="宋体" w:eastAsia="宋体" w:cs="仿宋_GB2312"/>
                <w:b/>
                <w:bCs/>
                <w:i w:val="0"/>
                <w:color w:val="000000"/>
                <w:spacing w:val="-6"/>
                <w:kern w:val="0"/>
                <w:sz w:val="20"/>
                <w:szCs w:val="20"/>
                <w:u w:val="none"/>
                <w:lang w:val="en"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闽海渔规〔2025〕1号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60"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eastAsia" w:ascii="仿宋_GB2312" w:hAnsi="宋体" w:cs="仿宋_GB2312"/>
                <w:i w:val="0"/>
                <w:color w:val="000000"/>
                <w:spacing w:val="-6"/>
                <w:kern w:val="0"/>
                <w:sz w:val="20"/>
                <w:szCs w:val="20"/>
                <w:u w:val="none"/>
                <w:lang w:val="en-US" w:eastAsia="zh-CN" w:bidi="ar"/>
              </w:rPr>
              <w:t>7</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福建省海洋与渔业局福建省交通运输厅福建省文化和旅游厅福建省体育局福建省公安厅福建海事局福建海警局关于印发《福建省乡镇船舶安全记分管理指导意见》的通知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闽海渔规〔2025〕4号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1"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eastAsia" w:ascii="仿宋_GB2312" w:hAnsi="宋体" w:cs="仿宋_GB2312"/>
                <w:i w:val="0"/>
                <w:color w:val="000000"/>
                <w:spacing w:val="-6"/>
                <w:kern w:val="0"/>
                <w:sz w:val="20"/>
                <w:szCs w:val="20"/>
                <w:u w:val="none"/>
                <w:lang w:val="en-US" w:eastAsia="zh-CN" w:bidi="ar"/>
              </w:rPr>
              <w:t>8</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福建省海洋与渔业局关于印发福建省风暴潮灾害应急预案的通知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闽海渔规〔2023〕5号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12"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9</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福建省海洋与渔业局关于印发福建省渔业防台风应急预案的通知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闽海渔规〔2023〕6号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10</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福建省海洋与渔业局福建省财政厅关于印发海洋捕捞渔民减船转产项目2023-2024年实施方案的通知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闽海渔规〔2023〕4号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11</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福建省海洋与渔业局关于调整海洋伏季休渔制度的通告</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闽海渔规〔2023〕2号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12</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福建省海洋与渔业局关于印发福建省近岸海域赤潮灾害渔业应急预案的通知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闽海渔规〔2023〕3号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13</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福建省海洋与渔业局关于加强海洋捕捞渔船组织化建设的指导意见</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闽海渔规〔2023〕1号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14</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福建省海洋与渔业局关于印发《福建省渔业船舶安全救助终端管理办法》的通知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闽海渔规〔2022〕10号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1"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15</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　福建省财政厅关于海洋渔业资源养护补贴政策调整的补充通知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闽海渔规〔2022〕9号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14"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16</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福建省海洋与渔业局关于开展福建省海洋渔船卫星互联网应用项目工作的指导意见</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闽海渔规〔2022〕6号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32"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17</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福建省海洋与渔业局关于印发《福建省渔业捕捞作业核准规则》的通知</w:t>
            </w:r>
          </w:p>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18</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福建省海洋与渔业局福建省财政厅关于印发福建省海洋渔业资源养护补贴政策实施方案的通知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闽海渔规〔2022〕2号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19</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福建省海洋与渔业局关于印发《福建省渔业船舶水上突发事件应急预案》的通知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闽海渔规〔2022〕1号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20</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福建省海洋与渔业局关于印发《福建省渔业船舶安全生产记分管理办法》(试行)的通知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闽海渔〔2021〕31号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21</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福建省海洋与渔业局关于加强渔船安全生产“五不出海”管理的通知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闽海渔〔2021〕21号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76"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22</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福建省海洋与渔业局关于印发福建省渔业水域污染事故应急处置工作方案（暂行）的通知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闽海渔〔2020〕59号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22"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23</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福建省海洋与渔业局福建省发展和改革委员会福建省财政厅关于印发《福建省渔港投资与建设管理办法》的通知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闽海渔〔2020〕49号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051"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24</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福建省海洋与渔业局福建省防汛抗旱指挥部办公室福建省应急管理厅福建海事局关于印发《关于加强防台风期间渔船异地避风管理的十条措施》的通知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闽海渔〔2020〕28号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25</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福建省海洋与渔业局关于发布闽江水域禁渔期制度的通告</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闽海渔〔2020〕13号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1"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26</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福建省海洋与渔业局关于建立行政执法“三项制度”体系的通知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闽海渔〔2019〕147号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11"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27</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福建省海洋与渔业局关于加快水产养殖业绿色发展十三条措施的通知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闽海渔〔2019〕121号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28</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福建省海洋与渔业厅关于印发福建省休闲垂钓渔业船舶管理办法（试行）的通知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闽海渔〔2018〕116号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FF0000"/>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6"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29</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福建省海洋与渔业厅关于实施带鱼等35种重要捕捞经济种类最小可捕规格及幼鱼（幼体）比例管理规定的通告</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闽海渔〔2018〕114号</w:t>
            </w:r>
          </w:p>
        </w:tc>
        <w:tc>
          <w:tcPr>
            <w:tcW w:w="6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color w:val="FF0000"/>
                <w:kern w:val="0"/>
                <w:sz w:val="20"/>
                <w:szCs w:val="20"/>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38"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30</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福建省海洋与渔业厅关于公布福建省第一批休闲渔业船舶标准船型的通知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闽海渔〔2017〕288号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96"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31</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福建省海洋与渔业厅关于印发《福建省初级水产品质量安全突发事件应急预案》的通知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闽海渔〔2017〕282号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02"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32</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福建省海洋与渔业厅关于公布福建省第一批渔船标准船型的通知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闽海渔〔2017〕243号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58"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33</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福建省海洋与渔业厅关于进一步加强远洋渔业安全生产管理工作的通知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闽海渔〔2017〕25号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75"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eastAsia="仿宋_GB2312"/>
                <w:szCs w:val="32"/>
                <w:vertAlign w:val="baseline"/>
                <w:lang w:val="en-US" w:eastAsia="zh-CN"/>
              </w:rPr>
            </w:pPr>
            <w:r>
              <w:rPr>
                <w:rFonts w:hint="eastAsia" w:ascii="仿宋_GB2312" w:hAnsi="宋体" w:cs="仿宋_GB2312"/>
                <w:color w:val="000000"/>
                <w:kern w:val="0"/>
                <w:sz w:val="20"/>
                <w:szCs w:val="20"/>
                <w:vertAlign w:val="baseline"/>
                <w:lang w:val="en-US" w:eastAsia="zh-CN" w:bidi="ar"/>
              </w:rPr>
              <w:t>34</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福建省海洋与渔业厅关于远洋渔业企业落实全员安全生产责任制的指导意见</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闽海渔〔2016〕252号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58"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color w:val="000000"/>
                <w:kern w:val="0"/>
                <w:sz w:val="20"/>
                <w:szCs w:val="20"/>
                <w:vertAlign w:val="baseline"/>
                <w:lang w:val="en-US" w:eastAsia="zh-CN" w:bidi="ar"/>
              </w:rPr>
              <w:t>35</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福建省海洋与渔业厅关于印发福建省渔港安全事故应急预案的通知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闽海渔〔2016〕249号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36</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福建省海洋与渔业厅关于印发标准化海洋捕捞渔船更新改造基本规范及技术要求的通知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闽海渔〔2016〕232号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84"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37</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福建省海洋与渔业厅关于印发《福建省水生野生动物救护管理办法》的通知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闽海渔〔2016〕221号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38</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福建省海洋与渔业厅关于做好公海灯光围网渔船渔具渔法管理工作的通知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闽海渔〔2016〕128号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FF0000"/>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39</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  福建省财政厅关于印发《福建省渔业油价补贴政策调整实施方案》的通知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闽海渔〔2016〕132号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75"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40</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 福建省财政厅关于印发福建省国内捕捞和养殖机动渔船油价补贴标准调整实施方案的通知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闽海渔〔2016〕43号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72"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41</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福建省海洋与渔业厅关于印发《福建省实施〈中华人民共和国渔业船员管理办法〉若干规定》的通知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闽海渔〔2016〕18号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42</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  福建省发展和改革委员会 关于印发福建省海洋产业发展指导目录的通知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闽海渔〔2015〕280号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49"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43</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福建省海洋与渔业厅关于进一步加强渔业船舶非法违规生产处置的意见</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color w:val="000000"/>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闽海渔〔2015〕224号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79"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44</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福建省海洋与渔业厅关于印发非法采捕红珊瑚船舶和涉渔“三无”船舶拆解工作规程（暂行）的通知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闽海渔〔2015〕40号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45</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福建省海洋与渔业厅福建省工商局关于推行使用《福建省渔业船舶买卖合同示范文本》的通知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闽海渔〔2014〕53号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22"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eastAsia="仿宋_GB2312"/>
                <w:color w:val="000000"/>
                <w:szCs w:val="32"/>
                <w:vertAlign w:val="baseline"/>
                <w:lang w:val="en-US" w:eastAsia="zh-CN"/>
              </w:rPr>
            </w:pPr>
            <w:r>
              <w:rPr>
                <w:rFonts w:hint="eastAsia" w:ascii="仿宋_GB2312" w:hAnsi="宋体" w:cs="仿宋_GB2312"/>
                <w:i w:val="0"/>
                <w:color w:val="000000"/>
                <w:spacing w:val="-6"/>
                <w:kern w:val="0"/>
                <w:sz w:val="20"/>
                <w:szCs w:val="20"/>
                <w:u w:val="none"/>
                <w:lang w:val="en-US" w:eastAsia="zh-CN" w:bidi="ar"/>
              </w:rPr>
              <w:t>46</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福建省海洋与渔业厅关于建立健全远洋渔业安全生产相关管理制度的通知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闽海渔〔2013〕139号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FF0000"/>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36"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color w:val="000000"/>
                <w:kern w:val="0"/>
                <w:sz w:val="20"/>
                <w:szCs w:val="20"/>
                <w:vertAlign w:val="baseline"/>
                <w:lang w:val="en-US" w:eastAsia="zh-CN" w:bidi="ar"/>
              </w:rPr>
              <w:t>47</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福建省海洋与渔业厅关于加强远洋渔业涉外安全管理的通知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闽海渔〔2012〕416号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16"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48</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福建省海洋与渔业厅关于印发《福建省海洋与渔业厅突发水生动物疫情应急预案》的通知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闽海渔〔2012〕415号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8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49</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福建省海洋与渔业厅关于进一步加强和规范渔业船舶水上事故调查处理工作的意见</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闽海渔〔2012〕92号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02"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50</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福建省海洋与渔业厅关于印发福建省水产苗种场认定管理办法的通知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闽海渔〔2011〕299号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29"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51</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福建省海洋与渔业厅关于印发福建省水生生物增殖放流工作规范的通知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闽海渔〔2011〕144号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00"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52</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福建省海洋与渔业厅关于印发《福建省渔业船舶船名规定》的通知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闽海渔〔2010〕108号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53</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福建省海洋与渔业厅关于印发福建省海洋与渔业行政执法督察暂行规定的通知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闽海渔〔2009〕271号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20"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54</w:t>
            </w:r>
          </w:p>
        </w:tc>
        <w:tc>
          <w:tcPr>
            <w:tcW w:w="6049"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福建省海洋与渔业局关于印发《福建省沿海渔村渔船安全协管员管理办法》的通知</w:t>
            </w:r>
          </w:p>
        </w:tc>
        <w:tc>
          <w:tcPr>
            <w:tcW w:w="2281" w:type="dxa"/>
            <w:noWrap w:val="0"/>
            <w:vAlign w:val="center"/>
          </w:tcPr>
          <w:p>
            <w:pPr>
              <w:keepNext w:val="0"/>
              <w:keepLines w:val="0"/>
              <w:widowControl/>
              <w:suppressLineNumbers w:val="0"/>
              <w:jc w:val="center"/>
              <w:textAlignment w:val="center"/>
              <w:rPr>
                <w:rFonts w:hint="eastAsia" w:ascii="仿宋_GB2312" w:hAnsi="Calibri" w:eastAsia="宋体" w:cs="Times New Roman"/>
                <w:kern w:val="2"/>
                <w:sz w:val="21"/>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闽海渔〔2008〕302号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06"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55</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 福建省人民政府外事办公室关于印发《福建省远洋渔船涉外突发事件处置预案》的通知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闽海渔〔2008〕217号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eastAsia" w:ascii="仿宋_GB2312" w:hAnsi="宋体" w:cs="仿宋_GB2312"/>
                <w:i w:val="0"/>
                <w:color w:val="000000"/>
                <w:spacing w:val="-6"/>
                <w:kern w:val="0"/>
                <w:sz w:val="20"/>
                <w:szCs w:val="20"/>
                <w:u w:val="none"/>
                <w:lang w:val="en-US" w:eastAsia="zh-CN" w:bidi="ar"/>
              </w:rPr>
              <w:t>56</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福建省海洋与渔业局关于发布福建省机动底网作业禁渔区的通告</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闽海渔〔2007〕184号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57</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福建省海洋与渔业局关于公布福建省渔业捕捞禁止和限制使用渔具渔法目录的通告</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闽海渔〔2006〕342号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55"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58</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福建省海洋与渔业局关于印发《部分周边国家对违法外国渔船的处罚规定》的通知</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闽海渔〔2003〕392号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26" w:hRule="exac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59</w:t>
            </w:r>
          </w:p>
        </w:tc>
        <w:tc>
          <w:tcPr>
            <w:tcW w:w="604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福建省海洋与渔业局关于禁止非法购置海洋捕捞渔船的通告</w:t>
            </w:r>
          </w:p>
        </w:tc>
        <w:tc>
          <w:tcPr>
            <w:tcW w:w="228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闽海渔〔2003〕121号</w:t>
            </w:r>
          </w:p>
        </w:tc>
        <w:tc>
          <w:tcPr>
            <w:tcW w:w="650"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bl>
    <w:p>
      <w:pPr>
        <w:jc w:val="center"/>
        <w:rPr>
          <w:rFonts w:hint="eastAsia" w:ascii="黑体" w:hAnsi="黑体" w:eastAsia="黑体" w:cs="黑体"/>
          <w:lang w:eastAsia="zh-CN"/>
        </w:rPr>
      </w:pPr>
    </w:p>
    <w:p>
      <w:pPr>
        <w:jc w:val="center"/>
        <w:rPr>
          <w:rFonts w:hint="eastAsia" w:ascii="黑体" w:hAnsi="黑体" w:eastAsia="黑体" w:cs="黑体"/>
          <w:lang w:eastAsia="zh-CN"/>
        </w:rPr>
      </w:pPr>
    </w:p>
    <w:p>
      <w:pPr>
        <w:jc w:val="center"/>
        <w:rPr>
          <w:rFonts w:hint="eastAsia" w:ascii="黑体" w:hAnsi="黑体" w:eastAsia="黑体" w:cs="黑体"/>
          <w:lang w:eastAsia="zh-CN"/>
        </w:rPr>
      </w:pPr>
    </w:p>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B3B6C"/>
    <w:rsid w:val="2D873055"/>
    <w:rsid w:val="3ECB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qFormat/>
    <w:uiPriority w:val="0"/>
    <w:pPr>
      <w:widowControl w:val="0"/>
      <w:snapToGrid w:val="0"/>
      <w:jc w:val="left"/>
    </w:pPr>
    <w:rPr>
      <w:rFonts w:ascii="Calibri" w:hAnsi="Calibri" w:eastAsia="宋体" w:cs="Times New Roman"/>
      <w:kern w:val="2"/>
      <w:sz w:val="21"/>
      <w:szCs w:val="22"/>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2025-12-11T11:37:00Z</dcterms:created>
  <dc:creator>傅锦祥。</dc:creator>
  <cp:lastModifiedBy>傅锦祥。</cp:lastModifiedBy>
  <dcterms:modified xsi:type="dcterms:W3CDTF">2025-12-11T11:38:49Z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0907B01C6F1D4432BB9203B4957527D3</vt:lpwstr>
  </property>
</Properties>
</file>