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261980"/>
    <w:bookmarkEnd w:id="0"/>
    <w:p w14:paraId="6B63028C" w14:textId="2AAA566E" w:rsidR="000B4139" w:rsidRDefault="00000000">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72215EEF" wp14:editId="31746C07">
                <wp:simplePos x="0" y="0"/>
                <wp:positionH relativeFrom="column">
                  <wp:posOffset>-115570</wp:posOffset>
                </wp:positionH>
                <wp:positionV relativeFrom="paragraph">
                  <wp:posOffset>1881188</wp:posOffset>
                </wp:positionV>
                <wp:extent cx="6253163" cy="0"/>
                <wp:effectExtent l="0" t="19050" r="52705"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3163"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2F03D44F" id="直线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48.15pt" to="483.3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" strokeweight="4.5pt">
                <v:stroke linestyle="thickThin"/>
              </v:line>
            </w:pict>
          </mc:Fallback>
        </mc:AlternateContent>
      </w:r>
      <w:r>
        <w:rPr>
          <w:b/>
          <w:bCs/>
          <w:noProof/>
          <w:sz w:val="32"/>
          <w:szCs w:val="32"/>
        </w:rPr>
        <w:drawing>
          <wp:anchor distT="0" distB="0" distL="114300" distR="114300" simplePos="0" relativeHeight="251659264" behindDoc="0" locked="0" layoutInCell="1" allowOverlap="1" wp14:anchorId="1BE433CE" wp14:editId="1CA4356A">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62A1D33C" wp14:editId="753199AF">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0AE1B634" wp14:editId="1017A476">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00870EC5" w:rsidRPr="00712EA9">
        <w:rPr>
          <w:b/>
          <w:bCs/>
          <w:noProof/>
          <w:sz w:val="32"/>
          <w:szCs w:val="32"/>
        </w:rPr>
        <w:t>51350000B20881845C</w:t>
      </w:r>
      <w:r>
        <w:rPr>
          <w:rFonts w:hint="eastAsia"/>
          <w:b/>
          <w:bCs/>
          <w:sz w:val="32"/>
          <w:szCs w:val="32"/>
        </w:rPr>
        <w:t xml:space="preserve">   </w:t>
      </w:r>
      <w:r>
        <w:rPr>
          <w:b/>
          <w:bCs/>
          <w:sz w:val="32"/>
          <w:szCs w:val="32"/>
        </w:rPr>
        <w:t>第</w:t>
      </w:r>
      <w:r>
        <w:rPr>
          <w:rFonts w:hint="eastAsia"/>
          <w:b/>
          <w:bCs/>
          <w:sz w:val="32"/>
          <w:szCs w:val="32"/>
        </w:rPr>
        <w:t>2</w:t>
      </w:r>
      <w:r>
        <w:rPr>
          <w:b/>
          <w:bCs/>
          <w:sz w:val="32"/>
          <w:szCs w:val="32"/>
        </w:rPr>
        <w:t>期</w:t>
      </w:r>
      <w:r>
        <w:rPr>
          <w:b/>
          <w:bCs/>
          <w:sz w:val="32"/>
          <w:szCs w:val="32"/>
        </w:rPr>
        <w:t xml:space="preserve">  (</w:t>
      </w:r>
      <w:r>
        <w:rPr>
          <w:b/>
          <w:bCs/>
          <w:sz w:val="32"/>
          <w:szCs w:val="32"/>
        </w:rPr>
        <w:t>总第</w:t>
      </w:r>
      <w:r>
        <w:rPr>
          <w:rFonts w:hint="eastAsia"/>
          <w:b/>
          <w:bCs/>
          <w:sz w:val="32"/>
          <w:szCs w:val="32"/>
        </w:rPr>
        <w:t>448</w:t>
      </w:r>
      <w:r>
        <w:rPr>
          <w:b/>
          <w:bCs/>
          <w:sz w:val="32"/>
          <w:szCs w:val="32"/>
        </w:rPr>
        <w:t>期</w:t>
      </w:r>
      <w:r>
        <w:rPr>
          <w:b/>
          <w:bCs/>
          <w:sz w:val="32"/>
          <w:szCs w:val="32"/>
        </w:rPr>
        <w:t>)   202</w:t>
      </w:r>
      <w:r>
        <w:rPr>
          <w:rFonts w:hint="eastAsia"/>
          <w:b/>
          <w:bCs/>
          <w:sz w:val="32"/>
          <w:szCs w:val="32"/>
        </w:rPr>
        <w:t>6</w:t>
      </w:r>
      <w:r>
        <w:rPr>
          <w:b/>
          <w:bCs/>
          <w:sz w:val="32"/>
          <w:szCs w:val="32"/>
        </w:rPr>
        <w:t>年</w:t>
      </w:r>
      <w:r>
        <w:rPr>
          <w:rFonts w:hint="eastAsia"/>
          <w:b/>
          <w:bCs/>
          <w:sz w:val="32"/>
          <w:szCs w:val="32"/>
        </w:rPr>
        <w:t>1</w:t>
      </w:r>
      <w:r>
        <w:rPr>
          <w:b/>
          <w:bCs/>
          <w:sz w:val="32"/>
          <w:szCs w:val="32"/>
        </w:rPr>
        <w:t>月</w:t>
      </w:r>
      <w:r>
        <w:rPr>
          <w:rFonts w:hint="eastAsia"/>
          <w:b/>
          <w:bCs/>
          <w:sz w:val="32"/>
          <w:szCs w:val="32"/>
        </w:rPr>
        <w:t>31</w:t>
      </w:r>
      <w:r>
        <w:rPr>
          <w:b/>
          <w:bCs/>
          <w:sz w:val="32"/>
          <w:szCs w:val="32"/>
        </w:rPr>
        <w:t>日</w:t>
      </w:r>
    </w:p>
    <w:bookmarkStart w:id="1" w:name="_Hlk95645129" w:displacedByCustomXml="next"/>
    <w:sdt>
      <w:sdtPr>
        <w:rPr>
          <w:rFonts w:ascii="Times New Roman" w:eastAsia="宋体" w:hAnsi="Times New Roman" w:cs="Times New Roman"/>
          <w:color w:val="auto"/>
          <w:kern w:val="2"/>
          <w:sz w:val="21"/>
          <w:szCs w:val="24"/>
          <w:lang w:val="zh-CN"/>
        </w:rPr>
        <w:id w:val="-1621834901"/>
        <w:docPartObj>
          <w:docPartGallery w:val="Table of Contents"/>
          <w:docPartUnique/>
        </w:docPartObj>
      </w:sdtPr>
      <w:sdtEndPr>
        <w:rPr>
          <w:b/>
          <w:bCs/>
        </w:rPr>
      </w:sdtEndPr>
      <w:sdtContent>
        <w:p w14:paraId="38656981" w14:textId="44CEE16B" w:rsidR="00C116A1" w:rsidRPr="00C116A1" w:rsidRDefault="00C116A1" w:rsidP="00C116A1">
          <w:pPr>
            <w:pStyle w:val="TOC"/>
            <w:jc w:val="center"/>
            <w:rPr>
              <w:rFonts w:ascii="黑体" w:eastAsia="黑体" w:hAnsi="黑体" w:hint="eastAsia"/>
              <w:b/>
              <w:bCs/>
              <w:color w:val="auto"/>
            </w:rPr>
          </w:pPr>
          <w:r w:rsidRPr="00C116A1">
            <w:rPr>
              <w:rFonts w:ascii="黑体" w:eastAsia="黑体" w:hAnsi="黑体"/>
              <w:b/>
              <w:bCs/>
              <w:color w:val="auto"/>
              <w:lang w:val="zh-CN"/>
            </w:rPr>
            <w:t>目录</w:t>
          </w:r>
        </w:p>
        <w:p w14:paraId="29779994" w14:textId="136B8AFC" w:rsidR="00C116A1" w:rsidRPr="00C116A1" w:rsidRDefault="00C116A1" w:rsidP="00C116A1">
          <w:pPr>
            <w:pStyle w:val="TOC1"/>
            <w:rPr>
              <w:rFonts w:asciiTheme="minorHAnsi" w:eastAsiaTheme="minorEastAsia" w:hAnsiTheme="minorHAnsi" w:cstheme="minorBidi"/>
              <w:sz w:val="22"/>
              <w14:ligatures w14:val="standardContextual"/>
            </w:rPr>
          </w:pPr>
          <w:r>
            <w:fldChar w:fldCharType="begin"/>
          </w:r>
          <w:r>
            <w:instrText xml:space="preserve"> TOC \o "1-3" \h \z \u </w:instrText>
          </w:r>
          <w:r>
            <w:fldChar w:fldCharType="separate"/>
          </w:r>
          <w:hyperlink w:anchor="_Toc220673094" w:history="1">
            <w:r w:rsidRPr="00C116A1">
              <w:rPr>
                <w:rStyle w:val="af2"/>
              </w:rPr>
              <w:t>重要资讯</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_Toc220673094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1</w:t>
            </w:r>
            <w:r w:rsidRPr="00C116A1">
              <w:rPr>
                <w:rFonts w:hint="eastAsia"/>
                <w:webHidden/>
              </w:rPr>
              <w:fldChar w:fldCharType="end"/>
            </w:r>
          </w:hyperlink>
        </w:p>
        <w:p w14:paraId="6C4B8287" w14:textId="35896063"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095" w:history="1">
            <w:r w:rsidRPr="00C116A1">
              <w:rPr>
                <w:rStyle w:val="af2"/>
                <w:rFonts w:eastAsia="黑体"/>
                <w:noProof/>
              </w:rPr>
              <w:t>外交部：中国申请将《海洋生物多样性协定》秘书处设在厦门</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_Toc220673095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1</w:t>
            </w:r>
            <w:r w:rsidRPr="00C116A1">
              <w:rPr>
                <w:rFonts w:hint="eastAsia"/>
                <w:noProof/>
                <w:webHidden/>
              </w:rPr>
              <w:fldChar w:fldCharType="end"/>
            </w:r>
          </w:hyperlink>
        </w:p>
        <w:p w14:paraId="27DB64FD" w14:textId="254C9F5F"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096" w:history="1">
            <w:r w:rsidRPr="00C116A1">
              <w:rPr>
                <w:rStyle w:val="af2"/>
                <w:rFonts w:eastAsia="黑体"/>
                <w:noProof/>
              </w:rPr>
              <w:t>中心渔港、一级渔港等级认定名单公示</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_Toc220673096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2</w:t>
            </w:r>
            <w:r w:rsidRPr="00C116A1">
              <w:rPr>
                <w:rFonts w:hint="eastAsia"/>
                <w:noProof/>
                <w:webHidden/>
              </w:rPr>
              <w:fldChar w:fldCharType="end"/>
            </w:r>
          </w:hyperlink>
        </w:p>
        <w:p w14:paraId="26BDFFC6" w14:textId="7231C0DA"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097" w:history="1">
            <w:r w:rsidRPr="00C116A1">
              <w:rPr>
                <w:rStyle w:val="af2"/>
                <w:rFonts w:eastAsia="黑体"/>
                <w:noProof/>
              </w:rPr>
              <w:t>农业农村部专题研究海洋渔船安全生产和远洋渔业规范管理工作</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_Toc220673097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3</w:t>
            </w:r>
            <w:r w:rsidRPr="00C116A1">
              <w:rPr>
                <w:rFonts w:hint="eastAsia"/>
                <w:noProof/>
                <w:webHidden/>
              </w:rPr>
              <w:fldChar w:fldCharType="end"/>
            </w:r>
          </w:hyperlink>
        </w:p>
        <w:p w14:paraId="620A1BCE" w14:textId="62E85C33"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098" w:history="1">
            <w:r w:rsidRPr="00C116A1">
              <w:rPr>
                <w:rStyle w:val="af2"/>
                <w:rFonts w:eastAsia="黑体"/>
                <w:noProof/>
              </w:rPr>
              <w:t>我国首部反映长江水生生物保护科普丛书在京发布</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_Toc220673098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3</w:t>
            </w:r>
            <w:r w:rsidRPr="00C116A1">
              <w:rPr>
                <w:rFonts w:hint="eastAsia"/>
                <w:noProof/>
                <w:webHidden/>
              </w:rPr>
              <w:fldChar w:fldCharType="end"/>
            </w:r>
          </w:hyperlink>
        </w:p>
        <w:p w14:paraId="38D9959D" w14:textId="58E6F86B"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099" w:history="1">
            <w:r w:rsidRPr="00C116A1">
              <w:rPr>
                <w:rStyle w:val="af2"/>
                <w:rFonts w:eastAsia="黑体"/>
                <w:noProof/>
              </w:rPr>
              <w:t>2026</w:t>
            </w:r>
            <w:r w:rsidRPr="00C116A1">
              <w:rPr>
                <w:rStyle w:val="af2"/>
                <w:rFonts w:eastAsia="黑体"/>
                <w:noProof/>
              </w:rPr>
              <w:t>年福建省海洋与渔业工作会议在福州召开</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_Toc220673099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4</w:t>
            </w:r>
            <w:r w:rsidRPr="00C116A1">
              <w:rPr>
                <w:rFonts w:hint="eastAsia"/>
                <w:noProof/>
                <w:webHidden/>
              </w:rPr>
              <w:fldChar w:fldCharType="end"/>
            </w:r>
          </w:hyperlink>
        </w:p>
        <w:p w14:paraId="0E4D7178" w14:textId="185DECE5"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00" w:history="1">
            <w:r w:rsidRPr="00C116A1">
              <w:rPr>
                <w:rStyle w:val="af2"/>
              </w:rPr>
              <w:t>行业资讯</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_Toc220673100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8</w:t>
            </w:r>
            <w:r w:rsidRPr="00C116A1">
              <w:rPr>
                <w:rFonts w:hint="eastAsia"/>
                <w:webHidden/>
              </w:rPr>
              <w:fldChar w:fldCharType="end"/>
            </w:r>
          </w:hyperlink>
        </w:p>
        <w:p w14:paraId="4C06BC5E" w14:textId="060ECC4B"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1" w:history="1">
            <w:r w:rsidRPr="00C116A1">
              <w:rPr>
                <w:rStyle w:val="af2"/>
                <w:rFonts w:eastAsia="黑体"/>
                <w:noProof/>
              </w:rPr>
              <w:t>福建自主繁育的首批克隆裙带菜嫩苗养殖获得成功</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_Toc220673101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8</w:t>
            </w:r>
            <w:r w:rsidRPr="00C116A1">
              <w:rPr>
                <w:rFonts w:hint="eastAsia"/>
                <w:noProof/>
                <w:webHidden/>
              </w:rPr>
              <w:fldChar w:fldCharType="end"/>
            </w:r>
          </w:hyperlink>
        </w:p>
        <w:p w14:paraId="39754FB2" w14:textId="61C371BE"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2" w:history="1">
            <w:r w:rsidRPr="00C116A1">
              <w:rPr>
                <w:rStyle w:val="af2"/>
                <w:rFonts w:eastAsia="黑体"/>
                <w:noProof/>
              </w:rPr>
              <w:t>山东出台全国首部海上牧场地方性法规</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_Toc220673102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9</w:t>
            </w:r>
            <w:r w:rsidRPr="00C116A1">
              <w:rPr>
                <w:rFonts w:hint="eastAsia"/>
                <w:noProof/>
                <w:webHidden/>
              </w:rPr>
              <w:fldChar w:fldCharType="end"/>
            </w:r>
          </w:hyperlink>
        </w:p>
        <w:p w14:paraId="647F2891" w14:textId="774EBDA4"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3" w:history="1">
            <w:r w:rsidRPr="00C116A1">
              <w:rPr>
                <w:rStyle w:val="af2"/>
                <w:rFonts w:eastAsia="黑体"/>
                <w:noProof/>
              </w:rPr>
              <w:t>全球养殖虾产量预计</w:t>
            </w:r>
            <w:r w:rsidRPr="00C116A1">
              <w:rPr>
                <w:rStyle w:val="af2"/>
                <w:rFonts w:eastAsia="黑体"/>
                <w:noProof/>
              </w:rPr>
              <w:t>2026</w:t>
            </w:r>
            <w:r w:rsidRPr="00C116A1">
              <w:rPr>
                <w:rStyle w:val="af2"/>
                <w:rFonts w:eastAsia="黑体"/>
                <w:noProof/>
              </w:rPr>
              <w:t>年达到</w:t>
            </w:r>
            <w:r w:rsidRPr="00C116A1">
              <w:rPr>
                <w:rStyle w:val="af2"/>
                <w:rFonts w:eastAsia="黑体"/>
                <w:noProof/>
              </w:rPr>
              <w:t>634</w:t>
            </w:r>
            <w:r w:rsidRPr="00C116A1">
              <w:rPr>
                <w:rStyle w:val="af2"/>
                <w:rFonts w:eastAsia="黑体"/>
                <w:noProof/>
              </w:rPr>
              <w:t>万吨</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_Toc220673103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10</w:t>
            </w:r>
            <w:r w:rsidRPr="00C116A1">
              <w:rPr>
                <w:rFonts w:hint="eastAsia"/>
                <w:noProof/>
                <w:webHidden/>
              </w:rPr>
              <w:fldChar w:fldCharType="end"/>
            </w:r>
          </w:hyperlink>
        </w:p>
        <w:p w14:paraId="7D4438C2" w14:textId="5DC4ED67"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4" w:history="1">
            <w:r w:rsidRPr="00C116A1">
              <w:rPr>
                <w:rStyle w:val="af2"/>
                <w:rFonts w:eastAsia="黑体"/>
                <w:noProof/>
              </w:rPr>
              <w:t>新疆吐鲁番高昌区：</w:t>
            </w:r>
            <w:r w:rsidRPr="00C116A1">
              <w:rPr>
                <w:rStyle w:val="af2"/>
                <w:rFonts w:eastAsia="黑体"/>
                <w:noProof/>
              </w:rPr>
              <w:t>2026</w:t>
            </w:r>
            <w:r w:rsidRPr="00C116A1">
              <w:rPr>
                <w:rStyle w:val="af2"/>
                <w:rFonts w:eastAsia="黑体"/>
                <w:noProof/>
              </w:rPr>
              <w:t>年首批三文鱼</w:t>
            </w:r>
            <w:r w:rsidRPr="00C116A1">
              <w:rPr>
                <w:rStyle w:val="af2"/>
                <w:rFonts w:eastAsia="黑体"/>
                <w:noProof/>
              </w:rPr>
              <w:t>“</w:t>
            </w:r>
            <w:r w:rsidRPr="00C116A1">
              <w:rPr>
                <w:rStyle w:val="af2"/>
                <w:rFonts w:eastAsia="黑体"/>
                <w:noProof/>
              </w:rPr>
              <w:t>游</w:t>
            </w:r>
            <w:r w:rsidRPr="00C116A1">
              <w:rPr>
                <w:rStyle w:val="af2"/>
                <w:rFonts w:eastAsia="黑体"/>
                <w:noProof/>
              </w:rPr>
              <w:t>”</w:t>
            </w:r>
            <w:r w:rsidRPr="00C116A1">
              <w:rPr>
                <w:rStyle w:val="af2"/>
                <w:rFonts w:eastAsia="黑体"/>
                <w:noProof/>
              </w:rPr>
              <w:t>向全国各地</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_Toc220673104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11</w:t>
            </w:r>
            <w:r w:rsidRPr="00C116A1">
              <w:rPr>
                <w:rFonts w:hint="eastAsia"/>
                <w:noProof/>
                <w:webHidden/>
              </w:rPr>
              <w:fldChar w:fldCharType="end"/>
            </w:r>
          </w:hyperlink>
        </w:p>
        <w:p w14:paraId="3D4274DF" w14:textId="001A4980"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05" w:history="1">
            <w:r w:rsidRPr="00C116A1">
              <w:rPr>
                <w:rStyle w:val="af2"/>
              </w:rPr>
              <w:t>典型案例</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_Toc220673105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12</w:t>
            </w:r>
            <w:r w:rsidRPr="00C116A1">
              <w:rPr>
                <w:rFonts w:hint="eastAsia"/>
                <w:webHidden/>
              </w:rPr>
              <w:fldChar w:fldCharType="end"/>
            </w:r>
          </w:hyperlink>
        </w:p>
        <w:p w14:paraId="398A555F" w14:textId="266D22B5"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6" w:history="1">
            <w:r w:rsidRPr="00C116A1">
              <w:rPr>
                <w:rStyle w:val="af2"/>
                <w:rFonts w:eastAsia="黑体"/>
                <w:noProof/>
              </w:rPr>
              <w:t>涉渔船舶拆卸北斗定位终端入刑典型案例</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_Toc220673106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12</w:t>
            </w:r>
            <w:r w:rsidRPr="00C116A1">
              <w:rPr>
                <w:rFonts w:hint="eastAsia"/>
                <w:noProof/>
                <w:webHidden/>
              </w:rPr>
              <w:fldChar w:fldCharType="end"/>
            </w:r>
          </w:hyperlink>
        </w:p>
        <w:p w14:paraId="0AF9E67F" w14:textId="02FE08B5"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07" w:history="1">
            <w:r w:rsidRPr="00C116A1">
              <w:rPr>
                <w:rStyle w:val="af2"/>
              </w:rPr>
              <w:t>本会动态</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_Toc220673107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18</w:t>
            </w:r>
            <w:r w:rsidRPr="00C116A1">
              <w:rPr>
                <w:rFonts w:hint="eastAsia"/>
                <w:webHidden/>
              </w:rPr>
              <w:fldChar w:fldCharType="end"/>
            </w:r>
          </w:hyperlink>
        </w:p>
        <w:p w14:paraId="300C4677" w14:textId="3C58D958"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8" w:history="1">
            <w:r w:rsidRPr="00C116A1">
              <w:rPr>
                <w:rStyle w:val="af2"/>
                <w:rFonts w:eastAsia="黑体"/>
                <w:noProof/>
              </w:rPr>
              <w:t>农民日报报道本会陈启发荣誉理事长关于闽宁渔业合作的亲历</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_Toc220673108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18</w:t>
            </w:r>
            <w:r w:rsidRPr="00C116A1">
              <w:rPr>
                <w:rFonts w:hint="eastAsia"/>
                <w:noProof/>
                <w:webHidden/>
              </w:rPr>
              <w:fldChar w:fldCharType="end"/>
            </w:r>
          </w:hyperlink>
        </w:p>
        <w:p w14:paraId="61F82323" w14:textId="330DEFF1"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09" w:history="1">
            <w:r w:rsidRPr="00C116A1">
              <w:rPr>
                <w:rStyle w:val="af2"/>
                <w:rFonts w:eastAsia="黑体"/>
                <w:noProof/>
              </w:rPr>
              <w:t>本会与福建省淡水水产研究所联合邀请中国农业科学院饲料研究所薛敏研究员来闽交流</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_Toc220673109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22</w:t>
            </w:r>
            <w:r w:rsidRPr="00C116A1">
              <w:rPr>
                <w:rFonts w:hint="eastAsia"/>
                <w:noProof/>
                <w:webHidden/>
              </w:rPr>
              <w:fldChar w:fldCharType="end"/>
            </w:r>
          </w:hyperlink>
        </w:p>
        <w:p w14:paraId="0768E2BD" w14:textId="6C9DA1EB"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10" w:history="1">
            <w:r w:rsidRPr="00C116A1">
              <w:rPr>
                <w:rStyle w:val="af2"/>
              </w:rPr>
              <w:t>会议传递</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_Toc220673110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22</w:t>
            </w:r>
            <w:r w:rsidRPr="00C116A1">
              <w:rPr>
                <w:rFonts w:hint="eastAsia"/>
                <w:webHidden/>
              </w:rPr>
              <w:fldChar w:fldCharType="end"/>
            </w:r>
          </w:hyperlink>
        </w:p>
        <w:p w14:paraId="5DCF2B26" w14:textId="674C615C"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11" w:history="1">
            <w:r w:rsidRPr="00C116A1">
              <w:rPr>
                <w:rStyle w:val="af2"/>
                <w:rFonts w:eastAsia="黑体"/>
                <w:noProof/>
              </w:rPr>
              <w:t>第一届蛙类学术研讨会在厦门召开</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_Toc220673111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22</w:t>
            </w:r>
            <w:r w:rsidRPr="00C116A1">
              <w:rPr>
                <w:rFonts w:hint="eastAsia"/>
                <w:noProof/>
                <w:webHidden/>
              </w:rPr>
              <w:fldChar w:fldCharType="end"/>
            </w:r>
          </w:hyperlink>
        </w:p>
        <w:p w14:paraId="6FB73D60" w14:textId="46FB2B75"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12" w:history="1">
            <w:r w:rsidRPr="00C116A1">
              <w:rPr>
                <w:rStyle w:val="af2"/>
              </w:rPr>
              <w:t>研究进展</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_Toc220673112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25</w:t>
            </w:r>
            <w:r w:rsidRPr="00C116A1">
              <w:rPr>
                <w:rFonts w:hint="eastAsia"/>
                <w:webHidden/>
              </w:rPr>
              <w:fldChar w:fldCharType="end"/>
            </w:r>
          </w:hyperlink>
        </w:p>
        <w:p w14:paraId="63BA6D48" w14:textId="3807CE9B"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13" w:history="1">
            <w:r w:rsidRPr="00C116A1">
              <w:rPr>
                <w:rStyle w:val="af2"/>
                <w:rFonts w:ascii="黑体" w:eastAsia="黑体" w:hAnsi="黑体"/>
                <w:noProof/>
              </w:rPr>
              <w:t>南极磷虾粉的饲用价值及其在水产饲料中研究进展</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_Toc220673113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25</w:t>
            </w:r>
            <w:r w:rsidRPr="00C116A1">
              <w:rPr>
                <w:rFonts w:hint="eastAsia"/>
                <w:noProof/>
                <w:webHidden/>
              </w:rPr>
              <w:fldChar w:fldCharType="end"/>
            </w:r>
          </w:hyperlink>
        </w:p>
        <w:p w14:paraId="01FF4218" w14:textId="4373DB76"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14" w:history="1">
            <w:r w:rsidRPr="00C116A1">
              <w:rPr>
                <w:rStyle w:val="af2"/>
              </w:rPr>
              <w:t>科学研究</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_Toc220673114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34</w:t>
            </w:r>
            <w:r w:rsidRPr="00C116A1">
              <w:rPr>
                <w:rFonts w:hint="eastAsia"/>
                <w:webHidden/>
              </w:rPr>
              <w:fldChar w:fldCharType="end"/>
            </w:r>
          </w:hyperlink>
        </w:p>
        <w:p w14:paraId="38974B84" w14:textId="62853BDF"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15" w:history="1">
            <w:r w:rsidRPr="00C116A1">
              <w:rPr>
                <w:rStyle w:val="af2"/>
                <w:rFonts w:ascii="黑体" w:eastAsia="黑体" w:hAnsi="黑体"/>
                <w:noProof/>
              </w:rPr>
              <w:t>蚯蚓及其加工产品在水产养殖业中的应用</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_Toc220673115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34</w:t>
            </w:r>
            <w:r w:rsidRPr="00C116A1">
              <w:rPr>
                <w:rFonts w:hint="eastAsia"/>
                <w:noProof/>
                <w:webHidden/>
              </w:rPr>
              <w:fldChar w:fldCharType="end"/>
            </w:r>
          </w:hyperlink>
        </w:p>
        <w:p w14:paraId="1F38D4A9" w14:textId="169D3418"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16" w:history="1">
            <w:r w:rsidRPr="00C116A1">
              <w:rPr>
                <w:rStyle w:val="af2"/>
                <w:rFonts w:ascii="黑体" w:eastAsia="黑体" w:hAnsi="黑体"/>
                <w:noProof/>
              </w:rPr>
              <w:t>水产饲料价格波动对养殖成本的影响研究</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_Toc220673116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40</w:t>
            </w:r>
            <w:r w:rsidRPr="00C116A1">
              <w:rPr>
                <w:rFonts w:hint="eastAsia"/>
                <w:noProof/>
                <w:webHidden/>
              </w:rPr>
              <w:fldChar w:fldCharType="end"/>
            </w:r>
          </w:hyperlink>
        </w:p>
        <w:p w14:paraId="6243095F" w14:textId="776D4798" w:rsidR="00C116A1" w:rsidRPr="00C116A1" w:rsidRDefault="00C116A1" w:rsidP="00C116A1">
          <w:pPr>
            <w:pStyle w:val="TOC1"/>
            <w:rPr>
              <w:rFonts w:asciiTheme="minorHAnsi" w:eastAsiaTheme="minorEastAsia" w:hAnsiTheme="minorHAnsi" w:cstheme="minorBidi"/>
              <w:sz w:val="22"/>
              <w14:ligatures w14:val="standardContextual"/>
            </w:rPr>
          </w:pPr>
          <w:hyperlink w:anchor="_Toc220673117" w:history="1">
            <w:r w:rsidRPr="00C116A1">
              <w:rPr>
                <w:rStyle w:val="af2"/>
              </w:rPr>
              <w:t>饲料研发</w:t>
            </w:r>
            <w:r w:rsidRPr="00C116A1">
              <w:rPr>
                <w:rFonts w:hint="eastAsia"/>
                <w:webHidden/>
              </w:rPr>
              <w:tab/>
            </w:r>
            <w:r w:rsidRPr="00C116A1">
              <w:rPr>
                <w:rFonts w:hint="eastAsia"/>
                <w:webHidden/>
              </w:rPr>
              <w:fldChar w:fldCharType="begin"/>
            </w:r>
            <w:r w:rsidRPr="00C116A1">
              <w:rPr>
                <w:rFonts w:hint="eastAsia"/>
                <w:webHidden/>
              </w:rPr>
              <w:instrText xml:space="preserve"> </w:instrText>
            </w:r>
            <w:r w:rsidRPr="00C116A1">
              <w:rPr>
                <w:webHidden/>
              </w:rPr>
              <w:instrText>PAGEREF _Toc220673117 \h</w:instrText>
            </w:r>
            <w:r w:rsidRPr="00C116A1">
              <w:rPr>
                <w:rFonts w:hint="eastAsia"/>
                <w:webHidden/>
              </w:rPr>
              <w:instrText xml:space="preserve"> </w:instrText>
            </w:r>
            <w:r w:rsidRPr="00C116A1">
              <w:rPr>
                <w:rFonts w:hint="eastAsia"/>
                <w:webHidden/>
              </w:rPr>
            </w:r>
            <w:r w:rsidRPr="00C116A1">
              <w:rPr>
                <w:rFonts w:hint="eastAsia"/>
                <w:webHidden/>
              </w:rPr>
              <w:fldChar w:fldCharType="separate"/>
            </w:r>
            <w:r w:rsidR="00AB4E4C">
              <w:rPr>
                <w:webHidden/>
              </w:rPr>
              <w:t>46</w:t>
            </w:r>
            <w:r w:rsidRPr="00C116A1">
              <w:rPr>
                <w:rFonts w:hint="eastAsia"/>
                <w:webHidden/>
              </w:rPr>
              <w:fldChar w:fldCharType="end"/>
            </w:r>
          </w:hyperlink>
        </w:p>
        <w:p w14:paraId="40CB6145" w14:textId="2E9C707D"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18" w:history="1">
            <w:r w:rsidRPr="00C116A1">
              <w:rPr>
                <w:rStyle w:val="af2"/>
                <w:rFonts w:eastAsia="黑体"/>
                <w:noProof/>
              </w:rPr>
              <w:t>棉籽浓缩蛋白替代鱼粉对大鳞副泥鳅生长性能抗氧化能力、免疫功能和肠道健康的影响</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_Toc220673118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46</w:t>
            </w:r>
            <w:r w:rsidRPr="00C116A1">
              <w:rPr>
                <w:rFonts w:hint="eastAsia"/>
                <w:noProof/>
                <w:webHidden/>
              </w:rPr>
              <w:fldChar w:fldCharType="end"/>
            </w:r>
          </w:hyperlink>
        </w:p>
        <w:p w14:paraId="555F7326" w14:textId="494C06CC" w:rsidR="00C116A1" w:rsidRPr="00C116A1" w:rsidRDefault="00C116A1">
          <w:pPr>
            <w:pStyle w:val="TOC2"/>
            <w:tabs>
              <w:tab w:val="right" w:leader="dot" w:pos="9402"/>
            </w:tabs>
            <w:rPr>
              <w:rFonts w:asciiTheme="minorHAnsi" w:eastAsiaTheme="minorEastAsia" w:hAnsiTheme="minorHAnsi" w:cstheme="minorBidi"/>
              <w:noProof/>
              <w:sz w:val="22"/>
              <w14:ligatures w14:val="standardContextual"/>
            </w:rPr>
          </w:pPr>
          <w:hyperlink w:anchor="_Toc220673119" w:history="1">
            <w:r w:rsidRPr="00C116A1">
              <w:rPr>
                <w:rStyle w:val="af2"/>
                <w:rFonts w:ascii="黑体" w:eastAsia="黑体" w:hAnsi="黑体" w:cs="黑体"/>
                <w:noProof/>
              </w:rPr>
              <w:t>饲料添加白藜芦醇对大口黑鲈生长、抗氧化及氨氮解毒的影响</w:t>
            </w:r>
            <w:r w:rsidRPr="00C116A1">
              <w:rPr>
                <w:rFonts w:hint="eastAsia"/>
                <w:noProof/>
                <w:webHidden/>
              </w:rPr>
              <w:tab/>
            </w:r>
            <w:r w:rsidRPr="00C116A1">
              <w:rPr>
                <w:rFonts w:hint="eastAsia"/>
                <w:noProof/>
                <w:webHidden/>
              </w:rPr>
              <w:fldChar w:fldCharType="begin"/>
            </w:r>
            <w:r w:rsidRPr="00C116A1">
              <w:rPr>
                <w:rFonts w:hint="eastAsia"/>
                <w:noProof/>
                <w:webHidden/>
              </w:rPr>
              <w:instrText xml:space="preserve"> </w:instrText>
            </w:r>
            <w:r w:rsidRPr="00C116A1">
              <w:rPr>
                <w:noProof/>
                <w:webHidden/>
              </w:rPr>
              <w:instrText>PAGEREF _Toc220673119 \h</w:instrText>
            </w:r>
            <w:r w:rsidRPr="00C116A1">
              <w:rPr>
                <w:rFonts w:hint="eastAsia"/>
                <w:noProof/>
                <w:webHidden/>
              </w:rPr>
              <w:instrText xml:space="preserve"> </w:instrText>
            </w:r>
            <w:r w:rsidRPr="00C116A1">
              <w:rPr>
                <w:rFonts w:hint="eastAsia"/>
                <w:noProof/>
                <w:webHidden/>
              </w:rPr>
            </w:r>
            <w:r w:rsidRPr="00C116A1">
              <w:rPr>
                <w:rFonts w:hint="eastAsia"/>
                <w:noProof/>
                <w:webHidden/>
              </w:rPr>
              <w:fldChar w:fldCharType="separate"/>
            </w:r>
            <w:r w:rsidR="00AB4E4C">
              <w:rPr>
                <w:noProof/>
                <w:webHidden/>
              </w:rPr>
              <w:t>66</w:t>
            </w:r>
            <w:r w:rsidRPr="00C116A1">
              <w:rPr>
                <w:rFonts w:hint="eastAsia"/>
                <w:noProof/>
                <w:webHidden/>
              </w:rPr>
              <w:fldChar w:fldCharType="end"/>
            </w:r>
          </w:hyperlink>
        </w:p>
        <w:p w14:paraId="258D423F" w14:textId="306C463A" w:rsidR="00C116A1" w:rsidRDefault="00C116A1">
          <w:r>
            <w:rPr>
              <w:b/>
              <w:bCs/>
              <w:lang w:val="zh-CN"/>
            </w:rPr>
            <w:fldChar w:fldCharType="end"/>
          </w:r>
        </w:p>
      </w:sdtContent>
    </w:sdt>
    <w:p w14:paraId="553053A0" w14:textId="77777777" w:rsidR="00870EC5" w:rsidRDefault="00870EC5" w:rsidP="00870EC5">
      <w:pPr>
        <w:spacing w:line="360" w:lineRule="auto"/>
        <w:ind w:leftChars="-45" w:left="-94" w:rightChars="-159" w:right="-334"/>
        <w:jc w:val="left"/>
        <w:rPr>
          <w:rStyle w:val="vm"/>
          <w:rFonts w:eastAsia="黑体"/>
          <w:b/>
          <w:bCs/>
          <w:sz w:val="32"/>
          <w:szCs w:val="32"/>
          <w:bdr w:val="single" w:sz="4" w:space="0" w:color="auto"/>
        </w:rPr>
      </w:pPr>
    </w:p>
    <w:p w14:paraId="7B1C847F" w14:textId="77777777" w:rsidR="00870EC5" w:rsidRDefault="00870EC5" w:rsidP="00C116A1">
      <w:pPr>
        <w:spacing w:line="360" w:lineRule="auto"/>
        <w:ind w:rightChars="-159" w:right="-334"/>
        <w:jc w:val="left"/>
        <w:rPr>
          <w:rStyle w:val="vm"/>
          <w:rFonts w:eastAsia="黑体"/>
          <w:b/>
          <w:bCs/>
          <w:sz w:val="32"/>
          <w:szCs w:val="32"/>
          <w:bdr w:val="single" w:sz="4" w:space="0" w:color="auto"/>
        </w:rPr>
      </w:pPr>
    </w:p>
    <w:p w14:paraId="0D2125D4" w14:textId="1A564833" w:rsidR="00870EC5" w:rsidRDefault="00870EC5" w:rsidP="00870EC5">
      <w:pPr>
        <w:spacing w:line="360" w:lineRule="auto"/>
        <w:ind w:leftChars="-45" w:left="-94" w:rightChars="-159" w:right="-334"/>
        <w:jc w:val="left"/>
        <w:rPr>
          <w:b/>
          <w:bCs/>
          <w:sz w:val="32"/>
          <w:szCs w:val="32"/>
        </w:rPr>
      </w:pPr>
      <w:r>
        <w:rPr>
          <w:b/>
          <w:bCs/>
          <w:noProof/>
          <w:sz w:val="32"/>
          <w:szCs w:val="32"/>
        </w:rPr>
        <w:lastRenderedPageBreak/>
        <mc:AlternateContent>
          <mc:Choice Requires="wps">
            <w:drawing>
              <wp:anchor distT="0" distB="0" distL="114300" distR="114300" simplePos="0" relativeHeight="251667456" behindDoc="0" locked="0" layoutInCell="1" allowOverlap="1" wp14:anchorId="530FBB59" wp14:editId="1D932D6A">
                <wp:simplePos x="0" y="0"/>
                <wp:positionH relativeFrom="column">
                  <wp:posOffset>-115570</wp:posOffset>
                </wp:positionH>
                <wp:positionV relativeFrom="paragraph">
                  <wp:posOffset>1881188</wp:posOffset>
                </wp:positionV>
                <wp:extent cx="6253163" cy="0"/>
                <wp:effectExtent l="0" t="19050" r="52705" b="38100"/>
                <wp:wrapNone/>
                <wp:docPr id="190245095"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3163" cy="0"/>
                        </a:xfrm>
                        <a:prstGeom prst="line">
                          <a:avLst/>
                        </a:prstGeom>
                        <a:noFill/>
                        <a:ln w="57150" cmpd="thickThin">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line w14:anchorId="5A8BB3F1" id="直线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48.15pt" to="483.3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" strokeweight="4.5pt">
                <v:stroke linestyle="thickThin"/>
              </v:line>
            </w:pict>
          </mc:Fallback>
        </mc:AlternateContent>
      </w:r>
      <w:r>
        <w:rPr>
          <w:b/>
          <w:bCs/>
          <w:noProof/>
          <w:sz w:val="32"/>
          <w:szCs w:val="32"/>
        </w:rPr>
        <w:drawing>
          <wp:anchor distT="0" distB="0" distL="114300" distR="114300" simplePos="0" relativeHeight="251664384" behindDoc="0" locked="0" layoutInCell="1" allowOverlap="1" wp14:anchorId="3241EB17" wp14:editId="25E491F2">
            <wp:simplePos x="0" y="0"/>
            <wp:positionH relativeFrom="column">
              <wp:posOffset>0</wp:posOffset>
            </wp:positionH>
            <wp:positionV relativeFrom="paragraph">
              <wp:posOffset>99060</wp:posOffset>
            </wp:positionV>
            <wp:extent cx="1257300" cy="1257300"/>
            <wp:effectExtent l="0" t="0" r="0" b="0"/>
            <wp:wrapTopAndBottom/>
            <wp:docPr id="415272379" name="图片 415272379"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8"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5408" behindDoc="0" locked="0" layoutInCell="1" allowOverlap="1" wp14:anchorId="4CBFBA6B" wp14:editId="725F7BFA">
            <wp:simplePos x="0" y="0"/>
            <wp:positionH relativeFrom="column">
              <wp:posOffset>1714500</wp:posOffset>
            </wp:positionH>
            <wp:positionV relativeFrom="paragraph">
              <wp:posOffset>693420</wp:posOffset>
            </wp:positionV>
            <wp:extent cx="3200400" cy="805180"/>
            <wp:effectExtent l="0" t="0" r="0" b="0"/>
            <wp:wrapTopAndBottom/>
            <wp:docPr id="2133308196" name="图片 2133308196"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9"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6432" behindDoc="0" locked="0" layoutInCell="1" allowOverlap="1" wp14:anchorId="54240F3E" wp14:editId="0669AD3F">
            <wp:simplePos x="0" y="0"/>
            <wp:positionH relativeFrom="column">
              <wp:posOffset>914400</wp:posOffset>
            </wp:positionH>
            <wp:positionV relativeFrom="paragraph">
              <wp:posOffset>0</wp:posOffset>
            </wp:positionV>
            <wp:extent cx="5029200" cy="783590"/>
            <wp:effectExtent l="0" t="0" r="0" b="0"/>
            <wp:wrapNone/>
            <wp:docPr id="774189871" name="图片 774189871"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0"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sidRPr="00712EA9">
        <w:rPr>
          <w:b/>
          <w:bCs/>
          <w:noProof/>
          <w:sz w:val="32"/>
          <w:szCs w:val="32"/>
        </w:rPr>
        <w:t>51350000B20881845C</w:t>
      </w:r>
      <w:r>
        <w:rPr>
          <w:rFonts w:hint="eastAsia"/>
          <w:b/>
          <w:bCs/>
          <w:sz w:val="32"/>
          <w:szCs w:val="32"/>
        </w:rPr>
        <w:t xml:space="preserve">   </w:t>
      </w:r>
      <w:r>
        <w:rPr>
          <w:b/>
          <w:bCs/>
          <w:sz w:val="32"/>
          <w:szCs w:val="32"/>
        </w:rPr>
        <w:t>第</w:t>
      </w:r>
      <w:r>
        <w:rPr>
          <w:rFonts w:hint="eastAsia"/>
          <w:b/>
          <w:bCs/>
          <w:sz w:val="32"/>
          <w:szCs w:val="32"/>
        </w:rPr>
        <w:t>2</w:t>
      </w:r>
      <w:r>
        <w:rPr>
          <w:b/>
          <w:bCs/>
          <w:sz w:val="32"/>
          <w:szCs w:val="32"/>
        </w:rPr>
        <w:t>期</w:t>
      </w:r>
      <w:r>
        <w:rPr>
          <w:b/>
          <w:bCs/>
          <w:sz w:val="32"/>
          <w:szCs w:val="32"/>
        </w:rPr>
        <w:t xml:space="preserve">  (</w:t>
      </w:r>
      <w:r>
        <w:rPr>
          <w:b/>
          <w:bCs/>
          <w:sz w:val="32"/>
          <w:szCs w:val="32"/>
        </w:rPr>
        <w:t>总第</w:t>
      </w:r>
      <w:r>
        <w:rPr>
          <w:rFonts w:hint="eastAsia"/>
          <w:b/>
          <w:bCs/>
          <w:sz w:val="32"/>
          <w:szCs w:val="32"/>
        </w:rPr>
        <w:t>448</w:t>
      </w:r>
      <w:r>
        <w:rPr>
          <w:b/>
          <w:bCs/>
          <w:sz w:val="32"/>
          <w:szCs w:val="32"/>
        </w:rPr>
        <w:t>期</w:t>
      </w:r>
      <w:r>
        <w:rPr>
          <w:b/>
          <w:bCs/>
          <w:sz w:val="32"/>
          <w:szCs w:val="32"/>
        </w:rPr>
        <w:t>)   202</w:t>
      </w:r>
      <w:r>
        <w:rPr>
          <w:rFonts w:hint="eastAsia"/>
          <w:b/>
          <w:bCs/>
          <w:sz w:val="32"/>
          <w:szCs w:val="32"/>
        </w:rPr>
        <w:t>6</w:t>
      </w:r>
      <w:r>
        <w:rPr>
          <w:b/>
          <w:bCs/>
          <w:sz w:val="32"/>
          <w:szCs w:val="32"/>
        </w:rPr>
        <w:t>年</w:t>
      </w:r>
      <w:r>
        <w:rPr>
          <w:rFonts w:hint="eastAsia"/>
          <w:b/>
          <w:bCs/>
          <w:sz w:val="32"/>
          <w:szCs w:val="32"/>
        </w:rPr>
        <w:t>1</w:t>
      </w:r>
      <w:r>
        <w:rPr>
          <w:b/>
          <w:bCs/>
          <w:sz w:val="32"/>
          <w:szCs w:val="32"/>
        </w:rPr>
        <w:t>月</w:t>
      </w:r>
      <w:r>
        <w:rPr>
          <w:rFonts w:hint="eastAsia"/>
          <w:b/>
          <w:bCs/>
          <w:sz w:val="32"/>
          <w:szCs w:val="32"/>
        </w:rPr>
        <w:t>31</w:t>
      </w:r>
      <w:r>
        <w:rPr>
          <w:b/>
          <w:bCs/>
          <w:sz w:val="32"/>
          <w:szCs w:val="32"/>
        </w:rPr>
        <w:t>日</w:t>
      </w:r>
    </w:p>
    <w:p w14:paraId="4BB4F45B" w14:textId="77777777" w:rsidR="00870EC5" w:rsidRDefault="00870EC5" w:rsidP="00870EC5">
      <w:pPr>
        <w:spacing w:line="276" w:lineRule="auto"/>
        <w:jc w:val="left"/>
        <w:outlineLvl w:val="0"/>
        <w:rPr>
          <w:rStyle w:val="vm"/>
          <w:rFonts w:eastAsia="黑体"/>
          <w:b/>
          <w:bCs/>
          <w:sz w:val="32"/>
          <w:szCs w:val="32"/>
          <w:bdr w:val="single" w:sz="4" w:space="0" w:color="auto"/>
        </w:rPr>
      </w:pPr>
      <w:bookmarkStart w:id="2" w:name="_Toc220673094"/>
      <w:r>
        <w:rPr>
          <w:rStyle w:val="vm"/>
          <w:rFonts w:eastAsia="黑体" w:hint="eastAsia"/>
          <w:b/>
          <w:bCs/>
          <w:sz w:val="32"/>
          <w:szCs w:val="32"/>
          <w:bdr w:val="single" w:sz="4" w:space="0" w:color="auto"/>
        </w:rPr>
        <w:t>重要资讯</w:t>
      </w:r>
      <w:bookmarkEnd w:id="2"/>
    </w:p>
    <w:p w14:paraId="780F25B1" w14:textId="77777777" w:rsidR="00870EC5" w:rsidRDefault="00870EC5" w:rsidP="00870EC5">
      <w:pPr>
        <w:jc w:val="center"/>
        <w:outlineLvl w:val="1"/>
        <w:rPr>
          <w:rFonts w:eastAsia="黑体"/>
          <w:b/>
          <w:bCs/>
          <w:sz w:val="32"/>
          <w:szCs w:val="32"/>
        </w:rPr>
      </w:pPr>
      <w:bookmarkStart w:id="3" w:name="_Toc220673095"/>
      <w:r>
        <w:rPr>
          <w:rFonts w:eastAsia="黑体" w:hint="eastAsia"/>
          <w:b/>
          <w:bCs/>
          <w:sz w:val="32"/>
          <w:szCs w:val="32"/>
        </w:rPr>
        <w:t>外交部：中国申请将《海洋生物多样性协定》秘书处设在厦门</w:t>
      </w:r>
      <w:bookmarkEnd w:id="3"/>
    </w:p>
    <w:p w14:paraId="7825E0F2" w14:textId="40288329" w:rsidR="00870EC5" w:rsidRDefault="00870EC5" w:rsidP="00870EC5">
      <w:pPr>
        <w:spacing w:line="360" w:lineRule="auto"/>
        <w:ind w:firstLineChars="200" w:firstLine="480"/>
        <w:rPr>
          <w:sz w:val="24"/>
        </w:rPr>
      </w:pPr>
      <w:r>
        <w:rPr>
          <w:sz w:val="24"/>
        </w:rPr>
        <w:t>新华社北京</w:t>
      </w:r>
      <w:r>
        <w:rPr>
          <w:sz w:val="24"/>
        </w:rPr>
        <w:t>1</w:t>
      </w:r>
      <w:r>
        <w:rPr>
          <w:sz w:val="24"/>
        </w:rPr>
        <w:t>月</w:t>
      </w:r>
      <w:r>
        <w:rPr>
          <w:sz w:val="24"/>
        </w:rPr>
        <w:t>20</w:t>
      </w:r>
      <w:r>
        <w:rPr>
          <w:sz w:val="24"/>
        </w:rPr>
        <w:t>日电</w:t>
      </w:r>
      <w:r>
        <w:rPr>
          <w:rFonts w:hint="eastAsia"/>
          <w:sz w:val="24"/>
        </w:rPr>
        <w:t xml:space="preserve"> </w:t>
      </w:r>
      <w:r>
        <w:rPr>
          <w:sz w:val="24"/>
        </w:rPr>
        <w:t>《海洋生物多样性协定》已于</w:t>
      </w:r>
      <w:r>
        <w:rPr>
          <w:sz w:val="24"/>
        </w:rPr>
        <w:t>1</w:t>
      </w:r>
      <w:r>
        <w:rPr>
          <w:sz w:val="24"/>
        </w:rPr>
        <w:t>月</w:t>
      </w:r>
      <w:r>
        <w:rPr>
          <w:sz w:val="24"/>
        </w:rPr>
        <w:t>17</w:t>
      </w:r>
      <w:r>
        <w:rPr>
          <w:sz w:val="24"/>
        </w:rPr>
        <w:t>日生效。对此，外交部发言人郭嘉昆</w:t>
      </w:r>
      <w:r>
        <w:rPr>
          <w:sz w:val="24"/>
        </w:rPr>
        <w:t>20</w:t>
      </w:r>
      <w:r>
        <w:rPr>
          <w:sz w:val="24"/>
        </w:rPr>
        <w:t>日在例行记者会上说，《海洋生物多样性协定》是联合国框架下具有里程碑意义的国际条约，其生效开启海洋领域全球治理的新篇章，是多边主义的胜利。中方决定申请将协定的秘书处设在中国厦门，已于</w:t>
      </w:r>
      <w:r>
        <w:rPr>
          <w:sz w:val="24"/>
        </w:rPr>
        <w:t>1</w:t>
      </w:r>
      <w:r>
        <w:rPr>
          <w:sz w:val="24"/>
        </w:rPr>
        <w:t>月</w:t>
      </w:r>
      <w:r>
        <w:rPr>
          <w:sz w:val="24"/>
        </w:rPr>
        <w:t>16</w:t>
      </w:r>
      <w:r>
        <w:rPr>
          <w:sz w:val="24"/>
        </w:rPr>
        <w:t>日将有关决定通知联合国秘书长。</w:t>
      </w:r>
    </w:p>
    <w:p w14:paraId="6033A89C" w14:textId="77777777" w:rsidR="00870EC5" w:rsidRDefault="00870EC5" w:rsidP="00870EC5">
      <w:pPr>
        <w:spacing w:line="360" w:lineRule="auto"/>
        <w:ind w:firstLineChars="200" w:firstLine="480"/>
        <w:rPr>
          <w:sz w:val="24"/>
        </w:rPr>
      </w:pPr>
      <w:r>
        <w:rPr>
          <w:sz w:val="24"/>
        </w:rPr>
        <w:t>有记者问：《海洋生物多样性协定》已于</w:t>
      </w:r>
      <w:r>
        <w:rPr>
          <w:sz w:val="24"/>
        </w:rPr>
        <w:t>1</w:t>
      </w:r>
      <w:r>
        <w:rPr>
          <w:sz w:val="24"/>
        </w:rPr>
        <w:t>月</w:t>
      </w:r>
      <w:r>
        <w:rPr>
          <w:sz w:val="24"/>
        </w:rPr>
        <w:t>17</w:t>
      </w:r>
      <w:r>
        <w:rPr>
          <w:sz w:val="24"/>
        </w:rPr>
        <w:t>日生效，包括中国在内的</w:t>
      </w:r>
      <w:r>
        <w:rPr>
          <w:sz w:val="24"/>
        </w:rPr>
        <w:t>82</w:t>
      </w:r>
      <w:r>
        <w:rPr>
          <w:sz w:val="24"/>
        </w:rPr>
        <w:t>个国家和欧盟已成为缔约方。中方对此有何评论？另据报道，中国常驻联合国代表于</w:t>
      </w:r>
      <w:r>
        <w:rPr>
          <w:sz w:val="24"/>
        </w:rPr>
        <w:t>1</w:t>
      </w:r>
      <w:r>
        <w:rPr>
          <w:sz w:val="24"/>
        </w:rPr>
        <w:t>月</w:t>
      </w:r>
      <w:r>
        <w:rPr>
          <w:sz w:val="24"/>
        </w:rPr>
        <w:t>16</w:t>
      </w:r>
      <w:r>
        <w:rPr>
          <w:sz w:val="24"/>
        </w:rPr>
        <w:t>日致函联合国秘书长古特雷斯，表示中国申请将协定的秘书处设在中国厦门，并提交中方申办方案。评论称此举凸显中国希望在全球环境治理上发挥更大影响力。中方能否介绍有关情况和考虑？</w:t>
      </w:r>
    </w:p>
    <w:p w14:paraId="38D85CE3" w14:textId="77777777" w:rsidR="00870EC5" w:rsidRDefault="00870EC5" w:rsidP="00870EC5">
      <w:pPr>
        <w:spacing w:line="360" w:lineRule="auto"/>
        <w:ind w:firstLineChars="200" w:firstLine="480"/>
        <w:rPr>
          <w:sz w:val="24"/>
        </w:rPr>
      </w:pPr>
      <w:r>
        <w:rPr>
          <w:sz w:val="24"/>
        </w:rPr>
        <w:t>“</w:t>
      </w:r>
      <w:r>
        <w:rPr>
          <w:sz w:val="24"/>
        </w:rPr>
        <w:t>作为协定首批签署国和缔约国，中方对协定生效表示欢迎和祝贺。</w:t>
      </w:r>
      <w:r>
        <w:rPr>
          <w:sz w:val="24"/>
        </w:rPr>
        <w:t>”</w:t>
      </w:r>
      <w:r>
        <w:rPr>
          <w:sz w:val="24"/>
        </w:rPr>
        <w:t>郭嘉昆说。</w:t>
      </w:r>
    </w:p>
    <w:p w14:paraId="5F703FBD" w14:textId="77777777" w:rsidR="00870EC5" w:rsidRDefault="00870EC5" w:rsidP="00870EC5">
      <w:pPr>
        <w:spacing w:line="360" w:lineRule="auto"/>
        <w:ind w:firstLineChars="200" w:firstLine="480"/>
        <w:rPr>
          <w:sz w:val="24"/>
        </w:rPr>
      </w:pPr>
      <w:r>
        <w:rPr>
          <w:sz w:val="24"/>
        </w:rPr>
        <w:t>他表示，中国始终坚持真正的多边主义，支持以联合国为核心的国际体系。中国高度重视对海洋的保护和可持续利用。作为负责任大国，中方深入参与全球海洋治理，有意愿、有能力为实施协定作出更大积极贡献。</w:t>
      </w:r>
    </w:p>
    <w:p w14:paraId="704A163D" w14:textId="77777777" w:rsidR="00870EC5" w:rsidRDefault="00870EC5" w:rsidP="00870EC5">
      <w:pPr>
        <w:spacing w:line="360" w:lineRule="auto"/>
        <w:ind w:firstLineChars="200" w:firstLine="480"/>
        <w:rPr>
          <w:sz w:val="24"/>
        </w:rPr>
      </w:pPr>
      <w:r>
        <w:rPr>
          <w:sz w:val="24"/>
        </w:rPr>
        <w:t>“</w:t>
      </w:r>
      <w:r>
        <w:rPr>
          <w:sz w:val="24"/>
        </w:rPr>
        <w:t>为促进实现协定宗旨和目标、维护国际社会的整体利益，中方决定申请将协定的秘书处设在中国厦门，已于</w:t>
      </w:r>
      <w:r>
        <w:rPr>
          <w:sz w:val="24"/>
        </w:rPr>
        <w:t>1</w:t>
      </w:r>
      <w:r>
        <w:rPr>
          <w:sz w:val="24"/>
        </w:rPr>
        <w:t>月</w:t>
      </w:r>
      <w:r>
        <w:rPr>
          <w:sz w:val="24"/>
        </w:rPr>
        <w:t>16</w:t>
      </w:r>
      <w:r>
        <w:rPr>
          <w:sz w:val="24"/>
        </w:rPr>
        <w:t>日将有关决定通知联合国秘书长。</w:t>
      </w:r>
      <w:r>
        <w:rPr>
          <w:sz w:val="24"/>
        </w:rPr>
        <w:t>”</w:t>
      </w:r>
      <w:r>
        <w:rPr>
          <w:sz w:val="24"/>
        </w:rPr>
        <w:t>郭嘉昆说。</w:t>
      </w:r>
    </w:p>
    <w:p w14:paraId="65442788" w14:textId="77777777" w:rsidR="00870EC5" w:rsidRDefault="00870EC5" w:rsidP="00870EC5">
      <w:pPr>
        <w:spacing w:line="360" w:lineRule="auto"/>
        <w:ind w:firstLineChars="200" w:firstLine="480"/>
        <w:rPr>
          <w:sz w:val="24"/>
        </w:rPr>
      </w:pPr>
      <w:r>
        <w:rPr>
          <w:sz w:val="24"/>
        </w:rPr>
        <w:t>郭嘉昆表示，厦门被誉为</w:t>
      </w:r>
      <w:r>
        <w:rPr>
          <w:sz w:val="24"/>
        </w:rPr>
        <w:t>“</w:t>
      </w:r>
      <w:r>
        <w:rPr>
          <w:sz w:val="24"/>
        </w:rPr>
        <w:t>海上花园城市</w:t>
      </w:r>
      <w:r>
        <w:rPr>
          <w:sz w:val="24"/>
        </w:rPr>
        <w:t>”</w:t>
      </w:r>
      <w:r>
        <w:rPr>
          <w:sz w:val="24"/>
        </w:rPr>
        <w:t>，历史悠久、美丽宜居、开放包容，以其优渥的创新土壤和蓬勃的蓝色经济闻名于世，是海洋国际合作的重要枢纽，对海洋可持续发展的不懈追求与协定的宗旨和目标高度契合，愿为秘书处提供最优越的工作环境，助力协定更好实现宗旨和目标。我们相信，厦门是协定秘书处最理想的东道城市。</w:t>
      </w:r>
    </w:p>
    <w:p w14:paraId="6F89850F" w14:textId="02AD728A" w:rsidR="000B4139" w:rsidRDefault="00870EC5" w:rsidP="00870EC5">
      <w:pPr>
        <w:spacing w:line="360" w:lineRule="auto"/>
        <w:ind w:firstLineChars="200" w:firstLine="480"/>
        <w:rPr>
          <w:sz w:val="24"/>
        </w:rPr>
      </w:pPr>
      <w:r>
        <w:rPr>
          <w:sz w:val="24"/>
        </w:rPr>
        <w:t>“</w:t>
      </w:r>
      <w:r>
        <w:rPr>
          <w:sz w:val="24"/>
        </w:rPr>
        <w:t>中方愿同各方加强沟通与合作，共同支持全面、准确、有效实施协定，为推进全球海</w:t>
      </w:r>
      <w:r>
        <w:rPr>
          <w:sz w:val="24"/>
        </w:rPr>
        <w:lastRenderedPageBreak/>
        <w:t>洋治理、维护国际海洋秩序作出更大贡献。</w:t>
      </w:r>
      <w:r>
        <w:rPr>
          <w:sz w:val="24"/>
        </w:rPr>
        <w:t>”</w:t>
      </w:r>
      <w:r>
        <w:rPr>
          <w:sz w:val="24"/>
        </w:rPr>
        <w:t>郭嘉昆说。</w:t>
      </w:r>
    </w:p>
    <w:p w14:paraId="09C284AB" w14:textId="77777777" w:rsidR="000B4139" w:rsidRDefault="00000000">
      <w:pPr>
        <w:spacing w:line="360" w:lineRule="auto"/>
        <w:ind w:firstLine="426"/>
        <w:jc w:val="right"/>
        <w:rPr>
          <w:rStyle w:val="vm"/>
          <w:rFonts w:eastAsiaTheme="minorEastAsia"/>
          <w:szCs w:val="21"/>
        </w:rPr>
      </w:pPr>
      <w:r>
        <w:rPr>
          <w:rStyle w:val="vm"/>
          <w:rFonts w:eastAsiaTheme="minorEastAsia" w:hint="eastAsia"/>
          <w:szCs w:val="21"/>
        </w:rPr>
        <w:t>转摘自新华社</w:t>
      </w:r>
    </w:p>
    <w:p w14:paraId="06683D1C" w14:textId="77777777" w:rsidR="000B4139" w:rsidRDefault="00000000" w:rsidP="00870EC5">
      <w:pPr>
        <w:jc w:val="center"/>
        <w:outlineLvl w:val="1"/>
        <w:rPr>
          <w:rFonts w:eastAsia="黑体"/>
          <w:b/>
          <w:bCs/>
          <w:sz w:val="32"/>
          <w:szCs w:val="32"/>
        </w:rPr>
      </w:pPr>
      <w:bookmarkStart w:id="4" w:name="_Toc220673096"/>
      <w:r>
        <w:rPr>
          <w:rFonts w:eastAsia="黑体" w:hint="eastAsia"/>
          <w:b/>
          <w:bCs/>
          <w:sz w:val="32"/>
          <w:szCs w:val="32"/>
        </w:rPr>
        <w:t>中心渔港、一级渔港等级认定名单公示</w:t>
      </w:r>
      <w:bookmarkEnd w:id="4"/>
    </w:p>
    <w:p w14:paraId="67FD1C5B"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为了加强沿海渔港等级认定和管理，提升渔港服务功能，规范渔港管理，保障渔业高质量发展，根据《沿海渔港等级认定办法（试行）》有关要求，农业农村部组织开展了中心渔港、一级渔港等级认定工作。经自愿申报、省级初审推荐、专家评审和实地核验等程序，拟认定浙江岱山高亭渔港等</w:t>
      </w:r>
      <w:r>
        <w:rPr>
          <w:rFonts w:eastAsiaTheme="minorEastAsia" w:hint="eastAsia"/>
          <w:sz w:val="24"/>
        </w:rPr>
        <w:t>9</w:t>
      </w:r>
      <w:r>
        <w:rPr>
          <w:rFonts w:eastAsiaTheme="minorEastAsia" w:hint="eastAsia"/>
          <w:sz w:val="24"/>
        </w:rPr>
        <w:t>座渔港为中心渔港、福建莆田湄洲岛渔港等</w:t>
      </w:r>
      <w:r>
        <w:rPr>
          <w:rFonts w:eastAsiaTheme="minorEastAsia" w:hint="eastAsia"/>
          <w:sz w:val="24"/>
        </w:rPr>
        <w:t>8</w:t>
      </w:r>
      <w:r>
        <w:rPr>
          <w:rFonts w:eastAsiaTheme="minorEastAsia" w:hint="eastAsia"/>
          <w:sz w:val="24"/>
        </w:rPr>
        <w:t>座渔港为一级渔港，现予以公示。</w:t>
      </w:r>
    </w:p>
    <w:p w14:paraId="7435D04F"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如对公示名单有异议，请于</w:t>
      </w:r>
      <w:r>
        <w:rPr>
          <w:rFonts w:eastAsiaTheme="minorEastAsia" w:hint="eastAsia"/>
          <w:sz w:val="24"/>
        </w:rPr>
        <w:t>2026</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31</w:t>
      </w:r>
      <w:r>
        <w:rPr>
          <w:rFonts w:eastAsiaTheme="minorEastAsia" w:hint="eastAsia"/>
          <w:sz w:val="24"/>
        </w:rPr>
        <w:t>日前向农业农村部渔业渔政管理局反映。</w:t>
      </w:r>
    </w:p>
    <w:p w14:paraId="4F854D33"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联系电话：</w:t>
      </w:r>
      <w:r>
        <w:rPr>
          <w:rFonts w:eastAsiaTheme="minorEastAsia" w:hint="eastAsia"/>
          <w:sz w:val="24"/>
        </w:rPr>
        <w:t>010</w:t>
      </w:r>
      <w:r>
        <w:rPr>
          <w:rFonts w:eastAsiaTheme="minorEastAsia" w:hint="eastAsia"/>
          <w:sz w:val="24"/>
        </w:rPr>
        <w:t>—</w:t>
      </w:r>
      <w:r>
        <w:rPr>
          <w:rFonts w:eastAsiaTheme="minorEastAsia" w:hint="eastAsia"/>
          <w:sz w:val="24"/>
        </w:rPr>
        <w:t>59192953</w:t>
      </w:r>
      <w:r>
        <w:rPr>
          <w:rFonts w:eastAsiaTheme="minorEastAsia" w:hint="eastAsia"/>
          <w:sz w:val="24"/>
        </w:rPr>
        <w:t>。</w:t>
      </w:r>
    </w:p>
    <w:p w14:paraId="47EF89F3"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邮寄地址：北京市朝阳区农展馆南里</w:t>
      </w:r>
      <w:r>
        <w:rPr>
          <w:rFonts w:eastAsiaTheme="minorEastAsia" w:hint="eastAsia"/>
          <w:sz w:val="24"/>
        </w:rPr>
        <w:t>11</w:t>
      </w:r>
      <w:r>
        <w:rPr>
          <w:rFonts w:eastAsiaTheme="minorEastAsia" w:hint="eastAsia"/>
          <w:sz w:val="24"/>
        </w:rPr>
        <w:t>号农业农村部渔业渔政管理局，邮编：</w:t>
      </w:r>
      <w:r>
        <w:rPr>
          <w:rFonts w:eastAsiaTheme="minorEastAsia" w:hint="eastAsia"/>
          <w:sz w:val="24"/>
        </w:rPr>
        <w:t>100125</w:t>
      </w:r>
      <w:r>
        <w:rPr>
          <w:rFonts w:eastAsiaTheme="minorEastAsia" w:hint="eastAsia"/>
          <w:sz w:val="24"/>
        </w:rPr>
        <w:t>。</w:t>
      </w:r>
    </w:p>
    <w:p w14:paraId="4B8C02BF"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电子邮箱：</w:t>
      </w:r>
      <w:r>
        <w:rPr>
          <w:rFonts w:eastAsiaTheme="minorEastAsia" w:hint="eastAsia"/>
          <w:sz w:val="24"/>
        </w:rPr>
        <w:t>yyjaqc@agri.gov.cn</w:t>
      </w:r>
      <w:r>
        <w:rPr>
          <w:rFonts w:eastAsiaTheme="minorEastAsia" w:hint="eastAsia"/>
          <w:sz w:val="24"/>
        </w:rPr>
        <w:t>，传真：</w:t>
      </w:r>
      <w:r>
        <w:rPr>
          <w:rFonts w:eastAsiaTheme="minorEastAsia" w:hint="eastAsia"/>
          <w:sz w:val="24"/>
        </w:rPr>
        <w:t>010</w:t>
      </w:r>
      <w:r>
        <w:rPr>
          <w:rFonts w:eastAsiaTheme="minorEastAsia" w:hint="eastAsia"/>
          <w:sz w:val="24"/>
        </w:rPr>
        <w:t>—</w:t>
      </w:r>
      <w:r>
        <w:rPr>
          <w:rFonts w:eastAsiaTheme="minorEastAsia" w:hint="eastAsia"/>
          <w:sz w:val="24"/>
        </w:rPr>
        <w:t>59192994</w:t>
      </w:r>
      <w:r>
        <w:rPr>
          <w:rFonts w:eastAsiaTheme="minorEastAsia" w:hint="eastAsia"/>
          <w:sz w:val="24"/>
        </w:rPr>
        <w:t>。</w:t>
      </w:r>
    </w:p>
    <w:p w14:paraId="55524090" w14:textId="77777777" w:rsidR="000B4139" w:rsidRDefault="00000000">
      <w:pPr>
        <w:spacing w:line="360" w:lineRule="auto"/>
        <w:jc w:val="center"/>
        <w:rPr>
          <w:rFonts w:eastAsiaTheme="minorEastAsia"/>
          <w:b/>
          <w:bCs/>
          <w:sz w:val="24"/>
        </w:rPr>
      </w:pPr>
      <w:r>
        <w:rPr>
          <w:rFonts w:eastAsiaTheme="minorEastAsia" w:hint="eastAsia"/>
          <w:b/>
          <w:bCs/>
          <w:sz w:val="24"/>
        </w:rPr>
        <w:t>中心渔港、一级渔港认定名单</w:t>
      </w:r>
    </w:p>
    <w:p w14:paraId="4F83B2B9" w14:textId="77777777" w:rsidR="000B4139" w:rsidRDefault="00000000" w:rsidP="00870EC5">
      <w:pPr>
        <w:spacing w:line="360" w:lineRule="auto"/>
        <w:rPr>
          <w:rFonts w:eastAsiaTheme="minorEastAsia"/>
          <w:sz w:val="24"/>
        </w:rPr>
      </w:pPr>
      <w:r>
        <w:rPr>
          <w:rFonts w:eastAsiaTheme="minorEastAsia" w:hint="eastAsia"/>
          <w:sz w:val="24"/>
        </w:rPr>
        <w:t>一、中心渔港（</w:t>
      </w:r>
      <w:r>
        <w:rPr>
          <w:rFonts w:eastAsiaTheme="minorEastAsia" w:hint="eastAsia"/>
          <w:sz w:val="24"/>
        </w:rPr>
        <w:t>9</w:t>
      </w:r>
      <w:r>
        <w:rPr>
          <w:rFonts w:eastAsiaTheme="minorEastAsia" w:hint="eastAsia"/>
          <w:sz w:val="24"/>
        </w:rPr>
        <w:t>座）</w:t>
      </w:r>
    </w:p>
    <w:p w14:paraId="0A6C37F4" w14:textId="77777777" w:rsidR="000B4139" w:rsidRDefault="00000000">
      <w:pPr>
        <w:spacing w:line="360" w:lineRule="auto"/>
        <w:ind w:firstLine="426"/>
        <w:rPr>
          <w:rFonts w:eastAsiaTheme="minorEastAsia"/>
          <w:sz w:val="24"/>
        </w:rPr>
      </w:pPr>
      <w:r>
        <w:rPr>
          <w:rFonts w:eastAsiaTheme="minorEastAsia" w:hint="eastAsia"/>
          <w:sz w:val="24"/>
        </w:rPr>
        <w:t>1.</w:t>
      </w:r>
      <w:r>
        <w:rPr>
          <w:rFonts w:eastAsiaTheme="minorEastAsia" w:hint="eastAsia"/>
          <w:sz w:val="24"/>
        </w:rPr>
        <w:t>江苏射阳黄沙港渔港</w:t>
      </w:r>
    </w:p>
    <w:p w14:paraId="74AB4FD3" w14:textId="77777777" w:rsidR="000B4139" w:rsidRDefault="00000000">
      <w:pPr>
        <w:spacing w:line="360" w:lineRule="auto"/>
        <w:ind w:firstLine="426"/>
        <w:rPr>
          <w:rFonts w:eastAsiaTheme="minorEastAsia"/>
          <w:sz w:val="24"/>
        </w:rPr>
      </w:pPr>
      <w:r>
        <w:rPr>
          <w:rFonts w:eastAsiaTheme="minorEastAsia" w:hint="eastAsia"/>
          <w:sz w:val="24"/>
        </w:rPr>
        <w:t>2.</w:t>
      </w:r>
      <w:r>
        <w:rPr>
          <w:rFonts w:eastAsiaTheme="minorEastAsia" w:hint="eastAsia"/>
          <w:sz w:val="24"/>
        </w:rPr>
        <w:t>浙江岱山高亭渔港</w:t>
      </w:r>
    </w:p>
    <w:p w14:paraId="6B2236BA" w14:textId="77777777" w:rsidR="000B4139" w:rsidRDefault="00000000">
      <w:pPr>
        <w:spacing w:line="360" w:lineRule="auto"/>
        <w:ind w:firstLine="426"/>
        <w:rPr>
          <w:rFonts w:eastAsiaTheme="minorEastAsia"/>
          <w:sz w:val="24"/>
        </w:rPr>
      </w:pPr>
      <w:r>
        <w:rPr>
          <w:rFonts w:eastAsiaTheme="minorEastAsia" w:hint="eastAsia"/>
          <w:sz w:val="24"/>
        </w:rPr>
        <w:t>3.</w:t>
      </w:r>
      <w:r>
        <w:rPr>
          <w:rFonts w:eastAsiaTheme="minorEastAsia" w:hint="eastAsia"/>
          <w:sz w:val="24"/>
        </w:rPr>
        <w:t>广东南澳云澳渔港</w:t>
      </w:r>
    </w:p>
    <w:p w14:paraId="1A9A7F20" w14:textId="77777777" w:rsidR="000B4139" w:rsidRDefault="00000000">
      <w:pPr>
        <w:spacing w:line="360" w:lineRule="auto"/>
        <w:ind w:firstLine="426"/>
        <w:rPr>
          <w:rFonts w:eastAsiaTheme="minorEastAsia"/>
          <w:sz w:val="24"/>
        </w:rPr>
      </w:pPr>
      <w:r>
        <w:rPr>
          <w:rFonts w:eastAsiaTheme="minorEastAsia" w:hint="eastAsia"/>
          <w:sz w:val="24"/>
        </w:rPr>
        <w:t>4.</w:t>
      </w:r>
      <w:r>
        <w:rPr>
          <w:rFonts w:eastAsiaTheme="minorEastAsia" w:hint="eastAsia"/>
          <w:sz w:val="24"/>
        </w:rPr>
        <w:t>广东惠来神泉渔港</w:t>
      </w:r>
    </w:p>
    <w:p w14:paraId="340BA45A" w14:textId="77777777" w:rsidR="000B4139" w:rsidRDefault="00000000">
      <w:pPr>
        <w:spacing w:line="360" w:lineRule="auto"/>
        <w:ind w:firstLine="426"/>
        <w:rPr>
          <w:rFonts w:eastAsiaTheme="minorEastAsia"/>
          <w:sz w:val="24"/>
        </w:rPr>
      </w:pPr>
      <w:r>
        <w:rPr>
          <w:rFonts w:eastAsiaTheme="minorEastAsia" w:hint="eastAsia"/>
          <w:sz w:val="24"/>
        </w:rPr>
        <w:t>5.</w:t>
      </w:r>
      <w:r>
        <w:rPr>
          <w:rFonts w:eastAsiaTheme="minorEastAsia" w:hint="eastAsia"/>
          <w:sz w:val="24"/>
        </w:rPr>
        <w:t>广东湛江经开区硇洲渔港</w:t>
      </w:r>
    </w:p>
    <w:p w14:paraId="3DACCD3D" w14:textId="77777777" w:rsidR="000B4139" w:rsidRDefault="00000000">
      <w:pPr>
        <w:spacing w:line="360" w:lineRule="auto"/>
        <w:ind w:firstLine="426"/>
        <w:rPr>
          <w:rFonts w:eastAsiaTheme="minorEastAsia"/>
          <w:sz w:val="24"/>
        </w:rPr>
      </w:pPr>
      <w:r>
        <w:rPr>
          <w:rFonts w:eastAsiaTheme="minorEastAsia" w:hint="eastAsia"/>
          <w:sz w:val="24"/>
        </w:rPr>
        <w:t>6.</w:t>
      </w:r>
      <w:r>
        <w:rPr>
          <w:rFonts w:eastAsiaTheme="minorEastAsia" w:hint="eastAsia"/>
          <w:sz w:val="24"/>
        </w:rPr>
        <w:t>广东番禺莲花山渔港</w:t>
      </w:r>
    </w:p>
    <w:p w14:paraId="294A6E02" w14:textId="77777777" w:rsidR="000B4139" w:rsidRDefault="00000000">
      <w:pPr>
        <w:spacing w:line="360" w:lineRule="auto"/>
        <w:ind w:firstLine="426"/>
        <w:rPr>
          <w:rFonts w:eastAsiaTheme="minorEastAsia"/>
          <w:sz w:val="24"/>
        </w:rPr>
      </w:pPr>
      <w:r>
        <w:rPr>
          <w:rFonts w:eastAsiaTheme="minorEastAsia" w:hint="eastAsia"/>
          <w:sz w:val="24"/>
        </w:rPr>
        <w:t>7.</w:t>
      </w:r>
      <w:r>
        <w:rPr>
          <w:rFonts w:eastAsiaTheme="minorEastAsia" w:hint="eastAsia"/>
          <w:sz w:val="24"/>
        </w:rPr>
        <w:t>广西港口企沙渔港</w:t>
      </w:r>
    </w:p>
    <w:p w14:paraId="276B1C31" w14:textId="77777777" w:rsidR="000B4139" w:rsidRDefault="00000000">
      <w:pPr>
        <w:spacing w:line="360" w:lineRule="auto"/>
        <w:ind w:firstLine="426"/>
        <w:rPr>
          <w:rFonts w:eastAsiaTheme="minorEastAsia"/>
          <w:sz w:val="24"/>
        </w:rPr>
      </w:pPr>
      <w:r>
        <w:rPr>
          <w:rFonts w:eastAsiaTheme="minorEastAsia" w:hint="eastAsia"/>
          <w:sz w:val="24"/>
        </w:rPr>
        <w:t>8.</w:t>
      </w:r>
      <w:r>
        <w:rPr>
          <w:rFonts w:eastAsiaTheme="minorEastAsia" w:hint="eastAsia"/>
          <w:sz w:val="24"/>
        </w:rPr>
        <w:t>海南东方八所渔港</w:t>
      </w:r>
    </w:p>
    <w:p w14:paraId="532558FE" w14:textId="77777777" w:rsidR="000B4139" w:rsidRDefault="00000000">
      <w:pPr>
        <w:spacing w:line="360" w:lineRule="auto"/>
        <w:ind w:firstLine="426"/>
        <w:rPr>
          <w:rFonts w:eastAsiaTheme="minorEastAsia"/>
          <w:sz w:val="24"/>
        </w:rPr>
      </w:pPr>
      <w:r>
        <w:rPr>
          <w:rFonts w:eastAsiaTheme="minorEastAsia" w:hint="eastAsia"/>
          <w:sz w:val="24"/>
        </w:rPr>
        <w:t>9.</w:t>
      </w:r>
      <w:r>
        <w:rPr>
          <w:rFonts w:eastAsiaTheme="minorEastAsia" w:hint="eastAsia"/>
          <w:sz w:val="24"/>
        </w:rPr>
        <w:t>海南琼海潭门渔港</w:t>
      </w:r>
    </w:p>
    <w:p w14:paraId="5AD3F644" w14:textId="77777777" w:rsidR="000B4139" w:rsidRDefault="00000000" w:rsidP="00870EC5">
      <w:pPr>
        <w:spacing w:line="360" w:lineRule="auto"/>
        <w:rPr>
          <w:rFonts w:eastAsiaTheme="minorEastAsia"/>
          <w:sz w:val="24"/>
        </w:rPr>
      </w:pPr>
      <w:r>
        <w:rPr>
          <w:rFonts w:eastAsiaTheme="minorEastAsia" w:hint="eastAsia"/>
          <w:sz w:val="24"/>
        </w:rPr>
        <w:t>二、一级渔港（</w:t>
      </w:r>
      <w:r>
        <w:rPr>
          <w:rFonts w:eastAsiaTheme="minorEastAsia" w:hint="eastAsia"/>
          <w:sz w:val="24"/>
        </w:rPr>
        <w:t>8</w:t>
      </w:r>
      <w:r>
        <w:rPr>
          <w:rFonts w:eastAsiaTheme="minorEastAsia" w:hint="eastAsia"/>
          <w:sz w:val="24"/>
        </w:rPr>
        <w:t>座）</w:t>
      </w:r>
    </w:p>
    <w:p w14:paraId="109B816C" w14:textId="77777777" w:rsidR="000B4139" w:rsidRDefault="00000000">
      <w:pPr>
        <w:spacing w:line="360" w:lineRule="auto"/>
        <w:ind w:firstLine="426"/>
        <w:rPr>
          <w:rFonts w:eastAsiaTheme="minorEastAsia"/>
          <w:sz w:val="24"/>
        </w:rPr>
      </w:pPr>
      <w:r>
        <w:rPr>
          <w:rFonts w:eastAsiaTheme="minorEastAsia" w:hint="eastAsia"/>
          <w:sz w:val="24"/>
        </w:rPr>
        <w:t>1.</w:t>
      </w:r>
      <w:r>
        <w:rPr>
          <w:rFonts w:eastAsiaTheme="minorEastAsia" w:hint="eastAsia"/>
          <w:sz w:val="24"/>
        </w:rPr>
        <w:t>江苏灌云燕尾港渔港</w:t>
      </w:r>
    </w:p>
    <w:p w14:paraId="38C0C33C" w14:textId="77777777" w:rsidR="000B4139" w:rsidRDefault="00000000">
      <w:pPr>
        <w:spacing w:line="360" w:lineRule="auto"/>
        <w:ind w:firstLine="426"/>
        <w:rPr>
          <w:rFonts w:eastAsiaTheme="minorEastAsia"/>
          <w:sz w:val="24"/>
        </w:rPr>
      </w:pPr>
      <w:r>
        <w:rPr>
          <w:rFonts w:eastAsiaTheme="minorEastAsia" w:hint="eastAsia"/>
          <w:sz w:val="24"/>
        </w:rPr>
        <w:t>2.</w:t>
      </w:r>
      <w:r>
        <w:rPr>
          <w:rFonts w:eastAsiaTheme="minorEastAsia" w:hint="eastAsia"/>
          <w:sz w:val="24"/>
        </w:rPr>
        <w:t>江苏滨海翻身河渔港</w:t>
      </w:r>
    </w:p>
    <w:p w14:paraId="560E94B6" w14:textId="77777777" w:rsidR="000B4139" w:rsidRDefault="00000000">
      <w:pPr>
        <w:spacing w:line="360" w:lineRule="auto"/>
        <w:ind w:firstLine="426"/>
        <w:rPr>
          <w:rFonts w:eastAsiaTheme="minorEastAsia"/>
          <w:sz w:val="24"/>
        </w:rPr>
      </w:pPr>
      <w:r>
        <w:rPr>
          <w:rFonts w:eastAsiaTheme="minorEastAsia" w:hint="eastAsia"/>
          <w:sz w:val="24"/>
        </w:rPr>
        <w:t>3.</w:t>
      </w:r>
      <w:r>
        <w:rPr>
          <w:rFonts w:eastAsiaTheme="minorEastAsia" w:hint="eastAsia"/>
          <w:sz w:val="24"/>
        </w:rPr>
        <w:t>江苏大丰斗龙港渔港</w:t>
      </w:r>
    </w:p>
    <w:p w14:paraId="086BE1A3" w14:textId="77777777" w:rsidR="000B4139" w:rsidRDefault="00000000">
      <w:pPr>
        <w:spacing w:line="360" w:lineRule="auto"/>
        <w:ind w:firstLine="426"/>
        <w:rPr>
          <w:rFonts w:eastAsiaTheme="minorEastAsia"/>
          <w:sz w:val="24"/>
        </w:rPr>
      </w:pPr>
      <w:r>
        <w:rPr>
          <w:rFonts w:eastAsiaTheme="minorEastAsia" w:hint="eastAsia"/>
          <w:sz w:val="24"/>
        </w:rPr>
        <w:t>4.</w:t>
      </w:r>
      <w:r>
        <w:rPr>
          <w:rFonts w:eastAsiaTheme="minorEastAsia" w:hint="eastAsia"/>
          <w:sz w:val="24"/>
        </w:rPr>
        <w:t>浙江岱山长涂渔港</w:t>
      </w:r>
    </w:p>
    <w:p w14:paraId="2DBBE3B0" w14:textId="77777777" w:rsidR="000B4139" w:rsidRDefault="00000000">
      <w:pPr>
        <w:spacing w:line="360" w:lineRule="auto"/>
        <w:ind w:firstLine="426"/>
        <w:rPr>
          <w:rFonts w:eastAsiaTheme="minorEastAsia"/>
          <w:sz w:val="24"/>
        </w:rPr>
      </w:pPr>
      <w:r>
        <w:rPr>
          <w:rFonts w:eastAsiaTheme="minorEastAsia" w:hint="eastAsia"/>
          <w:sz w:val="24"/>
        </w:rPr>
        <w:t>5.</w:t>
      </w:r>
      <w:r>
        <w:rPr>
          <w:rFonts w:eastAsiaTheme="minorEastAsia" w:hint="eastAsia"/>
          <w:sz w:val="24"/>
        </w:rPr>
        <w:t>浙江岱山大衢渔港</w:t>
      </w:r>
    </w:p>
    <w:p w14:paraId="1C1A96A1" w14:textId="77777777" w:rsidR="000B4139" w:rsidRDefault="00000000">
      <w:pPr>
        <w:spacing w:line="360" w:lineRule="auto"/>
        <w:ind w:firstLine="426"/>
        <w:rPr>
          <w:rFonts w:eastAsiaTheme="minorEastAsia"/>
          <w:sz w:val="24"/>
        </w:rPr>
      </w:pPr>
      <w:r>
        <w:rPr>
          <w:rFonts w:eastAsiaTheme="minorEastAsia" w:hint="eastAsia"/>
          <w:sz w:val="24"/>
        </w:rPr>
        <w:lastRenderedPageBreak/>
        <w:t>6.</w:t>
      </w:r>
      <w:r>
        <w:rPr>
          <w:rFonts w:eastAsiaTheme="minorEastAsia" w:hint="eastAsia"/>
          <w:sz w:val="24"/>
        </w:rPr>
        <w:t>福建莆田湄洲岛渔港</w:t>
      </w:r>
    </w:p>
    <w:p w14:paraId="4311611A" w14:textId="77777777" w:rsidR="000B4139" w:rsidRDefault="00000000">
      <w:pPr>
        <w:spacing w:line="360" w:lineRule="auto"/>
        <w:ind w:firstLine="426"/>
        <w:rPr>
          <w:rFonts w:eastAsiaTheme="minorEastAsia"/>
          <w:sz w:val="24"/>
        </w:rPr>
      </w:pPr>
      <w:r>
        <w:rPr>
          <w:rFonts w:eastAsiaTheme="minorEastAsia" w:hint="eastAsia"/>
          <w:sz w:val="24"/>
        </w:rPr>
        <w:t>7.</w:t>
      </w:r>
      <w:r>
        <w:rPr>
          <w:rFonts w:eastAsiaTheme="minorEastAsia" w:hint="eastAsia"/>
          <w:sz w:val="24"/>
        </w:rPr>
        <w:t>福建秀屿平海渔港</w:t>
      </w:r>
    </w:p>
    <w:p w14:paraId="0CC6E848" w14:textId="77777777" w:rsidR="000B4139" w:rsidRDefault="00000000">
      <w:pPr>
        <w:spacing w:line="360" w:lineRule="auto"/>
        <w:ind w:firstLine="426"/>
        <w:rPr>
          <w:rFonts w:eastAsiaTheme="minorEastAsia"/>
          <w:sz w:val="24"/>
        </w:rPr>
      </w:pPr>
      <w:r>
        <w:rPr>
          <w:rFonts w:eastAsiaTheme="minorEastAsia" w:hint="eastAsia"/>
          <w:sz w:val="24"/>
        </w:rPr>
        <w:t>8.</w:t>
      </w:r>
      <w:r>
        <w:rPr>
          <w:rFonts w:eastAsiaTheme="minorEastAsia" w:hint="eastAsia"/>
          <w:sz w:val="24"/>
        </w:rPr>
        <w:t>广东濠江达濠渔港</w:t>
      </w:r>
    </w:p>
    <w:p w14:paraId="45C9D0B9" w14:textId="77777777" w:rsidR="000B4139" w:rsidRDefault="00000000">
      <w:pPr>
        <w:spacing w:line="360" w:lineRule="auto"/>
        <w:ind w:firstLine="426"/>
        <w:jc w:val="right"/>
        <w:rPr>
          <w:rFonts w:eastAsia="黑体"/>
          <w:b/>
          <w:bCs/>
          <w:sz w:val="32"/>
          <w:szCs w:val="32"/>
        </w:rPr>
      </w:pPr>
      <w:r>
        <w:rPr>
          <w:rStyle w:val="vm"/>
          <w:rFonts w:eastAsiaTheme="minorEastAsia"/>
          <w:szCs w:val="21"/>
        </w:rPr>
        <w:t>转摘</w:t>
      </w:r>
      <w:r>
        <w:rPr>
          <w:rStyle w:val="vm"/>
          <w:rFonts w:eastAsiaTheme="minorEastAsia" w:hint="eastAsia"/>
          <w:szCs w:val="21"/>
        </w:rPr>
        <w:t>自农业农村部渔业渔政管理局</w:t>
      </w:r>
    </w:p>
    <w:p w14:paraId="6A591662" w14:textId="77777777" w:rsidR="000B4139" w:rsidRDefault="00000000" w:rsidP="007663FC">
      <w:pPr>
        <w:spacing w:line="360" w:lineRule="auto"/>
        <w:jc w:val="center"/>
        <w:outlineLvl w:val="1"/>
        <w:rPr>
          <w:rFonts w:eastAsia="黑体"/>
          <w:b/>
          <w:bCs/>
          <w:sz w:val="32"/>
          <w:szCs w:val="32"/>
        </w:rPr>
      </w:pPr>
      <w:bookmarkStart w:id="5" w:name="_Toc220673097"/>
      <w:r>
        <w:rPr>
          <w:rFonts w:eastAsia="黑体" w:hint="eastAsia"/>
          <w:b/>
          <w:bCs/>
          <w:sz w:val="32"/>
          <w:szCs w:val="32"/>
        </w:rPr>
        <w:t>农业农村部专题研究海洋渔船安全生产和远洋渔业规范管理工作</w:t>
      </w:r>
      <w:bookmarkEnd w:id="5"/>
    </w:p>
    <w:p w14:paraId="76BC8AE2" w14:textId="2EB270FA" w:rsidR="000B4139" w:rsidRDefault="00000000" w:rsidP="00870EC5">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23</w:t>
      </w:r>
      <w:r>
        <w:rPr>
          <w:rFonts w:eastAsiaTheme="minorEastAsia" w:hint="eastAsia"/>
          <w:sz w:val="24"/>
        </w:rPr>
        <w:t>日，农业农村部党组成员、副部长张治礼主持召开会议，深入学习习近平总书记重要指示精神，贯彻落实党中央、国务院决策部署，全面梳理</w:t>
      </w:r>
      <w:r>
        <w:rPr>
          <w:rFonts w:eastAsiaTheme="minorEastAsia" w:hint="eastAsia"/>
          <w:sz w:val="24"/>
        </w:rPr>
        <w:t>2025</w:t>
      </w:r>
      <w:r>
        <w:rPr>
          <w:rFonts w:eastAsiaTheme="minorEastAsia" w:hint="eastAsia"/>
          <w:sz w:val="24"/>
        </w:rPr>
        <w:t>年以来海洋渔船安全生产和远洋渔业规范管理工作情况，分析当前面临的突出问题，部署推进下一阶段工作。</w:t>
      </w:r>
    </w:p>
    <w:p w14:paraId="3A2905C6" w14:textId="6ABB4035" w:rsidR="000B4139" w:rsidRDefault="00000000" w:rsidP="00870EC5">
      <w:pPr>
        <w:spacing w:line="360" w:lineRule="auto"/>
        <w:ind w:firstLineChars="200" w:firstLine="480"/>
        <w:rPr>
          <w:rFonts w:eastAsiaTheme="minorEastAsia"/>
          <w:sz w:val="24"/>
        </w:rPr>
      </w:pPr>
      <w:r>
        <w:rPr>
          <w:rFonts w:eastAsiaTheme="minorEastAsia" w:hint="eastAsia"/>
          <w:sz w:val="24"/>
        </w:rPr>
        <w:t>会议认为，沿海各地扎实开展海洋渔船安全生产专项整治，但局地仍存在短板弱项。会议强调，要切实增强做好渔船安全生产工作的责任感紧迫感；要聚焦事故预防，筑牢安全屏障；要提升监管效能，压实属地责任；要坚持久久为功</w:t>
      </w:r>
      <w:r w:rsidR="000427A1">
        <w:rPr>
          <w:rFonts w:eastAsiaTheme="minorEastAsia"/>
          <w:sz w:val="24"/>
        </w:rPr>
        <w:t>,</w:t>
      </w:r>
      <w:r>
        <w:rPr>
          <w:rFonts w:eastAsiaTheme="minorEastAsia" w:hint="eastAsia"/>
          <w:sz w:val="24"/>
        </w:rPr>
        <w:t>从深层次上解决本质安全问题。</w:t>
      </w:r>
    </w:p>
    <w:p w14:paraId="52CF5891"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会议要求，要切实提高政治站位，进一步强化远洋渔业规范管理，加强国际履约，严厉打击非法捕捞，坚决防范化解风险；要优化区域布局，实施分类管理，坚持科技创新，推动产业升级；要拓展多双边务实合作，构建合作共赢格局。</w:t>
      </w:r>
    </w:p>
    <w:p w14:paraId="77859222" w14:textId="77777777" w:rsidR="000B4139" w:rsidRDefault="00000000" w:rsidP="00870EC5">
      <w:pPr>
        <w:spacing w:line="360" w:lineRule="auto"/>
        <w:ind w:firstLineChars="200" w:firstLine="480"/>
        <w:rPr>
          <w:rFonts w:eastAsiaTheme="minorEastAsia"/>
          <w:sz w:val="24"/>
        </w:rPr>
      </w:pPr>
      <w:r>
        <w:rPr>
          <w:rFonts w:eastAsiaTheme="minorEastAsia" w:hint="eastAsia"/>
          <w:sz w:val="24"/>
        </w:rPr>
        <w:t>农业农村部渔业渔政管理局、中国水产科学研究院、渔政保障中心、上海海洋大学、中国渔业协会、中国渔业互保协会和中国远洋渔业协会负责同志作交流发言。</w:t>
      </w:r>
    </w:p>
    <w:p w14:paraId="5A440BED" w14:textId="77777777" w:rsidR="000B4139"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7F8A5A63" w14:textId="77777777" w:rsidR="000B4139" w:rsidRDefault="00000000" w:rsidP="00870EC5">
      <w:pPr>
        <w:spacing w:line="360" w:lineRule="auto"/>
        <w:jc w:val="center"/>
        <w:outlineLvl w:val="1"/>
        <w:rPr>
          <w:rFonts w:eastAsia="黑体"/>
          <w:b/>
          <w:bCs/>
          <w:sz w:val="32"/>
          <w:szCs w:val="32"/>
        </w:rPr>
      </w:pPr>
      <w:bookmarkStart w:id="6" w:name="_Toc220673098"/>
      <w:r>
        <w:rPr>
          <w:rFonts w:eastAsia="黑体" w:hint="eastAsia"/>
          <w:b/>
          <w:bCs/>
          <w:sz w:val="32"/>
          <w:szCs w:val="32"/>
        </w:rPr>
        <w:t>我国首部反映长江水生生物保护科普丛书在京发布</w:t>
      </w:r>
      <w:bookmarkEnd w:id="6"/>
    </w:p>
    <w:p w14:paraId="79BA7941"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21</w:t>
      </w:r>
      <w:r>
        <w:rPr>
          <w:rFonts w:eastAsiaTheme="minorEastAsia" w:hint="eastAsia"/>
          <w:sz w:val="24"/>
        </w:rPr>
        <w:t>日，《生命长江》科普丛书发布会在北京举行，该套丛书围绕长江十年禁渔，以“自然科普</w:t>
      </w:r>
      <w:r>
        <w:rPr>
          <w:rFonts w:eastAsiaTheme="minorEastAsia" w:hint="eastAsia"/>
          <w:sz w:val="24"/>
        </w:rPr>
        <w:t>+</w:t>
      </w:r>
      <w:r>
        <w:rPr>
          <w:rFonts w:eastAsiaTheme="minorEastAsia" w:hint="eastAsia"/>
          <w:sz w:val="24"/>
        </w:rPr>
        <w:t>人文感化”为主线，聚焦长江土著珍稀物种、水生保护区建设、外来物种防控、长江禁渔实践及渔文化传承等，深度诠释长江“母亲河”的生态价值与人文脉络。农业农村部长江流域渔政监督管理办公室负责人致辞时表示，这套科普丛书汇聚了众多渔业科技专家的共同智慧，是出版领域的精品成果，希望这套丛书能为广大公众提供了解长江生物、关注长江生态的科普窗口。</w:t>
      </w:r>
    </w:p>
    <w:p w14:paraId="01CAA508" w14:textId="569AA5C3" w:rsidR="000B4139" w:rsidRDefault="00000000" w:rsidP="000427A1">
      <w:pPr>
        <w:spacing w:line="360" w:lineRule="auto"/>
        <w:ind w:firstLineChars="200" w:firstLine="480"/>
        <w:rPr>
          <w:rFonts w:eastAsiaTheme="minorEastAsia"/>
          <w:sz w:val="24"/>
        </w:rPr>
      </w:pPr>
      <w:r>
        <w:rPr>
          <w:rFonts w:eastAsiaTheme="minorEastAsia" w:hint="eastAsia"/>
          <w:sz w:val="24"/>
        </w:rPr>
        <w:t>《生命长江》科普丛书，由中国农业出版社组织业内</w:t>
      </w:r>
      <w:r>
        <w:rPr>
          <w:rFonts w:eastAsiaTheme="minorEastAsia" w:hint="eastAsia"/>
          <w:sz w:val="24"/>
        </w:rPr>
        <w:t>115</w:t>
      </w:r>
      <w:r>
        <w:rPr>
          <w:rFonts w:eastAsiaTheme="minorEastAsia" w:hint="eastAsia"/>
          <w:sz w:val="24"/>
        </w:rPr>
        <w:t>位权威专家，历经</w:t>
      </w:r>
      <w:r>
        <w:rPr>
          <w:rFonts w:eastAsiaTheme="minorEastAsia" w:hint="eastAsia"/>
          <w:sz w:val="24"/>
        </w:rPr>
        <w:t>3</w:t>
      </w:r>
      <w:r>
        <w:rPr>
          <w:rFonts w:eastAsiaTheme="minorEastAsia" w:hint="eastAsia"/>
          <w:sz w:val="24"/>
        </w:rPr>
        <w:t>年精雕细琢出版。该丛书共分《长江里的“原住民”》《长江里的“保卫战”》《长江里的“外来客”》《长江里的“渔赞歌”》《长江里的“水精灵”》《长江里的“庇护所”》</w:t>
      </w:r>
      <w:r>
        <w:rPr>
          <w:rFonts w:eastAsiaTheme="minorEastAsia" w:hint="eastAsia"/>
          <w:sz w:val="24"/>
        </w:rPr>
        <w:t>6</w:t>
      </w:r>
      <w:r>
        <w:rPr>
          <w:rFonts w:eastAsiaTheme="minorEastAsia" w:hint="eastAsia"/>
          <w:sz w:val="24"/>
        </w:rPr>
        <w:t>个分册，全书共</w:t>
      </w:r>
      <w:r>
        <w:rPr>
          <w:rFonts w:eastAsiaTheme="minorEastAsia" w:hint="eastAsia"/>
          <w:sz w:val="24"/>
        </w:rPr>
        <w:t>50</w:t>
      </w:r>
      <w:r>
        <w:rPr>
          <w:rFonts w:eastAsiaTheme="minorEastAsia" w:hint="eastAsia"/>
          <w:sz w:val="24"/>
        </w:rPr>
        <w:t>万字，融合近</w:t>
      </w:r>
      <w:r>
        <w:rPr>
          <w:rFonts w:eastAsiaTheme="minorEastAsia" w:hint="eastAsia"/>
          <w:sz w:val="24"/>
        </w:rPr>
        <w:t>200</w:t>
      </w:r>
      <w:r>
        <w:rPr>
          <w:rFonts w:eastAsiaTheme="minorEastAsia" w:hint="eastAsia"/>
          <w:sz w:val="24"/>
        </w:rPr>
        <w:t>幅手绘插图与</w:t>
      </w:r>
      <w:r>
        <w:rPr>
          <w:rFonts w:eastAsiaTheme="minorEastAsia" w:hint="eastAsia"/>
          <w:sz w:val="24"/>
        </w:rPr>
        <w:t>200</w:t>
      </w:r>
      <w:r>
        <w:rPr>
          <w:rFonts w:eastAsiaTheme="minorEastAsia" w:hint="eastAsia"/>
          <w:sz w:val="24"/>
        </w:rPr>
        <w:t>余幅原创摄影作品，有助于读者大众更深入地了解长江母亲河、爱护母亲河</w:t>
      </w:r>
      <w:r w:rsidR="001E2F11">
        <w:rPr>
          <w:rFonts w:eastAsiaTheme="minorEastAsia" w:hint="eastAsia"/>
          <w:sz w:val="24"/>
        </w:rPr>
        <w:t>。</w:t>
      </w:r>
    </w:p>
    <w:p w14:paraId="5629E578"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lastRenderedPageBreak/>
        <w:t>《生命长江》科普丛书发布会现场，</w:t>
      </w:r>
      <w:r>
        <w:rPr>
          <w:rFonts w:eastAsiaTheme="minorEastAsia" w:hint="eastAsia"/>
          <w:sz w:val="24"/>
        </w:rPr>
        <w:t>150</w:t>
      </w:r>
      <w:r>
        <w:rPr>
          <w:rFonts w:eastAsiaTheme="minorEastAsia" w:hint="eastAsia"/>
          <w:sz w:val="24"/>
        </w:rPr>
        <w:t>余名来自北京市的中小学生还兴致勃勃地参观了《生命长江</w:t>
      </w:r>
      <w:r>
        <w:rPr>
          <w:rFonts w:eastAsiaTheme="minorEastAsia" w:hint="eastAsia"/>
          <w:sz w:val="24"/>
        </w:rPr>
        <w:t xml:space="preserve"> </w:t>
      </w:r>
      <w:r>
        <w:rPr>
          <w:rFonts w:eastAsiaTheme="minorEastAsia" w:hint="eastAsia"/>
          <w:sz w:val="24"/>
        </w:rPr>
        <w:t>生生不息——长江禁渔五年展》，现场聆听关于长江水生生物保护的专题讲座。清华附中管庄学校、平谷第三中学的学生代表在发布会上发出倡议，表示要争做长江保护的“小小宣传员”。</w:t>
      </w:r>
    </w:p>
    <w:p w14:paraId="205503F7"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发布会由中国农业出版社、中国科普作家协会农业科普创作专业委员会主办。在活动现场，向清华附中管庄学校、平谷第三中学的学生代表赠送了《生命长江》科普丛书。农业农村部长江流域渔政监督管理办公室、中国水产科学研究院及其所属长江水产研究所和珠江水产研究所、中国水产学会、中国渔业协会、北京市科学技术协会、北京可持续发展教育协会、上海海洋大学、浙江海洋大学、上海长鱼长江水生生物保护基金会等相关单位代表参加发布会。</w:t>
      </w:r>
    </w:p>
    <w:p w14:paraId="7885DD43" w14:textId="77777777" w:rsidR="000B4139" w:rsidRDefault="00000000">
      <w:pPr>
        <w:spacing w:line="360" w:lineRule="auto"/>
        <w:ind w:firstLine="426"/>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农业农村部新闻办公室</w:t>
      </w:r>
    </w:p>
    <w:p w14:paraId="42865EEE" w14:textId="77777777" w:rsidR="000B4139" w:rsidRDefault="00000000" w:rsidP="00870EC5">
      <w:pPr>
        <w:jc w:val="center"/>
        <w:outlineLvl w:val="1"/>
        <w:rPr>
          <w:rFonts w:eastAsiaTheme="minorEastAsia"/>
          <w:sz w:val="24"/>
        </w:rPr>
      </w:pPr>
      <w:bookmarkStart w:id="7" w:name="_Toc220673099"/>
      <w:r>
        <w:rPr>
          <w:rFonts w:eastAsia="黑体" w:hint="eastAsia"/>
          <w:b/>
          <w:bCs/>
          <w:sz w:val="32"/>
          <w:szCs w:val="32"/>
        </w:rPr>
        <w:t>2026</w:t>
      </w:r>
      <w:r>
        <w:rPr>
          <w:rFonts w:eastAsia="黑体" w:hint="eastAsia"/>
          <w:b/>
          <w:bCs/>
          <w:sz w:val="32"/>
          <w:szCs w:val="32"/>
        </w:rPr>
        <w:t>年福建省海洋与渔业工作会议在福州召开</w:t>
      </w:r>
      <w:bookmarkEnd w:id="7"/>
    </w:p>
    <w:p w14:paraId="37F4B996"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21</w:t>
      </w:r>
      <w:r>
        <w:rPr>
          <w:rFonts w:eastAsiaTheme="minorEastAsia" w:hint="eastAsia"/>
          <w:sz w:val="24"/>
        </w:rPr>
        <w:t>日，</w:t>
      </w:r>
      <w:r>
        <w:rPr>
          <w:rFonts w:eastAsiaTheme="minorEastAsia" w:hint="eastAsia"/>
          <w:sz w:val="24"/>
        </w:rPr>
        <w:t>2026</w:t>
      </w:r>
      <w:r>
        <w:rPr>
          <w:rFonts w:eastAsiaTheme="minorEastAsia" w:hint="eastAsia"/>
          <w:sz w:val="24"/>
        </w:rPr>
        <w:t>年全省海洋与渔业工作会议在福州召开。会议深入学习贯彻习近平总书记关于海洋强国建设重要论述和来闽考察重要讲话精神，全面贯彻党的二十大和二十届历次全会精神，贯彻落实中央经济工作会议、中央农村工作会议、全国农业农村厅局长会议、全国自然资源工作会议和省委十一届八次、九次全会，省委经济工作会议、省委农村工作会议精神，总结</w:t>
      </w:r>
      <w:r>
        <w:rPr>
          <w:rFonts w:eastAsiaTheme="minorEastAsia" w:hint="eastAsia"/>
          <w:sz w:val="24"/>
        </w:rPr>
        <w:t>2025</w:t>
      </w:r>
      <w:r>
        <w:rPr>
          <w:rFonts w:eastAsiaTheme="minorEastAsia" w:hint="eastAsia"/>
          <w:sz w:val="24"/>
        </w:rPr>
        <w:t>年海洋与渔业工作，分析研判当前形势，部署</w:t>
      </w:r>
      <w:r>
        <w:rPr>
          <w:rFonts w:eastAsiaTheme="minorEastAsia" w:hint="eastAsia"/>
          <w:sz w:val="24"/>
        </w:rPr>
        <w:t>2026</w:t>
      </w:r>
      <w:r>
        <w:rPr>
          <w:rFonts w:eastAsiaTheme="minorEastAsia" w:hint="eastAsia"/>
          <w:sz w:val="24"/>
        </w:rPr>
        <w:t>年重点任务。省海洋与渔业局党组书记、局长颜志煌出席会议并讲话。</w:t>
      </w:r>
    </w:p>
    <w:p w14:paraId="42808343"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会议传达学习周祖翼书记、赵龙省长、郭宁宁副书记、王永礼常务副省长、王金福副省长等省领导对海洋与渔业工作的批示要求。会议指出，</w:t>
      </w:r>
      <w:r>
        <w:rPr>
          <w:rFonts w:eastAsiaTheme="minorEastAsia" w:hint="eastAsia"/>
          <w:sz w:val="24"/>
        </w:rPr>
        <w:t>2025</w:t>
      </w:r>
      <w:r>
        <w:rPr>
          <w:rFonts w:eastAsiaTheme="minorEastAsia" w:hint="eastAsia"/>
          <w:sz w:val="24"/>
        </w:rPr>
        <w:t>年，全省海洋与渔业系统深入学习贯彻习近平总书记关于海洋强国建设重要论述和来闽考察重要讲话精神，认真按照省委、省政府部署要求，实现“十四五”顺利收官，高质量完成年度目标任务。</w:t>
      </w:r>
    </w:p>
    <w:p w14:paraId="57387E06"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主要工作及成效体现在九个方面：</w:t>
      </w:r>
    </w:p>
    <w:p w14:paraId="2D47A078"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党建引领作用更加突出。建成“经略海洋、向海图强”习近平总书记关于海洋强国建设重要论述福建实践主题展，推动</w:t>
      </w:r>
      <w:r>
        <w:rPr>
          <w:rFonts w:eastAsiaTheme="minorEastAsia" w:hint="eastAsia"/>
          <w:sz w:val="24"/>
        </w:rPr>
        <w:t>100</w:t>
      </w:r>
      <w:r>
        <w:rPr>
          <w:rFonts w:eastAsiaTheme="minorEastAsia" w:hint="eastAsia"/>
          <w:sz w:val="24"/>
        </w:rPr>
        <w:t>多家央地单位</w:t>
      </w:r>
      <w:r>
        <w:rPr>
          <w:rFonts w:eastAsiaTheme="minorEastAsia" w:hint="eastAsia"/>
          <w:sz w:val="24"/>
        </w:rPr>
        <w:t>5000</w:t>
      </w:r>
      <w:r>
        <w:rPr>
          <w:rFonts w:eastAsiaTheme="minorEastAsia" w:hint="eastAsia"/>
          <w:sz w:val="24"/>
        </w:rPr>
        <w:t>多人次前来联学共建。强化全面从严治党，在省直机关率先出台奋勇争先“正向激励”和“反向约束”机制，扎实开展深入贯彻中央八项规定精神学习教育，营造风清气正政治生态。</w:t>
      </w:r>
    </w:p>
    <w:p w14:paraId="2FE3F1D6"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政策赋能效应更加彰显。推动自然资源部出台加快海上福建建设专门支持政策。实施促进海洋与渔业高质量发展“八个专项行动计划”，创新打造强企惠渔资金项目全时在线、</w:t>
      </w:r>
      <w:r>
        <w:rPr>
          <w:rFonts w:eastAsiaTheme="minorEastAsia" w:hint="eastAsia"/>
          <w:sz w:val="24"/>
        </w:rPr>
        <w:lastRenderedPageBreak/>
        <w:t>一次性对外发布申报平台，实现政策全量聚合、免申即享。推动省蔚蓝海洋集团到位运行。推动</w:t>
      </w:r>
      <w:r>
        <w:rPr>
          <w:rFonts w:eastAsiaTheme="minorEastAsia" w:hint="eastAsia"/>
          <w:sz w:val="24"/>
        </w:rPr>
        <w:t>48</w:t>
      </w:r>
      <w:r>
        <w:rPr>
          <w:rFonts w:eastAsiaTheme="minorEastAsia" w:hint="eastAsia"/>
          <w:sz w:val="24"/>
        </w:rPr>
        <w:t>家金融机构</w:t>
      </w:r>
      <w:r>
        <w:rPr>
          <w:rFonts w:eastAsiaTheme="minorEastAsia" w:hint="eastAsia"/>
          <w:sz w:val="24"/>
        </w:rPr>
        <w:t>5</w:t>
      </w:r>
      <w:r>
        <w:rPr>
          <w:rFonts w:eastAsiaTheme="minorEastAsia" w:hint="eastAsia"/>
          <w:sz w:val="24"/>
        </w:rPr>
        <w:t>年内支持海洋领域意向性融资超</w:t>
      </w:r>
      <w:r>
        <w:rPr>
          <w:rFonts w:eastAsiaTheme="minorEastAsia" w:hint="eastAsia"/>
          <w:sz w:val="24"/>
        </w:rPr>
        <w:t>3800</w:t>
      </w:r>
      <w:r>
        <w:rPr>
          <w:rFonts w:eastAsiaTheme="minorEastAsia" w:hint="eastAsia"/>
          <w:sz w:val="24"/>
        </w:rPr>
        <w:t>亿元。</w:t>
      </w:r>
    </w:p>
    <w:p w14:paraId="56C17B34"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新质发展动能更加强劲。开展推进海洋经济高质量发展百场项目对接，吸引</w:t>
      </w:r>
      <w:r>
        <w:rPr>
          <w:rFonts w:eastAsiaTheme="minorEastAsia" w:hint="eastAsia"/>
          <w:sz w:val="24"/>
        </w:rPr>
        <w:t>18</w:t>
      </w:r>
      <w:r>
        <w:rPr>
          <w:rFonts w:eastAsiaTheme="minorEastAsia" w:hint="eastAsia"/>
          <w:sz w:val="24"/>
        </w:rPr>
        <w:t>家大院大所、</w:t>
      </w:r>
      <w:r>
        <w:rPr>
          <w:rFonts w:eastAsiaTheme="minorEastAsia" w:hint="eastAsia"/>
          <w:sz w:val="24"/>
        </w:rPr>
        <w:t>28</w:t>
      </w:r>
      <w:r>
        <w:rPr>
          <w:rFonts w:eastAsiaTheme="minorEastAsia" w:hint="eastAsia"/>
          <w:sz w:val="24"/>
        </w:rPr>
        <w:t>个院士团队、</w:t>
      </w:r>
      <w:r>
        <w:rPr>
          <w:rFonts w:eastAsiaTheme="minorEastAsia" w:hint="eastAsia"/>
          <w:sz w:val="24"/>
        </w:rPr>
        <w:t>1000</w:t>
      </w:r>
      <w:r>
        <w:rPr>
          <w:rFonts w:eastAsiaTheme="minorEastAsia" w:hint="eastAsia"/>
          <w:sz w:val="24"/>
        </w:rPr>
        <w:t>余名行业专家聚力创新攻关，促成总投资超</w:t>
      </w:r>
      <w:r>
        <w:rPr>
          <w:rFonts w:eastAsiaTheme="minorEastAsia" w:hint="eastAsia"/>
          <w:sz w:val="24"/>
        </w:rPr>
        <w:t>737</w:t>
      </w:r>
      <w:r>
        <w:rPr>
          <w:rFonts w:eastAsiaTheme="minorEastAsia" w:hint="eastAsia"/>
          <w:sz w:val="24"/>
        </w:rPr>
        <w:t>亿元</w:t>
      </w:r>
      <w:r>
        <w:rPr>
          <w:rFonts w:eastAsiaTheme="minorEastAsia" w:hint="eastAsia"/>
          <w:sz w:val="24"/>
        </w:rPr>
        <w:t>526</w:t>
      </w:r>
      <w:r>
        <w:rPr>
          <w:rFonts w:eastAsiaTheme="minorEastAsia" w:hint="eastAsia"/>
          <w:sz w:val="24"/>
        </w:rPr>
        <w:t>项标志性海洋项目签约落地转化。首倡建设一体化大融合“海上福建”总平台，破题规划建设零碳智慧新能源岛。福州、厦门全国海洋经济发展示范区优先发展。推动海洋大健康产业发展，海洋生物医药等新兴产业增加值增速</w:t>
      </w:r>
      <w:r>
        <w:rPr>
          <w:rFonts w:eastAsiaTheme="minorEastAsia" w:hint="eastAsia"/>
          <w:sz w:val="24"/>
        </w:rPr>
        <w:t>10%</w:t>
      </w:r>
      <w:r>
        <w:rPr>
          <w:rFonts w:eastAsiaTheme="minorEastAsia" w:hint="eastAsia"/>
          <w:sz w:val="24"/>
        </w:rPr>
        <w:t>左右，海洋碳汇交易额占全国一半以上。</w:t>
      </w:r>
    </w:p>
    <w:p w14:paraId="57A05946"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福海粮仓建设更加扎实。马友鱼、无边海带等</w:t>
      </w:r>
      <w:r>
        <w:rPr>
          <w:rFonts w:eastAsiaTheme="minorEastAsia" w:hint="eastAsia"/>
          <w:sz w:val="24"/>
        </w:rPr>
        <w:t>26</w:t>
      </w:r>
      <w:r>
        <w:rPr>
          <w:rFonts w:eastAsiaTheme="minorEastAsia" w:hint="eastAsia"/>
          <w:sz w:val="24"/>
        </w:rPr>
        <w:t>个品种育苗技术实现新突破，良种覆盖率</w:t>
      </w:r>
      <w:r>
        <w:rPr>
          <w:rFonts w:eastAsiaTheme="minorEastAsia" w:hint="eastAsia"/>
          <w:sz w:val="24"/>
        </w:rPr>
        <w:t>85%</w:t>
      </w:r>
      <w:r>
        <w:rPr>
          <w:rFonts w:eastAsiaTheme="minorEastAsia" w:hint="eastAsia"/>
          <w:sz w:val="24"/>
        </w:rPr>
        <w:t>。设施渔业产量占全省水产养殖总产量超</w:t>
      </w:r>
      <w:r>
        <w:rPr>
          <w:rFonts w:eastAsiaTheme="minorEastAsia" w:hint="eastAsia"/>
          <w:sz w:val="24"/>
        </w:rPr>
        <w:t>75%</w:t>
      </w:r>
      <w:r>
        <w:rPr>
          <w:rFonts w:eastAsiaTheme="minorEastAsia" w:hint="eastAsia"/>
          <w:sz w:val="24"/>
        </w:rPr>
        <w:t>，深远海养殖规模全国第一。加快渔业品牌矩阵推广，水产加工年产量约</w:t>
      </w:r>
      <w:r>
        <w:rPr>
          <w:rFonts w:eastAsiaTheme="minorEastAsia" w:hint="eastAsia"/>
          <w:sz w:val="24"/>
        </w:rPr>
        <w:t>500</w:t>
      </w:r>
      <w:r>
        <w:rPr>
          <w:rFonts w:eastAsiaTheme="minorEastAsia" w:hint="eastAsia"/>
          <w:sz w:val="24"/>
        </w:rPr>
        <w:t>万吨、产值超</w:t>
      </w:r>
      <w:r>
        <w:rPr>
          <w:rFonts w:eastAsiaTheme="minorEastAsia" w:hint="eastAsia"/>
          <w:sz w:val="24"/>
        </w:rPr>
        <w:t>1200</w:t>
      </w:r>
      <w:r>
        <w:rPr>
          <w:rFonts w:eastAsiaTheme="minorEastAsia" w:hint="eastAsia"/>
          <w:sz w:val="24"/>
        </w:rPr>
        <w:t>亿元，居全国第二。水产品出口量首次突破</w:t>
      </w:r>
      <w:r>
        <w:rPr>
          <w:rFonts w:eastAsiaTheme="minorEastAsia" w:hint="eastAsia"/>
          <w:sz w:val="24"/>
        </w:rPr>
        <w:t>110</w:t>
      </w:r>
      <w:r>
        <w:rPr>
          <w:rFonts w:eastAsiaTheme="minorEastAsia" w:hint="eastAsia"/>
          <w:sz w:val="24"/>
        </w:rPr>
        <w:t>万吨，出口额居全国第一。</w:t>
      </w:r>
    </w:p>
    <w:p w14:paraId="3D8DB509"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开放合作空间更加广阔。成立福建国际海洋与渔业交流合作中心，推进与国际友好城市、共建“一带一路”国家合作。承办国际渔业科技与创新大会，举办首届闽台渔业合作论坛，成立海峡两岸海洋经济促进会。用好世界航海装备大会、厦门国际海洋周等重要展会平台，福州国际渔博会规模跃居全球渔业专业展第二。首次申请设立《海洋生物多样性协定》秘书处并争取设在厦门。</w:t>
      </w:r>
    </w:p>
    <w:p w14:paraId="0066F59C"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海洋生态底色更加靓丽。全国水生生物同步增殖放流主场活动在我省举行。“十四五”全省累计放流水生生物超</w:t>
      </w:r>
      <w:r>
        <w:rPr>
          <w:rFonts w:eastAsiaTheme="minorEastAsia" w:hint="eastAsia"/>
          <w:sz w:val="24"/>
        </w:rPr>
        <w:t>400</w:t>
      </w:r>
      <w:r>
        <w:rPr>
          <w:rFonts w:eastAsiaTheme="minorEastAsia" w:hint="eastAsia"/>
          <w:sz w:val="24"/>
        </w:rPr>
        <w:t>亿单位。海洋伏季休渔和闽江禁渔成效为历年最好。首次发布《福建省海洋生态预警监测公报》。超规划海水养殖“动态清零”，养殖尾水治理“一张图”迭代升级。</w:t>
      </w:r>
    </w:p>
    <w:p w14:paraId="08E92543"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民生服务保障更加完善。向全国推广水产品“批批速测”预检制度、大黄鱼锥体虫病防治八法，水产品质量安全产地抽检合格率</w:t>
      </w:r>
      <w:r>
        <w:rPr>
          <w:rFonts w:eastAsiaTheme="minorEastAsia" w:hint="eastAsia"/>
          <w:sz w:val="24"/>
        </w:rPr>
        <w:t>99.8%</w:t>
      </w:r>
      <w:r>
        <w:rPr>
          <w:rFonts w:eastAsiaTheme="minorEastAsia" w:hint="eastAsia"/>
          <w:sz w:val="24"/>
        </w:rPr>
        <w:t>。海洋智能网格预报水平全国领先。组建覆盖全系统的一体化高效协同应急指挥中心。支持成立中国渔业互助保险社福建分社，水产养殖保险总规模蝉联全国首位，渔业风险保障金超千亿元，居全国第二。</w:t>
      </w:r>
    </w:p>
    <w:p w14:paraId="734728AC"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海洋文化品牌更加鲜明。促进海洋文化建设与海洋经济深度耦合，举办第四届福建省海洋文化论坛，推进建设全域海岸线美丽渔村。举办首届海洋开放日、开海文化季活动，共建全国首个省级海洋频道，原创“阿浪出海季”系列特色动漫向全国推广。全年全系统舆论好评正向报道超</w:t>
      </w:r>
      <w:r>
        <w:rPr>
          <w:rFonts w:eastAsiaTheme="minorEastAsia" w:hint="eastAsia"/>
          <w:sz w:val="24"/>
        </w:rPr>
        <w:t>2000</w:t>
      </w:r>
      <w:r>
        <w:rPr>
          <w:rFonts w:eastAsiaTheme="minorEastAsia" w:hint="eastAsia"/>
          <w:sz w:val="24"/>
        </w:rPr>
        <w:t>条，累计传播量突破</w:t>
      </w:r>
      <w:r>
        <w:rPr>
          <w:rFonts w:eastAsiaTheme="minorEastAsia" w:hint="eastAsia"/>
          <w:sz w:val="24"/>
        </w:rPr>
        <w:t>10</w:t>
      </w:r>
      <w:r>
        <w:rPr>
          <w:rFonts w:eastAsiaTheme="minorEastAsia" w:hint="eastAsia"/>
          <w:sz w:val="24"/>
        </w:rPr>
        <w:t>亿次。</w:t>
      </w:r>
    </w:p>
    <w:p w14:paraId="0BF03295" w14:textId="58417677" w:rsidR="000B4139" w:rsidRDefault="00000000" w:rsidP="000427A1">
      <w:pPr>
        <w:spacing w:line="360" w:lineRule="auto"/>
        <w:ind w:firstLineChars="200" w:firstLine="480"/>
        <w:rPr>
          <w:rFonts w:eastAsiaTheme="minorEastAsia"/>
          <w:sz w:val="24"/>
        </w:rPr>
      </w:pPr>
      <w:r>
        <w:rPr>
          <w:rFonts w:eastAsiaTheme="minorEastAsia" w:hint="eastAsia"/>
          <w:sz w:val="24"/>
        </w:rPr>
        <w:t>海上安全生产更加稳定。在全国率先实现“海上一支队伍管执法”，强化执法队伍“标</w:t>
      </w:r>
      <w:r>
        <w:rPr>
          <w:rFonts w:eastAsiaTheme="minorEastAsia" w:hint="eastAsia"/>
          <w:sz w:val="24"/>
        </w:rPr>
        <w:lastRenderedPageBreak/>
        <w:t>准化、规范化、专业化、正规化”建设。推动全省</w:t>
      </w:r>
      <w:r>
        <w:rPr>
          <w:rFonts w:eastAsiaTheme="minorEastAsia" w:hint="eastAsia"/>
          <w:sz w:val="24"/>
        </w:rPr>
        <w:t>1.2</w:t>
      </w:r>
      <w:r>
        <w:rPr>
          <w:rFonts w:eastAsiaTheme="minorEastAsia" w:hint="eastAsia"/>
          <w:sz w:val="24"/>
        </w:rPr>
        <w:t>万余艘在册渔船和</w:t>
      </w:r>
      <w:r>
        <w:rPr>
          <w:rFonts w:eastAsiaTheme="minorEastAsia" w:hint="eastAsia"/>
          <w:sz w:val="24"/>
        </w:rPr>
        <w:t>10.7</w:t>
      </w:r>
      <w:r>
        <w:rPr>
          <w:rFonts w:eastAsiaTheme="minorEastAsia" w:hint="eastAsia"/>
          <w:sz w:val="24"/>
        </w:rPr>
        <w:t>万余艘乡镇船舶全部纳入常态化管理，出海涉渔船舶船载定位终端在线率实现</w:t>
      </w:r>
      <w:r>
        <w:rPr>
          <w:rFonts w:eastAsiaTheme="minorEastAsia" w:hint="eastAsia"/>
          <w:sz w:val="24"/>
        </w:rPr>
        <w:t>100%</w:t>
      </w:r>
      <w:r>
        <w:rPr>
          <w:rFonts w:eastAsiaTheme="minorEastAsia" w:hint="eastAsia"/>
          <w:sz w:val="24"/>
        </w:rPr>
        <w:t>。集中履行海上渔业安全生产、海洋生态保护、海域海岛开发监管执法职能，海上安全生产事故险情同比大幅降低，海洋资源开发秩序持续向好。</w:t>
      </w:r>
    </w:p>
    <w:p w14:paraId="18D13C3F"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会议强调</w:t>
      </w:r>
    </w:p>
    <w:p w14:paraId="2E01069E"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2026</w:t>
      </w:r>
      <w:r>
        <w:rPr>
          <w:rFonts w:eastAsiaTheme="minorEastAsia" w:hint="eastAsia"/>
          <w:sz w:val="24"/>
        </w:rPr>
        <w:t>年是“十五五”开局之年。要坚持以习近平新时代中国特色社会主义思想为指导，全面贯彻党的二十大和二十届历次全会精神，深入贯彻落实习近平总书记对福建工作的重要讲话重要指示批示精神，强化海洋强省建设首责部门担当，锚定建设高水平海上福建目标，突出海湾、海岛、海域一体推进，深化改革创新，突出新质发展，做大做强海洋经济，大力发展兴海富民特色产业，全面推进海洋与渔业现代化建设。传承弘扬“三个跟进”经验做法，坚持一手抓海洋发展，一手抓海洋治理，加强海洋生态文明建设，提升海洋综合治理效能，扎实做好海洋开发利用保护这篇大文章，推动“十五五”开好局、起好步。</w:t>
      </w:r>
    </w:p>
    <w:p w14:paraId="7867AB0B"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会议要求</w:t>
      </w:r>
    </w:p>
    <w:p w14:paraId="3C19C86C"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2026</w:t>
      </w:r>
      <w:r>
        <w:rPr>
          <w:rFonts w:eastAsiaTheme="minorEastAsia" w:hint="eastAsia"/>
          <w:sz w:val="24"/>
        </w:rPr>
        <w:t>年要重点做好八个方面工作：</w:t>
      </w:r>
    </w:p>
    <w:p w14:paraId="442AA1CA"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一是坚持高位推动，强化海洋开发利用保护。配合编制好“十五五”海上福建建设规划，加快编制海洋强省建设中长期发展战略设想。开展海洋综合调查，推进海湾经济、海岛经济发展规划研究。实施自然资源部支持海上福建建设专项政策工作清单，深化促进海洋与渔业高质量发展“八个专项行动计划”。优化强企惠渔资金项目申报平台。推动成立福建省海洋标准化技术委员会。制定新一轮全国海洋经济发展示范区建设方案，支持规划建设海洋高新区。分类有序推进海岛开发，提速建设东洛零碳智慧新能源岛。推动建立省级层面涉海事务高效协同机制。优化提升海洋经济运行监测与评估机制。</w:t>
      </w:r>
    </w:p>
    <w:p w14:paraId="328D91F5"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二是坚持新质发展，培育海洋经济新增长点。实施海洋科技创新“洪流计划”，深化推进海洋经济高质量发展百场项目对接、落地、实施，打造以蔚蓝海洋集团为牵引的海洋链主企业。实施海洋英才计划。推动培育一批千亿级海洋产业集群，着力发展百亿级特色赛道、前瞻布局若干个十亿级未来产业。围绕海洋大健康、海洋生物医药等关键领域，孵化百项以上新技术、新产品、新标准。加快电动渔船研发应用。丰富海钓、游艇新业态。实施“深海工程”。规划建设海洋新型基础设施，提速建设一体化大融合“海上福建”总平台。设立海洋产业基金。</w:t>
      </w:r>
    </w:p>
    <w:p w14:paraId="7C253A18"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三是坚持向新向优，推进福海粮仓提质增效。推进水产种质资源活体保种场、深远海</w:t>
      </w:r>
      <w:r>
        <w:rPr>
          <w:rFonts w:eastAsiaTheme="minorEastAsia" w:hint="eastAsia"/>
          <w:sz w:val="24"/>
        </w:rPr>
        <w:lastRenderedPageBreak/>
        <w:t>物种核心种源基地建设。实施第五轮水产种业创新与产业化工程，推动若干个突破性新品种量产。实施设施渔业装备提升工程，依托海岛探索建设深远海养殖保障基地，力争设施渔业产量占全省水产养殖总产量</w:t>
      </w:r>
      <w:r>
        <w:rPr>
          <w:rFonts w:eastAsiaTheme="minorEastAsia" w:hint="eastAsia"/>
          <w:sz w:val="24"/>
        </w:rPr>
        <w:t>80%</w:t>
      </w:r>
      <w:r>
        <w:rPr>
          <w:rFonts w:eastAsiaTheme="minorEastAsia" w:hint="eastAsia"/>
          <w:sz w:val="24"/>
        </w:rPr>
        <w:t>以上。推进水产加工“十百千”工程，实施“福海粮仓”品牌矩阵发展计划，推进“</w:t>
      </w:r>
      <w:r>
        <w:rPr>
          <w:rFonts w:eastAsiaTheme="minorEastAsia" w:hint="eastAsia"/>
          <w:sz w:val="24"/>
        </w:rPr>
        <w:t>1+7</w:t>
      </w:r>
      <w:r>
        <w:rPr>
          <w:rFonts w:eastAsiaTheme="minorEastAsia" w:hint="eastAsia"/>
          <w:sz w:val="24"/>
        </w:rPr>
        <w:t>”特色渔业产业集群培育行动。</w:t>
      </w:r>
    </w:p>
    <w:p w14:paraId="3B329F9C"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四是坚持人海和谐，加强海洋生态文明建设。全面淘汰传统网箱和泡沫浮球筏式养殖设施。推进水产健康养殖“五大行动”。发展大水面生态养殖，推广稻渔综合种养、高效山塘养殖模式。推进海上超规划养殖“动态清零”，加强养殖尾水治理。开展全省海洋生态预警监测。推进海洋生物多样性协定履约，实施台湾海峡渔业资源养护和传统渔场修复计划，加强水生野生动物保护。严格执行海洋伏季休渔与闽江禁渔制度。实施海洋渔业增汇行动，加强蓝碳司法衔接。</w:t>
      </w:r>
    </w:p>
    <w:p w14:paraId="2021E4F0"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五是坚持合作共赢，拓展海洋经济发展空间。发挥福建国际海洋与渔业交流合作中心作用，深度参与全球海洋治理。推动福建海洋文化论坛升格为中国海洋文化论坛，推进中国海洋馆建设。加快建设全域海岸线美丽渔村。加快南极磷虾全产业链建设布局。持续办好闽台渔业合作论坛，策划推动海洋领域闽台乡建乡创合作项目。举办闽宁渔业协作</w:t>
      </w:r>
      <w:r>
        <w:rPr>
          <w:rFonts w:eastAsiaTheme="minorEastAsia" w:hint="eastAsia"/>
          <w:sz w:val="24"/>
        </w:rPr>
        <w:t>30</w:t>
      </w:r>
      <w:r>
        <w:rPr>
          <w:rFonts w:eastAsiaTheme="minorEastAsia" w:hint="eastAsia"/>
          <w:sz w:val="24"/>
        </w:rPr>
        <w:t>周年对接活动。探索推进与新疆、青海等地深化开展“海鱼陆养”，与云南等地开展工厂化循环水养殖合作试点。</w:t>
      </w:r>
    </w:p>
    <w:p w14:paraId="4F5886AE"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六是坚持民生导向，推动优质服务可感可及。加强水产品质量安全监管，推进水产养殖用药减量行动。加快建设国家海洋大数据中心东南分中心，国家海洋卫星台湾海峡大数据应用中心，建设湄洲岛妈祖海洋防灾减灾示范站。深化海气融合，探索开展海水倒灌风险预警监测。开展新一轮渔港及渔港经济区布局与规划。推进渔业保险增点扩面提标。优化海洋营商环境，加强法治海洋建设。</w:t>
      </w:r>
    </w:p>
    <w:p w14:paraId="6217C4A6" w14:textId="626A9E87" w:rsidR="000B4139" w:rsidRDefault="00000000" w:rsidP="007663FC">
      <w:pPr>
        <w:spacing w:line="360" w:lineRule="auto"/>
        <w:ind w:firstLineChars="200" w:firstLine="480"/>
        <w:rPr>
          <w:rFonts w:eastAsiaTheme="minorEastAsia"/>
          <w:sz w:val="24"/>
        </w:rPr>
      </w:pPr>
      <w:r>
        <w:rPr>
          <w:rFonts w:eastAsiaTheme="minorEastAsia" w:hint="eastAsia"/>
          <w:sz w:val="24"/>
        </w:rPr>
        <w:t>七是坚持系统施策，提升海洋综合治理水平。持续开展船载定位终端专项整治，推动“当日离线、当日复线”要求落实到位。深入开展海洋渔船安全生产专项整治、“百站千员万船”安全智慧提升工程。推进渔船现代化改造，扩大渔船电动化试点。制定乡镇船舶更新改造政策措施。探索建立第三方检查机制，落实出海渔船“每船必检”“每船必查”。推进海洋与渔业执法“标准化、规范化、专业化、正规化”建设。推进省市县三级应急指挥中心标准化建设。</w:t>
      </w:r>
    </w:p>
    <w:p w14:paraId="44E00A9E" w14:textId="48344FAD" w:rsidR="000B4139" w:rsidRDefault="00000000" w:rsidP="000427A1">
      <w:pPr>
        <w:spacing w:line="360" w:lineRule="auto"/>
        <w:ind w:firstLineChars="200" w:firstLine="480"/>
        <w:rPr>
          <w:rFonts w:eastAsiaTheme="minorEastAsia"/>
          <w:sz w:val="24"/>
        </w:rPr>
      </w:pPr>
      <w:r>
        <w:rPr>
          <w:rFonts w:eastAsiaTheme="minorEastAsia" w:hint="eastAsia"/>
          <w:sz w:val="24"/>
        </w:rPr>
        <w:t>八是坚持党建引领，凝聚海上福建建设合力。发挥“经略海洋、向海图强”习近平总书记关于海洋强国建设重要论述福建实践主题展主题教育阵地作用。创新打造一批行业特色</w:t>
      </w:r>
      <w:r>
        <w:rPr>
          <w:rFonts w:eastAsiaTheme="minorEastAsia" w:hint="eastAsia"/>
          <w:sz w:val="24"/>
        </w:rPr>
        <w:lastRenderedPageBreak/>
        <w:t>鲜明、示范效应突出的党建品牌。树立和践行正确政绩观，深入开展“三争”行动，深化运用“正向激励”和“反向约束”机制，开展领导干部开放式述职会。巩固拓展学习教育成果</w:t>
      </w:r>
      <w:r w:rsidR="007663FC">
        <w:rPr>
          <w:rFonts w:eastAsiaTheme="minorEastAsia"/>
          <w:sz w:val="24"/>
        </w:rPr>
        <w:t>,</w:t>
      </w:r>
      <w:r>
        <w:rPr>
          <w:rFonts w:eastAsiaTheme="minorEastAsia" w:hint="eastAsia"/>
          <w:sz w:val="24"/>
        </w:rPr>
        <w:t>推进作风建设常态化长效化</w:t>
      </w:r>
      <w:r w:rsidR="007663FC">
        <w:rPr>
          <w:rFonts w:eastAsiaTheme="minorEastAsia"/>
          <w:sz w:val="24"/>
        </w:rPr>
        <w:t>,</w:t>
      </w:r>
      <w:r>
        <w:rPr>
          <w:rFonts w:eastAsiaTheme="minorEastAsia" w:hint="eastAsia"/>
          <w:sz w:val="24"/>
        </w:rPr>
        <w:t>抓好强企惠渔资金全链条监管</w:t>
      </w:r>
      <w:r w:rsidR="007663FC">
        <w:rPr>
          <w:rFonts w:eastAsiaTheme="minorEastAsia"/>
          <w:sz w:val="24"/>
        </w:rPr>
        <w:t>,</w:t>
      </w:r>
      <w:r>
        <w:rPr>
          <w:rFonts w:eastAsiaTheme="minorEastAsia" w:hint="eastAsia"/>
          <w:sz w:val="24"/>
        </w:rPr>
        <w:t>推进全面从严治党向纵深发展。</w:t>
      </w:r>
    </w:p>
    <w:p w14:paraId="620421F8" w14:textId="77777777" w:rsidR="000B4139" w:rsidRDefault="00000000" w:rsidP="000427A1">
      <w:pPr>
        <w:spacing w:line="360" w:lineRule="auto"/>
        <w:ind w:firstLineChars="200" w:firstLine="480"/>
        <w:rPr>
          <w:rFonts w:eastAsiaTheme="minorEastAsia"/>
          <w:sz w:val="24"/>
        </w:rPr>
      </w:pPr>
      <w:r>
        <w:rPr>
          <w:rFonts w:eastAsiaTheme="minorEastAsia" w:hint="eastAsia"/>
          <w:sz w:val="24"/>
        </w:rPr>
        <w:t>会上，福州市、厦门市、漳州市、莆田市及诏安县、晋江市、新罗区、福安市等</w:t>
      </w:r>
      <w:r>
        <w:rPr>
          <w:rFonts w:eastAsiaTheme="minorEastAsia" w:hint="eastAsia"/>
          <w:sz w:val="24"/>
        </w:rPr>
        <w:t>8</w:t>
      </w:r>
      <w:r>
        <w:rPr>
          <w:rFonts w:eastAsiaTheme="minorEastAsia" w:hint="eastAsia"/>
          <w:sz w:val="24"/>
        </w:rPr>
        <w:t>个市、县（区）海洋与渔业行政主管部门，分别围绕数字赋能海洋经济高质量发展、海洋新兴产业发展、涉渔船舶管理、鲍鱼全产业链打造、深远海养殖产业发展、渔业品牌建设、渔业绿色循环发展、电动渔船推广应用作交流发言。</w:t>
      </w:r>
    </w:p>
    <w:p w14:paraId="53980760" w14:textId="7EB82CDD" w:rsidR="000B4139" w:rsidRDefault="00000000" w:rsidP="00096970">
      <w:pPr>
        <w:autoSpaceDE w:val="0"/>
        <w:spacing w:line="360" w:lineRule="auto"/>
        <w:ind w:firstLineChars="200" w:firstLine="480"/>
        <w:rPr>
          <w:rFonts w:eastAsiaTheme="minorEastAsia"/>
          <w:sz w:val="24"/>
        </w:rPr>
      </w:pPr>
      <w:r>
        <w:rPr>
          <w:rFonts w:eastAsiaTheme="minorEastAsia" w:hint="eastAsia"/>
          <w:sz w:val="24"/>
        </w:rPr>
        <w:t>省局领导，执法总队总队长、政委，局二级巡视员，总工，驻局纪检监察组和各处室全体干部，在榕局属单位主要负责同志，有关省级海洋与渔业协会、学会主要负责同志在主会场参会</w:t>
      </w:r>
      <w:r w:rsidR="00096970">
        <w:rPr>
          <w:rFonts w:eastAsiaTheme="minorEastAsia"/>
          <w:sz w:val="24"/>
        </w:rPr>
        <w:t>;</w:t>
      </w:r>
      <w:r>
        <w:rPr>
          <w:rFonts w:eastAsiaTheme="minorEastAsia" w:hint="eastAsia"/>
          <w:sz w:val="24"/>
        </w:rPr>
        <w:t>各设区市海洋与渔业行政主管部门、平潭综合实验区农业农村局领导班子和科室、执法机构主要负责同志</w:t>
      </w:r>
      <w:r w:rsidR="00096970">
        <w:rPr>
          <w:rFonts w:eastAsiaTheme="minorEastAsia"/>
          <w:sz w:val="24"/>
        </w:rPr>
        <w:t>,</w:t>
      </w:r>
      <w:r>
        <w:rPr>
          <w:rFonts w:eastAsiaTheme="minorEastAsia" w:hint="eastAsia"/>
          <w:sz w:val="24"/>
        </w:rPr>
        <w:t>连江、诏安、东山、晋江、惠安、秀屿、新罗、福鼎、福安等</w:t>
      </w:r>
      <w:r>
        <w:rPr>
          <w:rFonts w:eastAsiaTheme="minorEastAsia" w:hint="eastAsia"/>
          <w:sz w:val="24"/>
        </w:rPr>
        <w:t>9</w:t>
      </w:r>
      <w:r>
        <w:rPr>
          <w:rFonts w:eastAsiaTheme="minorEastAsia" w:hint="eastAsia"/>
          <w:sz w:val="24"/>
        </w:rPr>
        <w:t>个县</w:t>
      </w:r>
      <w:r w:rsidR="00096970">
        <w:rPr>
          <w:rFonts w:eastAsiaTheme="minorEastAsia" w:hint="eastAsia"/>
          <w:sz w:val="24"/>
        </w:rPr>
        <w:t>(</w:t>
      </w:r>
      <w:r w:rsidR="00096970">
        <w:rPr>
          <w:rFonts w:eastAsiaTheme="minorEastAsia" w:hint="eastAsia"/>
          <w:sz w:val="24"/>
        </w:rPr>
        <w:t>市、区</w:t>
      </w:r>
      <w:r w:rsidR="00096970">
        <w:rPr>
          <w:rFonts w:eastAsiaTheme="minorEastAsia" w:hint="eastAsia"/>
          <w:sz w:val="24"/>
        </w:rPr>
        <w:t>)</w:t>
      </w:r>
      <w:r>
        <w:rPr>
          <w:rFonts w:eastAsiaTheme="minorEastAsia" w:hint="eastAsia"/>
          <w:sz w:val="24"/>
        </w:rPr>
        <w:t>海洋与渔业行政主管部门主要负责同志</w:t>
      </w:r>
      <w:r w:rsidR="007663FC">
        <w:rPr>
          <w:rFonts w:eastAsiaTheme="minorEastAsia"/>
          <w:sz w:val="24"/>
        </w:rPr>
        <w:t>,</w:t>
      </w:r>
      <w:r>
        <w:rPr>
          <w:rFonts w:eastAsiaTheme="minorEastAsia" w:hint="eastAsia"/>
          <w:sz w:val="24"/>
        </w:rPr>
        <w:t>以及局属单位全体干部在分会场参会。</w:t>
      </w:r>
    </w:p>
    <w:p w14:paraId="0A5FD761" w14:textId="77777777" w:rsidR="000B4139" w:rsidRDefault="00000000" w:rsidP="000427A1">
      <w:pPr>
        <w:spacing w:line="360" w:lineRule="auto"/>
        <w:ind w:firstLineChars="200" w:firstLine="420"/>
        <w:jc w:val="right"/>
        <w:rPr>
          <w:rStyle w:val="vm"/>
          <w:rFonts w:eastAsiaTheme="minorEastAsia"/>
          <w:szCs w:val="21"/>
        </w:rPr>
      </w:pPr>
      <w:r>
        <w:rPr>
          <w:rStyle w:val="vm"/>
          <w:rFonts w:eastAsiaTheme="minorEastAsia"/>
          <w:szCs w:val="21"/>
        </w:rPr>
        <w:t>转摘自</w:t>
      </w:r>
      <w:r>
        <w:rPr>
          <w:rStyle w:val="vm"/>
          <w:rFonts w:eastAsiaTheme="minorEastAsia" w:hint="eastAsia"/>
          <w:szCs w:val="21"/>
        </w:rPr>
        <w:t>福建省海洋与渔业局</w:t>
      </w:r>
    </w:p>
    <w:p w14:paraId="19D64E20" w14:textId="77777777" w:rsidR="000B4139" w:rsidRDefault="00000000" w:rsidP="00870EC5">
      <w:pPr>
        <w:spacing w:line="276" w:lineRule="auto"/>
        <w:jc w:val="left"/>
        <w:outlineLvl w:val="0"/>
        <w:rPr>
          <w:rStyle w:val="vm"/>
          <w:rFonts w:eastAsia="黑体"/>
          <w:b/>
          <w:bCs/>
          <w:sz w:val="32"/>
          <w:szCs w:val="32"/>
          <w:bdr w:val="single" w:sz="4" w:space="0" w:color="auto"/>
        </w:rPr>
      </w:pPr>
      <w:bookmarkStart w:id="8" w:name="_Toc220673100"/>
      <w:bookmarkEnd w:id="1"/>
      <w:r>
        <w:rPr>
          <w:rStyle w:val="vm"/>
          <w:rFonts w:eastAsia="黑体"/>
          <w:b/>
          <w:bCs/>
          <w:sz w:val="32"/>
          <w:szCs w:val="32"/>
          <w:bdr w:val="single" w:sz="4" w:space="0" w:color="auto"/>
        </w:rPr>
        <w:t>行业资讯</w:t>
      </w:r>
      <w:bookmarkEnd w:id="8"/>
    </w:p>
    <w:p w14:paraId="4D7FE9B5" w14:textId="77777777" w:rsidR="000B4139" w:rsidRDefault="00000000" w:rsidP="00870EC5">
      <w:pPr>
        <w:spacing w:line="360" w:lineRule="auto"/>
        <w:jc w:val="center"/>
        <w:outlineLvl w:val="1"/>
        <w:rPr>
          <w:rFonts w:eastAsia="黑体"/>
          <w:b/>
          <w:bCs/>
          <w:sz w:val="32"/>
          <w:szCs w:val="32"/>
        </w:rPr>
      </w:pPr>
      <w:bookmarkStart w:id="9" w:name="_Toc220673101"/>
      <w:r>
        <w:rPr>
          <w:rFonts w:eastAsia="黑体" w:hint="eastAsia"/>
          <w:b/>
          <w:bCs/>
          <w:sz w:val="32"/>
          <w:szCs w:val="32"/>
        </w:rPr>
        <w:t>福建自主繁育的首批克隆裙带菜嫩苗养殖获得成功</w:t>
      </w:r>
      <w:bookmarkEnd w:id="9"/>
    </w:p>
    <w:p w14:paraId="3F35948E" w14:textId="77777777" w:rsidR="000B4139" w:rsidRDefault="00000000">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22</w:t>
      </w:r>
      <w:r>
        <w:rPr>
          <w:rFonts w:eastAsiaTheme="minorEastAsia" w:hint="eastAsia"/>
          <w:sz w:val="24"/>
        </w:rPr>
        <w:t>日，霞浦县三沙镇东壁村海区，</w:t>
      </w:r>
      <w:r>
        <w:rPr>
          <w:rFonts w:eastAsiaTheme="minorEastAsia" w:hint="eastAsia"/>
          <w:sz w:val="24"/>
        </w:rPr>
        <w:t>100</w:t>
      </w:r>
      <w:r>
        <w:rPr>
          <w:rFonts w:eastAsiaTheme="minorEastAsia" w:hint="eastAsia"/>
          <w:sz w:val="24"/>
        </w:rPr>
        <w:t>亩示范养殖的首批“南育”克隆裙带菜嫩苗顺利通过验收。首批嫩苗收获上岸后，第一时间送往加工企业实验室进行检测与漂烫试验。验收专家组认为，示范养殖的嫩苗产品口感脆嫩、品相佳，适宜作为嫩苗加工原料，达到加工上市标准，这意味着裙带菜“南苗南养”取得关键进展。</w:t>
      </w:r>
    </w:p>
    <w:p w14:paraId="0590D039" w14:textId="77777777" w:rsidR="000B4139" w:rsidRDefault="00000000">
      <w:pPr>
        <w:spacing w:line="360" w:lineRule="auto"/>
        <w:ind w:firstLineChars="200" w:firstLine="480"/>
        <w:rPr>
          <w:rFonts w:eastAsiaTheme="minorEastAsia"/>
          <w:sz w:val="24"/>
        </w:rPr>
      </w:pPr>
      <w:r>
        <w:rPr>
          <w:rFonts w:eastAsiaTheme="minorEastAsia" w:hint="eastAsia"/>
          <w:sz w:val="24"/>
        </w:rPr>
        <w:t>据统计，本次示范区布设养殖绳约</w:t>
      </w:r>
      <w:r>
        <w:rPr>
          <w:rFonts w:eastAsiaTheme="minorEastAsia" w:hint="eastAsia"/>
          <w:sz w:val="24"/>
        </w:rPr>
        <w:t>3</w:t>
      </w:r>
      <w:r>
        <w:rPr>
          <w:rFonts w:eastAsiaTheme="minorEastAsia" w:hint="eastAsia"/>
          <w:sz w:val="24"/>
        </w:rPr>
        <w:t>万条，预计产量</w:t>
      </w:r>
      <w:r>
        <w:rPr>
          <w:rFonts w:eastAsiaTheme="minorEastAsia" w:hint="eastAsia"/>
          <w:sz w:val="24"/>
        </w:rPr>
        <w:t>200</w:t>
      </w:r>
      <w:r>
        <w:rPr>
          <w:rFonts w:eastAsiaTheme="minorEastAsia" w:hint="eastAsia"/>
          <w:sz w:val="24"/>
        </w:rPr>
        <w:t>余吨。养成的裙带菜嫩苗主要用于食用嫩苗加工生产，后期将进行市场投放评估，以期通过消费市场拉动养殖和加工业发展，促进全产业链的形成。</w:t>
      </w:r>
    </w:p>
    <w:p w14:paraId="1F90DCDF" w14:textId="77777777" w:rsidR="000B4139" w:rsidRDefault="00000000">
      <w:pPr>
        <w:spacing w:line="360" w:lineRule="auto"/>
        <w:ind w:firstLineChars="200" w:firstLine="480"/>
        <w:rPr>
          <w:rFonts w:eastAsiaTheme="minorEastAsia"/>
          <w:sz w:val="24"/>
        </w:rPr>
      </w:pPr>
      <w:r>
        <w:rPr>
          <w:rFonts w:eastAsiaTheme="minorEastAsia" w:hint="eastAsia"/>
          <w:sz w:val="24"/>
        </w:rPr>
        <w:t>为了攻克裙带菜“南繁南育”难题，福建省水产研究所联合中国科学院海洋研究所、福建海创农业发展有限公司组建项目组，在</w:t>
      </w:r>
      <w:r>
        <w:rPr>
          <w:rFonts w:eastAsiaTheme="minorEastAsia" w:hint="eastAsia"/>
          <w:sz w:val="24"/>
        </w:rPr>
        <w:t>2025</w:t>
      </w:r>
      <w:r>
        <w:rPr>
          <w:rFonts w:eastAsiaTheme="minorEastAsia" w:hint="eastAsia"/>
          <w:sz w:val="24"/>
        </w:rPr>
        <w:t>年度福建省促进海洋与渔业产业高质量发展专项资金支持下，在宁德霞浦开展裙带菜福建本地育种、养殖以及加工全链条科研试验。</w:t>
      </w:r>
      <w:r>
        <w:rPr>
          <w:rFonts w:eastAsiaTheme="minorEastAsia" w:hint="eastAsia"/>
          <w:sz w:val="24"/>
        </w:rPr>
        <w:t>2025</w:t>
      </w:r>
      <w:r>
        <w:rPr>
          <w:rFonts w:eastAsiaTheme="minorEastAsia" w:hint="eastAsia"/>
          <w:sz w:val="24"/>
        </w:rPr>
        <w:t>年</w:t>
      </w:r>
      <w:r>
        <w:rPr>
          <w:rFonts w:eastAsiaTheme="minorEastAsia" w:hint="eastAsia"/>
          <w:sz w:val="24"/>
        </w:rPr>
        <w:t>11</w:t>
      </w:r>
      <w:r>
        <w:rPr>
          <w:rFonts w:eastAsiaTheme="minorEastAsia" w:hint="eastAsia"/>
          <w:sz w:val="24"/>
        </w:rPr>
        <w:t>月</w:t>
      </w:r>
      <w:r>
        <w:rPr>
          <w:rFonts w:eastAsiaTheme="minorEastAsia" w:hint="eastAsia"/>
          <w:sz w:val="24"/>
        </w:rPr>
        <w:t>26</w:t>
      </w:r>
      <w:r>
        <w:rPr>
          <w:rFonts w:eastAsiaTheme="minorEastAsia" w:hint="eastAsia"/>
          <w:sz w:val="24"/>
        </w:rPr>
        <w:t>日，福建首次采用配子体克隆技术培育了</w:t>
      </w:r>
      <w:r>
        <w:rPr>
          <w:rFonts w:eastAsiaTheme="minorEastAsia" w:hint="eastAsia"/>
          <w:sz w:val="24"/>
        </w:rPr>
        <w:t>6</w:t>
      </w:r>
      <w:r>
        <w:rPr>
          <w:rFonts w:eastAsiaTheme="minorEastAsia" w:hint="eastAsia"/>
          <w:sz w:val="24"/>
        </w:rPr>
        <w:t>亿株裙带菜克隆种苗，实现了裙带菜大规模育苗零的突破。随后，这批种苗立即下海进行试验性养殖，近</w:t>
      </w:r>
      <w:r>
        <w:rPr>
          <w:rFonts w:eastAsiaTheme="minorEastAsia" w:hint="eastAsia"/>
          <w:sz w:val="24"/>
        </w:rPr>
        <w:t>2</w:t>
      </w:r>
      <w:r>
        <w:rPr>
          <w:rFonts w:eastAsiaTheme="minorEastAsia" w:hint="eastAsia"/>
          <w:sz w:val="24"/>
        </w:rPr>
        <w:t>个月后迎来了收获并通过验收。</w:t>
      </w:r>
    </w:p>
    <w:p w14:paraId="13761967" w14:textId="77777777" w:rsidR="000B4139" w:rsidRDefault="00000000">
      <w:pPr>
        <w:spacing w:line="360" w:lineRule="auto"/>
        <w:ind w:firstLineChars="200" w:firstLine="480"/>
        <w:rPr>
          <w:rFonts w:eastAsiaTheme="minorEastAsia"/>
          <w:sz w:val="24"/>
        </w:rPr>
      </w:pPr>
      <w:r>
        <w:rPr>
          <w:rFonts w:eastAsiaTheme="minorEastAsia" w:hint="eastAsia"/>
          <w:sz w:val="24"/>
        </w:rPr>
        <w:t>福建省水产研究所所长林琪介绍说，福建藻类产业长期以来以海带、紫菜、龙须菜三</w:t>
      </w:r>
      <w:r>
        <w:rPr>
          <w:rFonts w:eastAsiaTheme="minorEastAsia" w:hint="eastAsia"/>
          <w:sz w:val="24"/>
        </w:rPr>
        <w:lastRenderedPageBreak/>
        <w:t>个品种为主，“开发裙带菜，既能丰富品种，更促进全省藻类产业结构的调整。”项目开展的裙带菜嫩苗养殖，将与海带嫩苗养殖形成了互补效应，有助于引导我省部分海带育苗企业转向裙带菜育苗，改善长期存在的海带育苗产能过剩问题。项目示范效应的形成，也将有利于优化我省大型经济褐藻育苗与养殖产业结构？</w:t>
      </w:r>
    </w:p>
    <w:p w14:paraId="34B93559" w14:textId="77777777" w:rsidR="000B4139" w:rsidRDefault="00000000">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自福建日报</w:t>
      </w:r>
    </w:p>
    <w:p w14:paraId="611E5532" w14:textId="77777777" w:rsidR="00400E98" w:rsidRDefault="00400E98" w:rsidP="00400E98">
      <w:pPr>
        <w:spacing w:line="360" w:lineRule="auto"/>
        <w:jc w:val="center"/>
        <w:outlineLvl w:val="1"/>
        <w:rPr>
          <w:rFonts w:eastAsia="黑体"/>
          <w:b/>
          <w:bCs/>
          <w:sz w:val="32"/>
          <w:szCs w:val="32"/>
        </w:rPr>
      </w:pPr>
      <w:bookmarkStart w:id="10" w:name="_Toc220673102"/>
      <w:r>
        <w:rPr>
          <w:rFonts w:eastAsia="黑体" w:hint="eastAsia"/>
          <w:b/>
          <w:bCs/>
          <w:sz w:val="32"/>
          <w:szCs w:val="32"/>
        </w:rPr>
        <w:t>山东出台全国首部海上牧场地方性法规</w:t>
      </w:r>
      <w:bookmarkEnd w:id="10"/>
    </w:p>
    <w:p w14:paraId="63B74F1B"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“目前，国家层面尚无针对海上牧场方面的专门立法，《山东省海上牧场条例》属于填补上位法空白而进行的创制性立法，是全国第一部关于海上牧场的地方性法规。”</w:t>
      </w:r>
      <w:r>
        <w:rPr>
          <w:rFonts w:eastAsiaTheme="minorEastAsia" w:hint="eastAsia"/>
          <w:sz w:val="24"/>
        </w:rPr>
        <w:t>1</w:t>
      </w:r>
      <w:r>
        <w:rPr>
          <w:rFonts w:eastAsiaTheme="minorEastAsia" w:hint="eastAsia"/>
          <w:sz w:val="24"/>
        </w:rPr>
        <w:t>月</w:t>
      </w:r>
      <w:r>
        <w:rPr>
          <w:rFonts w:eastAsiaTheme="minorEastAsia" w:hint="eastAsia"/>
          <w:sz w:val="24"/>
        </w:rPr>
        <w:t>25</w:t>
      </w:r>
      <w:r>
        <w:rPr>
          <w:rFonts w:eastAsiaTheme="minorEastAsia" w:hint="eastAsia"/>
          <w:sz w:val="24"/>
        </w:rPr>
        <w:t>日，山东省十四届人大常委会第二十次会议表决通过了《山东省海上牧场条例》。在会后举行的新闻发布会上，山东省人大常委会法工委副主任刘源介绍，本次立法采用“小快灵”形式，条例共</w:t>
      </w:r>
      <w:r>
        <w:rPr>
          <w:rFonts w:eastAsiaTheme="minorEastAsia" w:hint="eastAsia"/>
          <w:sz w:val="24"/>
        </w:rPr>
        <w:t>25</w:t>
      </w:r>
      <w:r>
        <w:rPr>
          <w:rFonts w:eastAsiaTheme="minorEastAsia" w:hint="eastAsia"/>
          <w:sz w:val="24"/>
        </w:rPr>
        <w:t>条、不分章节，将于</w:t>
      </w:r>
      <w:r>
        <w:rPr>
          <w:rFonts w:eastAsiaTheme="minorEastAsia" w:hint="eastAsia"/>
          <w:sz w:val="24"/>
        </w:rPr>
        <w:t>2026</w:t>
      </w:r>
      <w:r>
        <w:rPr>
          <w:rFonts w:eastAsiaTheme="minorEastAsia" w:hint="eastAsia"/>
          <w:sz w:val="24"/>
        </w:rPr>
        <w:t>年</w:t>
      </w:r>
      <w:r>
        <w:rPr>
          <w:rFonts w:eastAsiaTheme="minorEastAsia" w:hint="eastAsia"/>
          <w:sz w:val="24"/>
        </w:rPr>
        <w:t>5</w:t>
      </w:r>
      <w:r>
        <w:rPr>
          <w:rFonts w:eastAsiaTheme="minorEastAsia" w:hint="eastAsia"/>
          <w:sz w:val="24"/>
        </w:rPr>
        <w:t>月</w:t>
      </w:r>
      <w:r>
        <w:rPr>
          <w:rFonts w:eastAsiaTheme="minorEastAsia" w:hint="eastAsia"/>
          <w:sz w:val="24"/>
        </w:rPr>
        <w:t>1</w:t>
      </w:r>
      <w:r>
        <w:rPr>
          <w:rFonts w:eastAsiaTheme="minorEastAsia" w:hint="eastAsia"/>
          <w:sz w:val="24"/>
        </w:rPr>
        <w:t>日起施行。</w:t>
      </w:r>
    </w:p>
    <w:p w14:paraId="0A62A6E3"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山东省司法厅副厅长刘振远介绍，海上牧场是“蓝色粮仓”的重要内容，是现代农业和海洋经济的重要组成部分。山东海上牧场基础较好，在前期海洋牧场试点阶段，创建国家级海洋牧场</w:t>
      </w:r>
      <w:r>
        <w:rPr>
          <w:rFonts w:eastAsiaTheme="minorEastAsia" w:hint="eastAsia"/>
          <w:sz w:val="24"/>
        </w:rPr>
        <w:t>71</w:t>
      </w:r>
      <w:r>
        <w:rPr>
          <w:rFonts w:eastAsiaTheme="minorEastAsia" w:hint="eastAsia"/>
          <w:sz w:val="24"/>
        </w:rPr>
        <w:t>处，为现阶段海上牧场建设积累了一系列经验做法。同时，也显现出一些亟须解决的问题，比如用地用海保障不足、部门管理职责不清、市场主体合法权益保障不到位等，不同程度制约了海上牧场整体效益和产业发展。</w:t>
      </w:r>
    </w:p>
    <w:p w14:paraId="05A91169"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条例首先对“海上牧场”进行界定，明确其为集人工鱼礁、近海与深远海养殖、陆基配套、服务保障于一体的区域性新型渔业模式。同时，条例确立了发展海上牧场应当坚持生态优先、科学规划、产业创新、陆海统筹、融合发展的基本原则，为各项具体制度和政策的制定提供了基本遵循。</w:t>
      </w:r>
    </w:p>
    <w:p w14:paraId="420D8C70"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条例对建设运营与产业发展进行规范，明确未经允许，任何单位和个人不得擅自进入确权海域从事采捕等活动，同时保障非排他性的公益用海活动。条例强调依法养殖，禁止使用违禁投入品和投放不符合生态要求的水生生物，鼓励发展近海多营养层级立体生态养殖和深远海绿色养殖，并支持开展养殖容量评估，实现科学发展。</w:t>
      </w:r>
    </w:p>
    <w:p w14:paraId="1CD16D5F"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筑牢安全生产与生态环保底线方面，条例要求，经营者要建立人员登离台账，采取有效措施防止污染，海上牧场装备设施应当配备环保设施，并对造成的海洋环境损害承担恢复和整治责任。</w:t>
      </w:r>
    </w:p>
    <w:p w14:paraId="295D9055"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为支持海上牧场的发展，条例规定了一系列的扶持措施，多措并举为海上牧场发展提供坚实的资金支持和风险保障。例如，加强信息化建设，打造智慧型海上牧场；鼓励技术</w:t>
      </w:r>
      <w:r>
        <w:rPr>
          <w:rFonts w:eastAsiaTheme="minorEastAsia" w:hint="eastAsia"/>
          <w:sz w:val="24"/>
        </w:rPr>
        <w:lastRenderedPageBreak/>
        <w:t>创新与成果转化；建立健全政府引导、金融和社会资本参与的多元化投入机制；引导金融机构创新产品和服务，鼓励保险机构开发新险种；加强海上牧场海洋、气象监测，提升气象保障水平。</w:t>
      </w:r>
    </w:p>
    <w:p w14:paraId="0576D6E9" w14:textId="77777777" w:rsidR="00400E98" w:rsidRDefault="00400E98" w:rsidP="00400E98">
      <w:pPr>
        <w:spacing w:line="360" w:lineRule="auto"/>
        <w:ind w:firstLineChars="200" w:firstLine="480"/>
        <w:rPr>
          <w:rFonts w:eastAsiaTheme="minorEastAsia"/>
          <w:sz w:val="24"/>
        </w:rPr>
      </w:pPr>
      <w:r>
        <w:rPr>
          <w:rFonts w:eastAsiaTheme="minorEastAsia" w:hint="eastAsia"/>
          <w:sz w:val="24"/>
        </w:rPr>
        <w:t>山东省农业农村厅副厅长宋文华表示，将紧扣条例核心要求，聚焦关键环节抓好落实，还将进一步健全完善跨部门、跨区域协同工作机制，凝聚监管合力，推动条例协同实施。</w:t>
      </w:r>
    </w:p>
    <w:p w14:paraId="1063D63B" w14:textId="3FC4446A" w:rsidR="00400E98" w:rsidRDefault="00400E98" w:rsidP="00400E9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自大众网</w:t>
      </w:r>
    </w:p>
    <w:p w14:paraId="40406243" w14:textId="77777777" w:rsidR="000B4139" w:rsidRDefault="00000000" w:rsidP="00870EC5">
      <w:pPr>
        <w:spacing w:line="360" w:lineRule="auto"/>
        <w:jc w:val="center"/>
        <w:outlineLvl w:val="1"/>
        <w:rPr>
          <w:rFonts w:eastAsia="黑体"/>
          <w:b/>
          <w:bCs/>
          <w:sz w:val="32"/>
          <w:szCs w:val="32"/>
        </w:rPr>
      </w:pPr>
      <w:bookmarkStart w:id="11" w:name="_Toc220673103"/>
      <w:r>
        <w:rPr>
          <w:rFonts w:eastAsia="黑体" w:hint="eastAsia"/>
          <w:b/>
          <w:bCs/>
          <w:sz w:val="32"/>
          <w:szCs w:val="32"/>
        </w:rPr>
        <w:t>全球养殖虾产量预计</w:t>
      </w:r>
      <w:r>
        <w:rPr>
          <w:rFonts w:eastAsia="黑体" w:hint="eastAsia"/>
          <w:b/>
          <w:bCs/>
          <w:sz w:val="32"/>
          <w:szCs w:val="32"/>
        </w:rPr>
        <w:t>2026</w:t>
      </w:r>
      <w:r>
        <w:rPr>
          <w:rFonts w:eastAsia="黑体" w:hint="eastAsia"/>
          <w:b/>
          <w:bCs/>
          <w:sz w:val="32"/>
          <w:szCs w:val="32"/>
        </w:rPr>
        <w:t>年达到</w:t>
      </w:r>
      <w:r>
        <w:rPr>
          <w:rFonts w:eastAsia="黑体" w:hint="eastAsia"/>
          <w:b/>
          <w:bCs/>
          <w:sz w:val="32"/>
          <w:szCs w:val="32"/>
        </w:rPr>
        <w:t>634</w:t>
      </w:r>
      <w:r>
        <w:rPr>
          <w:rFonts w:eastAsia="黑体" w:hint="eastAsia"/>
          <w:b/>
          <w:bCs/>
          <w:sz w:val="32"/>
          <w:szCs w:val="32"/>
        </w:rPr>
        <w:t>万吨</w:t>
      </w:r>
      <w:bookmarkEnd w:id="11"/>
    </w:p>
    <w:p w14:paraId="01067065"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根据</w:t>
      </w:r>
      <w:r>
        <w:rPr>
          <w:rFonts w:eastAsiaTheme="minorEastAsia" w:hint="eastAsia"/>
          <w:sz w:val="24"/>
        </w:rPr>
        <w:t>World Food Network</w:t>
      </w:r>
      <w:r>
        <w:rPr>
          <w:rFonts w:eastAsiaTheme="minorEastAsia" w:hint="eastAsia"/>
          <w:sz w:val="24"/>
        </w:rPr>
        <w:t>在由美国国家渔业协会</w:t>
      </w:r>
      <w:r>
        <w:rPr>
          <w:rFonts w:eastAsiaTheme="minorEastAsia" w:hint="eastAsia"/>
          <w:sz w:val="24"/>
        </w:rPr>
        <w:t>(National Fisheries Institute</w:t>
      </w:r>
      <w:r>
        <w:rPr>
          <w:rFonts w:eastAsiaTheme="minorEastAsia" w:hint="eastAsia"/>
          <w:sz w:val="24"/>
        </w:rPr>
        <w:t>，</w:t>
      </w:r>
      <w:r>
        <w:rPr>
          <w:rFonts w:eastAsiaTheme="minorEastAsia" w:hint="eastAsia"/>
          <w:sz w:val="24"/>
        </w:rPr>
        <w:t>NFI)</w:t>
      </w:r>
      <w:r>
        <w:rPr>
          <w:rFonts w:eastAsiaTheme="minorEastAsia" w:hint="eastAsia"/>
          <w:sz w:val="24"/>
        </w:rPr>
        <w:t>主办的全球海产品市场大会</w:t>
      </w:r>
      <w:r>
        <w:rPr>
          <w:rFonts w:eastAsiaTheme="minorEastAsia" w:hint="eastAsia"/>
          <w:sz w:val="24"/>
        </w:rPr>
        <w:t>(Global Seafood Market Conference</w:t>
      </w:r>
      <w:r>
        <w:rPr>
          <w:rFonts w:eastAsiaTheme="minorEastAsia" w:hint="eastAsia"/>
          <w:sz w:val="24"/>
        </w:rPr>
        <w:t>，</w:t>
      </w:r>
      <w:r>
        <w:rPr>
          <w:rFonts w:eastAsiaTheme="minorEastAsia" w:hint="eastAsia"/>
          <w:sz w:val="24"/>
        </w:rPr>
        <w:t>GSMC)</w:t>
      </w:r>
      <w:r>
        <w:rPr>
          <w:rFonts w:eastAsiaTheme="minorEastAsia" w:hint="eastAsia"/>
          <w:sz w:val="24"/>
        </w:rPr>
        <w:t>期间发布的行业分析，全球养殖虾产量预计将在</w:t>
      </w:r>
      <w:r>
        <w:rPr>
          <w:rFonts w:eastAsiaTheme="minorEastAsia" w:hint="eastAsia"/>
          <w:sz w:val="24"/>
        </w:rPr>
        <w:t>2026</w:t>
      </w:r>
      <w:r>
        <w:rPr>
          <w:rFonts w:eastAsiaTheme="minorEastAsia" w:hint="eastAsia"/>
          <w:sz w:val="24"/>
        </w:rPr>
        <w:t>年达到</w:t>
      </w:r>
      <w:r>
        <w:rPr>
          <w:rFonts w:eastAsiaTheme="minorEastAsia" w:hint="eastAsia"/>
          <w:sz w:val="24"/>
        </w:rPr>
        <w:t>634</w:t>
      </w:r>
      <w:r>
        <w:rPr>
          <w:rFonts w:eastAsiaTheme="minorEastAsia" w:hint="eastAsia"/>
          <w:sz w:val="24"/>
        </w:rPr>
        <w:t>万吨，同比增长</w:t>
      </w:r>
      <w:r>
        <w:rPr>
          <w:rFonts w:eastAsiaTheme="minorEastAsia" w:hint="eastAsia"/>
          <w:sz w:val="24"/>
        </w:rPr>
        <w:t>4%</w:t>
      </w:r>
      <w:r>
        <w:rPr>
          <w:rFonts w:eastAsiaTheme="minorEastAsia" w:hint="eastAsia"/>
          <w:sz w:val="24"/>
        </w:rPr>
        <w:t>，增量约为</w:t>
      </w:r>
      <w:r>
        <w:rPr>
          <w:rFonts w:eastAsiaTheme="minorEastAsia" w:hint="eastAsia"/>
          <w:sz w:val="24"/>
        </w:rPr>
        <w:t>30</w:t>
      </w:r>
      <w:r>
        <w:rPr>
          <w:rFonts w:eastAsiaTheme="minorEastAsia" w:hint="eastAsia"/>
          <w:sz w:val="24"/>
        </w:rPr>
        <w:t>万吨。</w:t>
      </w:r>
    </w:p>
    <w:p w14:paraId="6F12942D"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GSMC</w:t>
      </w:r>
      <w:r>
        <w:rPr>
          <w:rFonts w:eastAsiaTheme="minorEastAsia" w:hint="eastAsia"/>
          <w:sz w:val="24"/>
        </w:rPr>
        <w:t>养虾产业论坛的与会专家预计，全球养殖虾产量将从</w:t>
      </w:r>
      <w:r>
        <w:rPr>
          <w:rFonts w:eastAsiaTheme="minorEastAsia" w:hint="eastAsia"/>
          <w:sz w:val="24"/>
        </w:rPr>
        <w:t>2025</w:t>
      </w:r>
      <w:r>
        <w:rPr>
          <w:rFonts w:eastAsiaTheme="minorEastAsia" w:hint="eastAsia"/>
          <w:sz w:val="24"/>
        </w:rPr>
        <w:t>年的约</w:t>
      </w:r>
      <w:r>
        <w:rPr>
          <w:rFonts w:eastAsiaTheme="minorEastAsia" w:hint="eastAsia"/>
          <w:sz w:val="24"/>
        </w:rPr>
        <w:t>614.5</w:t>
      </w:r>
      <w:r>
        <w:rPr>
          <w:rFonts w:eastAsiaTheme="minorEastAsia" w:hint="eastAsia"/>
          <w:sz w:val="24"/>
        </w:rPr>
        <w:t>万吨增至</w:t>
      </w:r>
      <w:r>
        <w:rPr>
          <w:rFonts w:eastAsiaTheme="minorEastAsia" w:hint="eastAsia"/>
          <w:sz w:val="24"/>
        </w:rPr>
        <w:t>2026</w:t>
      </w:r>
      <w:r>
        <w:rPr>
          <w:rFonts w:eastAsiaTheme="minorEastAsia" w:hint="eastAsia"/>
          <w:sz w:val="24"/>
        </w:rPr>
        <w:t>年的</w:t>
      </w:r>
      <w:r>
        <w:rPr>
          <w:rFonts w:eastAsiaTheme="minorEastAsia" w:hint="eastAsia"/>
          <w:sz w:val="24"/>
        </w:rPr>
        <w:t>634</w:t>
      </w:r>
      <w:r>
        <w:rPr>
          <w:rFonts w:eastAsiaTheme="minorEastAsia" w:hint="eastAsia"/>
          <w:sz w:val="24"/>
        </w:rPr>
        <w:t>万吨。</w:t>
      </w:r>
    </w:p>
    <w:p w14:paraId="36CB791C"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本轮增长主要由厄瓜多尔产量持续扩张以及亚洲主要养殖国的稳定生产所推动。</w:t>
      </w:r>
    </w:p>
    <w:p w14:paraId="36F208CE" w14:textId="1DC7269B" w:rsidR="000B4139" w:rsidRDefault="00000000" w:rsidP="00096970">
      <w:pPr>
        <w:spacing w:line="360" w:lineRule="auto"/>
        <w:ind w:firstLineChars="200" w:firstLine="480"/>
        <w:rPr>
          <w:rFonts w:eastAsiaTheme="minorEastAsia"/>
          <w:sz w:val="24"/>
        </w:rPr>
      </w:pPr>
      <w:r>
        <w:rPr>
          <w:rFonts w:eastAsiaTheme="minorEastAsia" w:hint="eastAsia"/>
          <w:sz w:val="24"/>
        </w:rPr>
        <w:t>在大会期间</w:t>
      </w:r>
      <w:r w:rsidR="00096970">
        <w:rPr>
          <w:rFonts w:eastAsiaTheme="minorEastAsia"/>
          <w:sz w:val="24"/>
        </w:rPr>
        <w:t>,</w:t>
      </w:r>
      <w:r>
        <w:rPr>
          <w:rFonts w:eastAsiaTheme="minorEastAsia" w:hint="eastAsia"/>
          <w:sz w:val="24"/>
        </w:rPr>
        <w:t>泰国正大集团</w:t>
      </w:r>
      <w:r>
        <w:rPr>
          <w:rFonts w:eastAsiaTheme="minorEastAsia" w:hint="eastAsia"/>
          <w:sz w:val="24"/>
        </w:rPr>
        <w:t>(Charoen Pokphand Foods</w:t>
      </w:r>
      <w:r>
        <w:rPr>
          <w:rFonts w:eastAsiaTheme="minorEastAsia" w:hint="eastAsia"/>
          <w:sz w:val="24"/>
        </w:rPr>
        <w:t>，</w:t>
      </w:r>
      <w:r>
        <w:rPr>
          <w:rFonts w:eastAsiaTheme="minorEastAsia" w:hint="eastAsia"/>
          <w:sz w:val="24"/>
        </w:rPr>
        <w:t>CPF)</w:t>
      </w:r>
      <w:r>
        <w:rPr>
          <w:rFonts w:eastAsiaTheme="minorEastAsia" w:hint="eastAsia"/>
          <w:sz w:val="24"/>
        </w:rPr>
        <w:t>副总裁</w:t>
      </w:r>
      <w:r>
        <w:rPr>
          <w:rFonts w:eastAsiaTheme="minorEastAsia" w:hint="eastAsia"/>
          <w:sz w:val="24"/>
        </w:rPr>
        <w:t>Robins McIntosh</w:t>
      </w:r>
      <w:r>
        <w:rPr>
          <w:rFonts w:eastAsiaTheme="minorEastAsia" w:hint="eastAsia"/>
          <w:sz w:val="24"/>
        </w:rPr>
        <w:t>介绍了南美白对虾</w:t>
      </w:r>
      <w:r>
        <w:rPr>
          <w:rFonts w:eastAsiaTheme="minorEastAsia" w:hint="eastAsia"/>
          <w:sz w:val="24"/>
        </w:rPr>
        <w:t>(</w:t>
      </w:r>
      <w:proofErr w:type="spellStart"/>
      <w:r>
        <w:rPr>
          <w:rFonts w:eastAsiaTheme="minorEastAsia" w:hint="eastAsia"/>
          <w:sz w:val="24"/>
        </w:rPr>
        <w:t>Litopenaeus</w:t>
      </w:r>
      <w:proofErr w:type="spellEnd"/>
      <w:r>
        <w:rPr>
          <w:rFonts w:eastAsiaTheme="minorEastAsia" w:hint="eastAsia"/>
          <w:sz w:val="24"/>
        </w:rPr>
        <w:t xml:space="preserve"> </w:t>
      </w:r>
      <w:proofErr w:type="spellStart"/>
      <w:r>
        <w:rPr>
          <w:rFonts w:eastAsiaTheme="minorEastAsia" w:hint="eastAsia"/>
          <w:sz w:val="24"/>
        </w:rPr>
        <w:t>vannamei</w:t>
      </w:r>
      <w:proofErr w:type="spellEnd"/>
      <w:r>
        <w:rPr>
          <w:rFonts w:eastAsiaTheme="minorEastAsia" w:hint="eastAsia"/>
          <w:sz w:val="24"/>
        </w:rPr>
        <w:t>)</w:t>
      </w:r>
      <w:r>
        <w:rPr>
          <w:rFonts w:eastAsiaTheme="minorEastAsia" w:hint="eastAsia"/>
          <w:sz w:val="24"/>
        </w:rPr>
        <w:t>与黑虎虾</w:t>
      </w:r>
      <w:r>
        <w:rPr>
          <w:rFonts w:eastAsiaTheme="minorEastAsia" w:hint="eastAsia"/>
          <w:sz w:val="24"/>
        </w:rPr>
        <w:t>(Penaeus monodon)</w:t>
      </w:r>
      <w:r>
        <w:rPr>
          <w:rFonts w:eastAsiaTheme="minorEastAsia" w:hint="eastAsia"/>
          <w:sz w:val="24"/>
        </w:rPr>
        <w:t>的最新全球养殖产量预测。</w:t>
      </w:r>
    </w:p>
    <w:p w14:paraId="7E48944F"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据</w:t>
      </w:r>
      <w:r>
        <w:rPr>
          <w:rFonts w:eastAsiaTheme="minorEastAsia" w:hint="eastAsia"/>
          <w:sz w:val="24"/>
        </w:rPr>
        <w:t>World Food Network</w:t>
      </w:r>
      <w:r>
        <w:rPr>
          <w:rFonts w:eastAsiaTheme="minorEastAsia" w:hint="eastAsia"/>
          <w:sz w:val="24"/>
        </w:rPr>
        <w:t>报道，</w:t>
      </w:r>
      <w:r>
        <w:rPr>
          <w:rFonts w:eastAsiaTheme="minorEastAsia" w:hint="eastAsia"/>
          <w:sz w:val="24"/>
        </w:rPr>
        <w:t>McIntosh</w:t>
      </w:r>
      <w:r>
        <w:rPr>
          <w:rFonts w:eastAsiaTheme="minorEastAsia" w:hint="eastAsia"/>
          <w:sz w:val="24"/>
        </w:rPr>
        <w:t>表示：厄瓜多尔</w:t>
      </w:r>
      <w:r>
        <w:rPr>
          <w:rFonts w:eastAsiaTheme="minorEastAsia" w:hint="eastAsia"/>
          <w:sz w:val="24"/>
        </w:rPr>
        <w:t>2026</w:t>
      </w:r>
      <w:r>
        <w:rPr>
          <w:rFonts w:eastAsiaTheme="minorEastAsia" w:hint="eastAsia"/>
          <w:sz w:val="24"/>
        </w:rPr>
        <w:t>年养殖虾产量预计将达到</w:t>
      </w:r>
      <w:r>
        <w:rPr>
          <w:rFonts w:eastAsiaTheme="minorEastAsia" w:hint="eastAsia"/>
          <w:sz w:val="24"/>
        </w:rPr>
        <w:t>175</w:t>
      </w:r>
      <w:r>
        <w:rPr>
          <w:rFonts w:eastAsiaTheme="minorEastAsia" w:hint="eastAsia"/>
          <w:sz w:val="24"/>
        </w:rPr>
        <w:t>万吨，创下历史新高；中国养殖虾产量预计约为</w:t>
      </w:r>
      <w:r>
        <w:rPr>
          <w:rFonts w:eastAsiaTheme="minorEastAsia" w:hint="eastAsia"/>
          <w:sz w:val="24"/>
        </w:rPr>
        <w:t>155</w:t>
      </w:r>
      <w:r>
        <w:rPr>
          <w:rFonts w:eastAsiaTheme="minorEastAsia" w:hint="eastAsia"/>
          <w:sz w:val="24"/>
        </w:rPr>
        <w:t>万吨，其中黑虎虾约</w:t>
      </w:r>
      <w:r>
        <w:rPr>
          <w:rFonts w:eastAsiaTheme="minorEastAsia" w:hint="eastAsia"/>
          <w:sz w:val="24"/>
        </w:rPr>
        <w:t>18</w:t>
      </w:r>
      <w:r>
        <w:rPr>
          <w:rFonts w:eastAsiaTheme="minorEastAsia" w:hint="eastAsia"/>
          <w:sz w:val="24"/>
        </w:rPr>
        <w:t>万吨；印度</w:t>
      </w:r>
      <w:r>
        <w:rPr>
          <w:rFonts w:eastAsiaTheme="minorEastAsia" w:hint="eastAsia"/>
          <w:sz w:val="24"/>
        </w:rPr>
        <w:t>2026</w:t>
      </w:r>
      <w:r>
        <w:rPr>
          <w:rFonts w:eastAsiaTheme="minorEastAsia" w:hint="eastAsia"/>
          <w:sz w:val="24"/>
        </w:rPr>
        <w:t>年产量预计将与</w:t>
      </w:r>
      <w:r>
        <w:rPr>
          <w:rFonts w:eastAsiaTheme="minorEastAsia" w:hint="eastAsia"/>
          <w:sz w:val="24"/>
        </w:rPr>
        <w:t>2025</w:t>
      </w:r>
      <w:r>
        <w:rPr>
          <w:rFonts w:eastAsiaTheme="minorEastAsia" w:hint="eastAsia"/>
          <w:sz w:val="24"/>
        </w:rPr>
        <w:t>年基本持平，短期内增长有限。</w:t>
      </w:r>
    </w:p>
    <w:p w14:paraId="416E93DC"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McIntosh</w:t>
      </w:r>
      <w:r>
        <w:rPr>
          <w:rFonts w:eastAsiaTheme="minorEastAsia" w:hint="eastAsia"/>
          <w:sz w:val="24"/>
        </w:rPr>
        <w:t>指出，全球新增产量的主要贡献将来自厄瓜多尔，而印度的复苏将相对温和。</w:t>
      </w:r>
    </w:p>
    <w:p w14:paraId="4A2B2DD2"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根据</w:t>
      </w:r>
      <w:r>
        <w:rPr>
          <w:rFonts w:eastAsiaTheme="minorEastAsia" w:hint="eastAsia"/>
          <w:sz w:val="24"/>
        </w:rPr>
        <w:t>World Food Network</w:t>
      </w:r>
      <w:r>
        <w:rPr>
          <w:rFonts w:eastAsiaTheme="minorEastAsia" w:hint="eastAsia"/>
          <w:sz w:val="24"/>
        </w:rPr>
        <w:t>整理的</w:t>
      </w:r>
      <w:r>
        <w:rPr>
          <w:rFonts w:eastAsiaTheme="minorEastAsia" w:hint="eastAsia"/>
          <w:sz w:val="24"/>
        </w:rPr>
        <w:t>GSMC</w:t>
      </w:r>
      <w:r>
        <w:rPr>
          <w:rFonts w:eastAsiaTheme="minorEastAsia" w:hint="eastAsia"/>
          <w:sz w:val="24"/>
        </w:rPr>
        <w:t>中期预测：若当前增长势头延续，厄瓜多尔养殖虾产量有望在</w:t>
      </w:r>
      <w:r>
        <w:rPr>
          <w:rFonts w:eastAsiaTheme="minorEastAsia" w:hint="eastAsia"/>
          <w:sz w:val="24"/>
        </w:rPr>
        <w:t>2027</w:t>
      </w:r>
      <w:r>
        <w:rPr>
          <w:rFonts w:eastAsiaTheme="minorEastAsia" w:hint="eastAsia"/>
          <w:sz w:val="24"/>
        </w:rPr>
        <w:t>年达到</w:t>
      </w:r>
      <w:r>
        <w:rPr>
          <w:rFonts w:eastAsiaTheme="minorEastAsia" w:hint="eastAsia"/>
          <w:sz w:val="24"/>
        </w:rPr>
        <w:t>200</w:t>
      </w:r>
      <w:r>
        <w:rPr>
          <w:rFonts w:eastAsiaTheme="minorEastAsia" w:hint="eastAsia"/>
          <w:sz w:val="24"/>
        </w:rPr>
        <w:t>万吨；印度预计将在</w:t>
      </w:r>
      <w:r>
        <w:rPr>
          <w:rFonts w:eastAsiaTheme="minorEastAsia" w:hint="eastAsia"/>
          <w:sz w:val="24"/>
        </w:rPr>
        <w:t>2027</w:t>
      </w:r>
      <w:r>
        <w:rPr>
          <w:rFonts w:eastAsiaTheme="minorEastAsia" w:hint="eastAsia"/>
          <w:sz w:val="24"/>
        </w:rPr>
        <w:t>年恢复增长，产量同比增长约</w:t>
      </w:r>
      <w:r>
        <w:rPr>
          <w:rFonts w:eastAsiaTheme="minorEastAsia" w:hint="eastAsia"/>
          <w:sz w:val="24"/>
        </w:rPr>
        <w:t>6%</w:t>
      </w:r>
      <w:r>
        <w:rPr>
          <w:rFonts w:eastAsiaTheme="minorEastAsia" w:hint="eastAsia"/>
          <w:sz w:val="24"/>
        </w:rPr>
        <w:t>，达到</w:t>
      </w:r>
      <w:r>
        <w:rPr>
          <w:rFonts w:eastAsiaTheme="minorEastAsia" w:hint="eastAsia"/>
          <w:sz w:val="24"/>
        </w:rPr>
        <w:t>99</w:t>
      </w:r>
      <w:r>
        <w:rPr>
          <w:rFonts w:eastAsiaTheme="minorEastAsia" w:hint="eastAsia"/>
          <w:sz w:val="24"/>
        </w:rPr>
        <w:t>万吨，其中南美白对虾约</w:t>
      </w:r>
      <w:r>
        <w:rPr>
          <w:rFonts w:eastAsiaTheme="minorEastAsia" w:hint="eastAsia"/>
          <w:sz w:val="24"/>
        </w:rPr>
        <w:t>54</w:t>
      </w:r>
      <w:r>
        <w:rPr>
          <w:rFonts w:eastAsiaTheme="minorEastAsia" w:hint="eastAsia"/>
          <w:sz w:val="24"/>
        </w:rPr>
        <w:t>万吨。</w:t>
      </w:r>
    </w:p>
    <w:p w14:paraId="7589B564"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McIntosh</w:t>
      </w:r>
      <w:r>
        <w:rPr>
          <w:rFonts w:eastAsiaTheme="minorEastAsia" w:hint="eastAsia"/>
          <w:sz w:val="24"/>
        </w:rPr>
        <w:t>还指出，黑虎虾正进入“高速增长阶段”。受益于养殖管理水平提升、疾病控制改善以及市场对大规格虾需求回暖，全球黑虎虾产量预计将在</w:t>
      </w:r>
      <w:r>
        <w:rPr>
          <w:rFonts w:eastAsiaTheme="minorEastAsia" w:hint="eastAsia"/>
          <w:sz w:val="24"/>
        </w:rPr>
        <w:t>2026</w:t>
      </w:r>
      <w:r>
        <w:rPr>
          <w:rFonts w:eastAsiaTheme="minorEastAsia" w:hint="eastAsia"/>
          <w:sz w:val="24"/>
        </w:rPr>
        <w:t>年超过</w:t>
      </w:r>
      <w:r>
        <w:rPr>
          <w:rFonts w:eastAsiaTheme="minorEastAsia" w:hint="eastAsia"/>
          <w:sz w:val="24"/>
        </w:rPr>
        <w:t>60</w:t>
      </w:r>
      <w:r>
        <w:rPr>
          <w:rFonts w:eastAsiaTheme="minorEastAsia" w:hint="eastAsia"/>
          <w:sz w:val="24"/>
        </w:rPr>
        <w:t>万吨。“我预计全球养殖虾产量将继续增长，唯一的限制因素是市场需求。”</w:t>
      </w:r>
    </w:p>
    <w:p w14:paraId="3F00B0F1"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与此同时，</w:t>
      </w:r>
      <w:r>
        <w:rPr>
          <w:rFonts w:eastAsiaTheme="minorEastAsia" w:hint="eastAsia"/>
          <w:sz w:val="24"/>
        </w:rPr>
        <w:t>World Food Network</w:t>
      </w:r>
      <w:r>
        <w:rPr>
          <w:rFonts w:eastAsiaTheme="minorEastAsia" w:hint="eastAsia"/>
          <w:sz w:val="24"/>
        </w:rPr>
        <w:t>援引业内分析称，美国、中国和欧盟等主要市场的需求变化、价格压力以及贸易环境，将成为决定未来全球养虾产业盈利能力的关键因素。</w:t>
      </w:r>
    </w:p>
    <w:p w14:paraId="69A9300E" w14:textId="7D780D88" w:rsidR="00400E98" w:rsidRDefault="00000000" w:rsidP="00400E98">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hint="eastAsia"/>
          <w:szCs w:val="21"/>
        </w:rPr>
        <w:t>自中国水产品微信公众号</w:t>
      </w:r>
    </w:p>
    <w:p w14:paraId="5E472F20" w14:textId="77777777" w:rsidR="00B85B23" w:rsidRDefault="00B85B23" w:rsidP="00B85B23">
      <w:pPr>
        <w:spacing w:line="360" w:lineRule="auto"/>
        <w:jc w:val="center"/>
        <w:outlineLvl w:val="1"/>
        <w:rPr>
          <w:rFonts w:eastAsia="黑体"/>
          <w:b/>
          <w:bCs/>
          <w:sz w:val="32"/>
          <w:szCs w:val="32"/>
        </w:rPr>
      </w:pPr>
    </w:p>
    <w:p w14:paraId="1A7981A6" w14:textId="1D18DF9C" w:rsidR="00B85B23" w:rsidRDefault="00B85B23" w:rsidP="00B85B23">
      <w:pPr>
        <w:spacing w:line="360" w:lineRule="auto"/>
        <w:jc w:val="center"/>
        <w:outlineLvl w:val="1"/>
        <w:rPr>
          <w:rFonts w:eastAsia="黑体"/>
          <w:b/>
          <w:bCs/>
          <w:sz w:val="32"/>
          <w:szCs w:val="32"/>
        </w:rPr>
      </w:pPr>
      <w:bookmarkStart w:id="12" w:name="_Toc220673104"/>
      <w:r>
        <w:rPr>
          <w:rFonts w:eastAsia="黑体" w:hint="eastAsia"/>
          <w:b/>
          <w:bCs/>
          <w:sz w:val="32"/>
          <w:szCs w:val="32"/>
        </w:rPr>
        <w:lastRenderedPageBreak/>
        <w:t>新疆吐鲁番高昌区：</w:t>
      </w:r>
      <w:r>
        <w:rPr>
          <w:rFonts w:eastAsia="黑体" w:hint="eastAsia"/>
          <w:b/>
          <w:bCs/>
          <w:sz w:val="32"/>
          <w:szCs w:val="32"/>
        </w:rPr>
        <w:t>2026</w:t>
      </w:r>
      <w:r>
        <w:rPr>
          <w:rFonts w:eastAsia="黑体" w:hint="eastAsia"/>
          <w:b/>
          <w:bCs/>
          <w:sz w:val="32"/>
          <w:szCs w:val="32"/>
        </w:rPr>
        <w:t>年首批三文鱼“游”向全国各地</w:t>
      </w:r>
      <w:bookmarkEnd w:id="12"/>
    </w:p>
    <w:p w14:paraId="426F6B29"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在有着“火洲”之称的吐鲁番，依托冷水资源禀赋发展特色养殖，高昌区冷水鱼养殖实现了从特色培育到产销两旺的升级，走出了一条科技赋能现代农业、产业带动乡村振兴的特色路径。</w:t>
      </w:r>
    </w:p>
    <w:p w14:paraId="476EE407"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14</w:t>
      </w:r>
      <w:r>
        <w:rPr>
          <w:rFonts w:eastAsiaTheme="minorEastAsia" w:hint="eastAsia"/>
          <w:sz w:val="24"/>
        </w:rPr>
        <w:t>日，寒意料峭，但在高昌区胜金乡木日吐克村的冷水鱼养殖基地里，却是一派热火朝天的丰收景象。</w:t>
      </w:r>
    </w:p>
    <w:p w14:paraId="042EBC1C"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工人们正熟练地撒网、收拢，对</w:t>
      </w:r>
      <w:r>
        <w:rPr>
          <w:rFonts w:eastAsiaTheme="minorEastAsia" w:hint="eastAsia"/>
          <w:sz w:val="24"/>
        </w:rPr>
        <w:t>2026</w:t>
      </w:r>
      <w:r>
        <w:rPr>
          <w:rFonts w:eastAsiaTheme="minorEastAsia" w:hint="eastAsia"/>
          <w:sz w:val="24"/>
        </w:rPr>
        <w:t>年首批达到上市标准的三文鱼进行集中捕捞。水面波光粼粼，肥美的鱼儿翻腾跳跃，映衬着工人们喜悦的笑脸。</w:t>
      </w:r>
    </w:p>
    <w:p w14:paraId="0FF3304D"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吐鲁番市冷泉三文鱼食品有限公司加工厂厂长朱峰超：根据订单需求，今天我们捕捞</w:t>
      </w:r>
      <w:r>
        <w:rPr>
          <w:rFonts w:eastAsiaTheme="minorEastAsia" w:hint="eastAsia"/>
          <w:sz w:val="24"/>
        </w:rPr>
        <w:t>1000</w:t>
      </w:r>
      <w:r>
        <w:rPr>
          <w:rFonts w:eastAsiaTheme="minorEastAsia" w:hint="eastAsia"/>
          <w:sz w:val="24"/>
        </w:rPr>
        <w:t>余尾三文鱼，共计</w:t>
      </w:r>
      <w:r>
        <w:rPr>
          <w:rFonts w:eastAsiaTheme="minorEastAsia" w:hint="eastAsia"/>
          <w:sz w:val="24"/>
        </w:rPr>
        <w:t>4</w:t>
      </w:r>
      <w:r>
        <w:rPr>
          <w:rFonts w:eastAsiaTheme="minorEastAsia" w:hint="eastAsia"/>
          <w:sz w:val="24"/>
        </w:rPr>
        <w:t>吨左右。</w:t>
      </w:r>
    </w:p>
    <w:p w14:paraId="7F90C14D"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捕捞作业高效有序，不到两小时，这批三文鱼便被转运至吐鲁番市冷泉三文鱼食品有限公司的现代化加工厂。工厂里，经过专业的清洗、精细分割和标准化包装后，三文鱼将搭乘航班飞抵千里之外的西安市场，出现在消费者的餐桌上。</w:t>
      </w:r>
    </w:p>
    <w:p w14:paraId="6F54A42D"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吐鲁番市冷泉三文鱼食品有限公司加工厂厂长朱峰超：我们的三文鱼日加工能力在</w:t>
      </w:r>
      <w:r>
        <w:rPr>
          <w:rFonts w:eastAsiaTheme="minorEastAsia" w:hint="eastAsia"/>
          <w:sz w:val="24"/>
        </w:rPr>
        <w:t>10</w:t>
      </w:r>
      <w:r>
        <w:rPr>
          <w:rFonts w:eastAsiaTheme="minorEastAsia" w:hint="eastAsia"/>
          <w:sz w:val="24"/>
        </w:rPr>
        <w:t>吨左右，产品主要供应上海、西安、成都、天津等国内重点城市。</w:t>
      </w:r>
      <w:r>
        <w:rPr>
          <w:rFonts w:eastAsiaTheme="minorEastAsia" w:hint="eastAsia"/>
          <w:sz w:val="24"/>
        </w:rPr>
        <w:t>2025</w:t>
      </w:r>
      <w:r>
        <w:rPr>
          <w:rFonts w:eastAsiaTheme="minorEastAsia" w:hint="eastAsia"/>
          <w:sz w:val="24"/>
        </w:rPr>
        <w:t>年</w:t>
      </w:r>
      <w:r>
        <w:rPr>
          <w:rFonts w:eastAsiaTheme="minorEastAsia"/>
          <w:sz w:val="24"/>
        </w:rPr>
        <w:t>,</w:t>
      </w:r>
      <w:r>
        <w:rPr>
          <w:rFonts w:eastAsiaTheme="minorEastAsia" w:hint="eastAsia"/>
          <w:sz w:val="24"/>
        </w:rPr>
        <w:t>我们累计销售三文鱼</w:t>
      </w:r>
      <w:r>
        <w:rPr>
          <w:rFonts w:eastAsiaTheme="minorEastAsia" w:hint="eastAsia"/>
          <w:sz w:val="24"/>
        </w:rPr>
        <w:t>500</w:t>
      </w:r>
      <w:r>
        <w:rPr>
          <w:rFonts w:eastAsiaTheme="minorEastAsia" w:hint="eastAsia"/>
          <w:sz w:val="24"/>
        </w:rPr>
        <w:t>余吨</w:t>
      </w:r>
      <w:r>
        <w:rPr>
          <w:rFonts w:eastAsiaTheme="minorEastAsia"/>
          <w:sz w:val="24"/>
        </w:rPr>
        <w:t>;</w:t>
      </w:r>
      <w:r>
        <w:rPr>
          <w:rFonts w:eastAsiaTheme="minorEastAsia" w:hint="eastAsia"/>
          <w:sz w:val="24"/>
        </w:rPr>
        <w:t>随着生产线升级和市场拓展</w:t>
      </w:r>
      <w:r>
        <w:rPr>
          <w:rFonts w:eastAsiaTheme="minorEastAsia"/>
          <w:sz w:val="24"/>
        </w:rPr>
        <w:t>,</w:t>
      </w:r>
      <w:r>
        <w:rPr>
          <w:rFonts w:eastAsiaTheme="minorEastAsia" w:hint="eastAsia"/>
          <w:sz w:val="24"/>
        </w:rPr>
        <w:t>预计</w:t>
      </w:r>
      <w:r>
        <w:rPr>
          <w:rFonts w:eastAsiaTheme="minorEastAsia" w:hint="eastAsia"/>
          <w:sz w:val="24"/>
        </w:rPr>
        <w:t>2026</w:t>
      </w:r>
      <w:r>
        <w:rPr>
          <w:rFonts w:eastAsiaTheme="minorEastAsia" w:hint="eastAsia"/>
          <w:sz w:val="24"/>
        </w:rPr>
        <w:t>年</w:t>
      </w:r>
      <w:r>
        <w:rPr>
          <w:rFonts w:eastAsiaTheme="minorEastAsia"/>
          <w:sz w:val="24"/>
        </w:rPr>
        <w:t>,</w:t>
      </w:r>
      <w:r>
        <w:rPr>
          <w:rFonts w:eastAsiaTheme="minorEastAsia" w:hint="eastAsia"/>
          <w:sz w:val="24"/>
        </w:rPr>
        <w:t>我们的产量将大幅提升至</w:t>
      </w:r>
      <w:r>
        <w:rPr>
          <w:rFonts w:eastAsiaTheme="minorEastAsia" w:hint="eastAsia"/>
          <w:sz w:val="24"/>
        </w:rPr>
        <w:t>2000</w:t>
      </w:r>
      <w:r>
        <w:rPr>
          <w:rFonts w:eastAsiaTheme="minorEastAsia" w:hint="eastAsia"/>
          <w:sz w:val="24"/>
        </w:rPr>
        <w:t>吨。</w:t>
      </w:r>
    </w:p>
    <w:p w14:paraId="1D2B4045"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在干旱少雨、以高温著称的吐鲁番，何以能规模化养殖对水温要求苛刻的三文鱼？据介绍，胜金乡木日吐克村的冷水鱼养殖基地巧妙利用当地独特的水资源——来自天山的雪融水经地下岩层过滤，形成常年恒温在</w:t>
      </w:r>
      <w:r>
        <w:rPr>
          <w:rFonts w:eastAsiaTheme="minorEastAsia" w:hint="eastAsia"/>
          <w:sz w:val="24"/>
        </w:rPr>
        <w:t>12</w:t>
      </w:r>
      <w:r>
        <w:rPr>
          <w:rFonts w:eastAsiaTheme="minorEastAsia" w:hint="eastAsia"/>
          <w:sz w:val="24"/>
        </w:rPr>
        <w:t>至</w:t>
      </w:r>
      <w:r>
        <w:rPr>
          <w:rFonts w:eastAsiaTheme="minorEastAsia" w:hint="eastAsia"/>
          <w:sz w:val="24"/>
        </w:rPr>
        <w:t>16</w:t>
      </w:r>
      <w:r>
        <w:rPr>
          <w:rFonts w:eastAsiaTheme="minorEastAsia" w:hint="eastAsia"/>
          <w:sz w:val="24"/>
        </w:rPr>
        <w:t>摄氏度的冷泉</w:t>
      </w:r>
      <w:r>
        <w:rPr>
          <w:rFonts w:eastAsiaTheme="minorEastAsia"/>
          <w:sz w:val="24"/>
        </w:rPr>
        <w:t>,</w:t>
      </w:r>
      <w:r>
        <w:rPr>
          <w:rFonts w:eastAsiaTheme="minorEastAsia" w:hint="eastAsia"/>
          <w:sz w:val="24"/>
        </w:rPr>
        <w:t>恰好满足三文鱼的生长需求。</w:t>
      </w:r>
    </w:p>
    <w:p w14:paraId="1F4D5C87"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从空中俯瞰，数十个圆形养殖池如珍珠般镶嵌在赭黄色的戈壁滩上，与远处著名的火焰山构成一幅科学与自然交融的奇特景观。</w:t>
      </w:r>
    </w:p>
    <w:p w14:paraId="75E36920" w14:textId="77777777" w:rsidR="00B85B23" w:rsidRDefault="00B85B23" w:rsidP="00B85B23">
      <w:pPr>
        <w:spacing w:line="360" w:lineRule="auto"/>
        <w:ind w:firstLineChars="200" w:firstLine="480"/>
        <w:rPr>
          <w:rFonts w:eastAsiaTheme="minorEastAsia"/>
          <w:sz w:val="24"/>
        </w:rPr>
      </w:pPr>
      <w:r>
        <w:rPr>
          <w:rFonts w:eastAsiaTheme="minorEastAsia" w:hint="eastAsia"/>
          <w:sz w:val="24"/>
        </w:rPr>
        <w:t>高昌区冷水鱼产业的发展，是吐鲁番因地制宜发展特色现代农业、推动产业转型升级的生动缩影。近年来，高昌区积极引导扶持，将冷水资源优势转化为产业优势，丰富了优质水产品供给，打造了一张闪亮的“吐鲁番冷水鱼”名片。</w:t>
      </w:r>
    </w:p>
    <w:p w14:paraId="31796DE4" w14:textId="6108790D" w:rsidR="00B85B23" w:rsidRPr="00400E98" w:rsidRDefault="00B85B23" w:rsidP="00B85B23">
      <w:pPr>
        <w:spacing w:line="360" w:lineRule="auto"/>
        <w:ind w:firstLine="420"/>
        <w:jc w:val="right"/>
        <w:rPr>
          <w:rFonts w:eastAsiaTheme="minorEastAsia"/>
          <w:szCs w:val="21"/>
        </w:rPr>
      </w:pPr>
      <w:r>
        <w:rPr>
          <w:rStyle w:val="vm"/>
          <w:rFonts w:eastAsiaTheme="minorEastAsia"/>
          <w:szCs w:val="21"/>
        </w:rPr>
        <w:t>转摘</w:t>
      </w:r>
      <w:r>
        <w:rPr>
          <w:rStyle w:val="vm"/>
          <w:rFonts w:eastAsiaTheme="minorEastAsia" w:hint="eastAsia"/>
          <w:szCs w:val="21"/>
        </w:rPr>
        <w:t>自中新网新疆</w:t>
      </w:r>
    </w:p>
    <w:p w14:paraId="331B24B9" w14:textId="77777777" w:rsidR="00B85B23" w:rsidRDefault="00B85B23" w:rsidP="00B85B23">
      <w:pPr>
        <w:spacing w:line="276" w:lineRule="auto"/>
        <w:jc w:val="left"/>
        <w:rPr>
          <w:rStyle w:val="vm"/>
          <w:rFonts w:eastAsia="黑体"/>
          <w:b/>
          <w:bCs/>
          <w:sz w:val="32"/>
          <w:szCs w:val="32"/>
          <w:bdr w:val="single" w:sz="4" w:space="0" w:color="auto"/>
        </w:rPr>
      </w:pPr>
      <w:bookmarkStart w:id="13" w:name="OLE_LINK2"/>
    </w:p>
    <w:p w14:paraId="037E94AD" w14:textId="77777777" w:rsidR="00B85B23" w:rsidRDefault="00B85B23" w:rsidP="00B85B23">
      <w:pPr>
        <w:spacing w:line="276" w:lineRule="auto"/>
        <w:jc w:val="left"/>
        <w:rPr>
          <w:rStyle w:val="vm"/>
          <w:rFonts w:eastAsia="黑体"/>
          <w:b/>
          <w:bCs/>
          <w:sz w:val="32"/>
          <w:szCs w:val="32"/>
          <w:bdr w:val="single" w:sz="4" w:space="0" w:color="auto"/>
        </w:rPr>
      </w:pPr>
    </w:p>
    <w:p w14:paraId="4F8DAC96" w14:textId="77777777" w:rsidR="00B85B23" w:rsidRDefault="00B85B23" w:rsidP="00B85B23">
      <w:pPr>
        <w:spacing w:line="276" w:lineRule="auto"/>
        <w:jc w:val="left"/>
        <w:rPr>
          <w:rStyle w:val="vm"/>
          <w:rFonts w:eastAsia="黑体"/>
          <w:b/>
          <w:bCs/>
          <w:sz w:val="32"/>
          <w:szCs w:val="32"/>
          <w:bdr w:val="single" w:sz="4" w:space="0" w:color="auto"/>
        </w:rPr>
      </w:pPr>
    </w:p>
    <w:p w14:paraId="26654626" w14:textId="2A1A5723" w:rsidR="000B4139" w:rsidRDefault="00000000" w:rsidP="00870EC5">
      <w:pPr>
        <w:spacing w:line="276" w:lineRule="auto"/>
        <w:jc w:val="left"/>
        <w:outlineLvl w:val="0"/>
        <w:rPr>
          <w:rStyle w:val="vm"/>
          <w:rFonts w:eastAsia="黑体"/>
          <w:b/>
          <w:bCs/>
          <w:sz w:val="32"/>
          <w:szCs w:val="32"/>
          <w:bdr w:val="single" w:sz="4" w:space="0" w:color="auto"/>
        </w:rPr>
      </w:pPr>
      <w:bookmarkStart w:id="14" w:name="_Toc220673105"/>
      <w:r>
        <w:rPr>
          <w:rStyle w:val="vm"/>
          <w:rFonts w:eastAsia="黑体" w:hint="eastAsia"/>
          <w:b/>
          <w:bCs/>
          <w:sz w:val="32"/>
          <w:szCs w:val="32"/>
          <w:bdr w:val="single" w:sz="4" w:space="0" w:color="auto"/>
        </w:rPr>
        <w:lastRenderedPageBreak/>
        <w:t>典型案例</w:t>
      </w:r>
      <w:bookmarkEnd w:id="14"/>
    </w:p>
    <w:p w14:paraId="1640EE08" w14:textId="77777777" w:rsidR="000B4139" w:rsidRDefault="00000000" w:rsidP="00870EC5">
      <w:pPr>
        <w:spacing w:line="360" w:lineRule="auto"/>
        <w:jc w:val="center"/>
        <w:outlineLvl w:val="1"/>
        <w:rPr>
          <w:rFonts w:eastAsia="黑体"/>
          <w:b/>
          <w:bCs/>
          <w:sz w:val="32"/>
          <w:szCs w:val="32"/>
        </w:rPr>
      </w:pPr>
      <w:bookmarkStart w:id="15" w:name="_Toc220673106"/>
      <w:r>
        <w:rPr>
          <w:rFonts w:eastAsia="黑体" w:hint="eastAsia"/>
          <w:b/>
          <w:bCs/>
          <w:sz w:val="32"/>
          <w:szCs w:val="32"/>
        </w:rPr>
        <w:t>涉渔船舶拆卸北斗定位终端入刑典型案例</w:t>
      </w:r>
      <w:bookmarkEnd w:id="15"/>
    </w:p>
    <w:p w14:paraId="53F874A8"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近年来，福建、浙江、广东、辽宁等地接连查处多起涉渔船舶违法拆卸北斗定位终端案件，涉事人员因危险作业罪、重大责任事故罪被依法追究刑事责任。此类案件中，除拆卸北斗定位终端外，同时叠加非法捕捞、超航区作业、未落实进出港报告制度、非法载客、违反台风（大风）预警指令冒险出海等系列严重违法行为。此类行为不仅破坏了渔业安全生产秩序，更导致船舶失联后无法及时获得救助，大幅增加搜救难度和公共应急资源消耗，极易引发船舶倾覆、碰撞、人员伤亡等重大安全事故，严重危害海上交通安全和公共利益。</w:t>
      </w:r>
    </w:p>
    <w:p w14:paraId="7DA0435E"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案件的依法高效查处，体现了公检法机关与渔业渔政等部门的协同治理效能。各地针对此类案件建立提级调查、专班推进机制，各部门主动靠前，全流程强化协同配合。公安、海警、渔业渔政等部门组建联合专案组，快速核查轨迹、固定证据。检察机关提前介入侦查，精准引导取证方向，围绕“现实危险”认定等关键问题补强证据链条，落实“快侦快诉”要求。审判机关适用速裁程序，依法判处刑罚，同时运用行政处罚、从业禁止、公益诉讼赔偿金等多种惩戒措施，形成全方位追责体系。这种“行政执法</w:t>
      </w:r>
      <w:r>
        <w:rPr>
          <w:rFonts w:eastAsiaTheme="minorEastAsia" w:hint="eastAsia"/>
          <w:sz w:val="24"/>
        </w:rPr>
        <w:t>+</w:t>
      </w:r>
      <w:r>
        <w:rPr>
          <w:rFonts w:eastAsiaTheme="minorEastAsia" w:hint="eastAsia"/>
          <w:sz w:val="24"/>
        </w:rPr>
        <w:t>刑事追责”的双重治理模式，实现了案件办理的高效联动，同时通过精准适用法律厘清了违法犯罪边界，有效破解了“拆卸北斗定位终端只受行政处罚，震慑力不足”的问题。</w:t>
      </w:r>
    </w:p>
    <w:p w14:paraId="08457466" w14:textId="77777777" w:rsidR="000B4139" w:rsidRDefault="00000000" w:rsidP="00096970">
      <w:pPr>
        <w:spacing w:line="360" w:lineRule="auto"/>
        <w:rPr>
          <w:rFonts w:eastAsiaTheme="minorEastAsia"/>
          <w:sz w:val="24"/>
        </w:rPr>
      </w:pPr>
      <w:r>
        <w:rPr>
          <w:rFonts w:eastAsiaTheme="minorEastAsia" w:hint="eastAsia"/>
          <w:sz w:val="24"/>
        </w:rPr>
        <w:t>一、辽宁省丹东市东港</w:t>
      </w:r>
      <w:r>
        <w:rPr>
          <w:rFonts w:eastAsiaTheme="minorEastAsia" w:hint="eastAsia"/>
          <w:sz w:val="24"/>
        </w:rPr>
        <w:t>14</w:t>
      </w:r>
      <w:r>
        <w:rPr>
          <w:rFonts w:eastAsiaTheme="minorEastAsia" w:hint="eastAsia"/>
          <w:sz w:val="24"/>
        </w:rPr>
        <w:t>名船主船长拆卸北斗定位终端以危险作业罪入刑案</w:t>
      </w:r>
    </w:p>
    <w:p w14:paraId="6B8F1B48"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（一）基本案情</w:t>
      </w:r>
    </w:p>
    <w:p w14:paraId="6C169C21"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为强化科技管船工作，辽宁省丹东东港市渔业渔民渔船管理局于</w:t>
      </w:r>
      <w:r>
        <w:rPr>
          <w:rFonts w:eastAsiaTheme="minorEastAsia" w:hint="eastAsia"/>
          <w:sz w:val="24"/>
        </w:rPr>
        <w:t>2021</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1</w:t>
      </w:r>
      <w:r>
        <w:rPr>
          <w:rFonts w:eastAsiaTheme="minorEastAsia" w:hint="eastAsia"/>
          <w:sz w:val="24"/>
        </w:rPr>
        <w:t>日安装渔船北斗设备后，采取市县乡三级管理、平台点调、专项执法等诸多措施，重点打击私拆北斗行为。同年</w:t>
      </w:r>
      <w:r>
        <w:rPr>
          <w:rFonts w:eastAsiaTheme="minorEastAsia" w:hint="eastAsia"/>
          <w:sz w:val="24"/>
        </w:rPr>
        <w:t>9</w:t>
      </w:r>
      <w:r>
        <w:rPr>
          <w:rFonts w:eastAsiaTheme="minorEastAsia" w:hint="eastAsia"/>
          <w:sz w:val="24"/>
        </w:rPr>
        <w:t>月</w:t>
      </w:r>
      <w:r>
        <w:rPr>
          <w:rFonts w:eastAsiaTheme="minorEastAsia" w:hint="eastAsia"/>
          <w:sz w:val="24"/>
        </w:rPr>
        <w:t>12</w:t>
      </w:r>
      <w:r>
        <w:rPr>
          <w:rFonts w:eastAsiaTheme="minorEastAsia" w:hint="eastAsia"/>
          <w:sz w:val="24"/>
        </w:rPr>
        <w:t>日上午，东港市渔业渔民渔船管理局在调研北斗智能监管工作时，点调中发现海上有</w:t>
      </w:r>
      <w:r>
        <w:rPr>
          <w:rFonts w:eastAsiaTheme="minorEastAsia" w:hint="eastAsia"/>
          <w:sz w:val="24"/>
        </w:rPr>
        <w:t>28</w:t>
      </w:r>
      <w:r>
        <w:rPr>
          <w:rFonts w:eastAsiaTheme="minorEastAsia" w:hint="eastAsia"/>
          <w:sz w:val="24"/>
        </w:rPr>
        <w:t>艘渔船北斗信号集中在一个点位，遂安排平台逐船核查历史轨迹、点位对比。经分析研判认为，应是一艘渔船涉嫌携带多台北斗终端，随即执法船立即赶赴问题海域进行检查。当日下午</w:t>
      </w:r>
      <w:r>
        <w:rPr>
          <w:rFonts w:eastAsiaTheme="minorEastAsia" w:hint="eastAsia"/>
          <w:sz w:val="24"/>
        </w:rPr>
        <w:t>3</w:t>
      </w:r>
      <w:r>
        <w:rPr>
          <w:rFonts w:eastAsiaTheme="minorEastAsia" w:hint="eastAsia"/>
          <w:sz w:val="24"/>
        </w:rPr>
        <w:t>时，发现辽某渔运</w:t>
      </w:r>
      <w:r>
        <w:rPr>
          <w:rFonts w:eastAsiaTheme="minorEastAsia" w:hint="eastAsia"/>
          <w:sz w:val="24"/>
        </w:rPr>
        <w:t>2**0</w:t>
      </w:r>
      <w:r>
        <w:rPr>
          <w:rFonts w:eastAsiaTheme="minorEastAsia" w:hint="eastAsia"/>
          <w:sz w:val="24"/>
        </w:rPr>
        <w:t>渔船，执法人员立即登临检查，在后甲板覆盖的帆布下发现渔船北斗终端设备</w:t>
      </w:r>
      <w:r>
        <w:rPr>
          <w:rFonts w:eastAsiaTheme="minorEastAsia" w:hint="eastAsia"/>
          <w:sz w:val="24"/>
        </w:rPr>
        <w:t>28</w:t>
      </w:r>
      <w:r>
        <w:rPr>
          <w:rFonts w:eastAsiaTheme="minorEastAsia" w:hint="eastAsia"/>
          <w:sz w:val="24"/>
        </w:rPr>
        <w:t>台，且该船未携带有效证件。经现场询问涉事船长，船长承认这些北斗设备是其他渔船拆卸后放在该船上。执法人员当场进行取证、勘验，并对涉事的辽某渔运</w:t>
      </w:r>
      <w:r>
        <w:rPr>
          <w:rFonts w:eastAsiaTheme="minorEastAsia" w:hint="eastAsia"/>
          <w:sz w:val="24"/>
        </w:rPr>
        <w:t>2**0</w:t>
      </w:r>
      <w:r>
        <w:rPr>
          <w:rFonts w:eastAsiaTheme="minorEastAsia" w:hint="eastAsia"/>
          <w:sz w:val="24"/>
        </w:rPr>
        <w:t>船只实施控制，押解回港进一步调查处理。</w:t>
      </w:r>
    </w:p>
    <w:p w14:paraId="3A708B4F"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东港市对此事高度重视，第一时间召开会议部署，明确由副市长、市公安局局长牵头负责，公安、边海防和渔业部门组成联合专案组对涉事</w:t>
      </w:r>
      <w:r>
        <w:rPr>
          <w:rFonts w:eastAsiaTheme="minorEastAsia" w:hint="eastAsia"/>
          <w:sz w:val="24"/>
        </w:rPr>
        <w:t>28</w:t>
      </w:r>
      <w:r>
        <w:rPr>
          <w:rFonts w:eastAsiaTheme="minorEastAsia" w:hint="eastAsia"/>
          <w:sz w:val="24"/>
        </w:rPr>
        <w:t>艘渔船依法调查，对其违法违规</w:t>
      </w:r>
      <w:r>
        <w:rPr>
          <w:rFonts w:eastAsiaTheme="minorEastAsia" w:hint="eastAsia"/>
          <w:sz w:val="24"/>
        </w:rPr>
        <w:lastRenderedPageBreak/>
        <w:t>行为严肃查处。东港市渔业渔民渔船事务服务中心抽调渔政执法人员组成专班，在公安机关协助下，连夜对相关人员谈话询问，调取轨迹，固定证据。经过连续几天昼夜调查，辽某渔运</w:t>
      </w:r>
      <w:r>
        <w:rPr>
          <w:rFonts w:eastAsiaTheme="minorEastAsia" w:hint="eastAsia"/>
          <w:sz w:val="24"/>
        </w:rPr>
        <w:t>2**0</w:t>
      </w:r>
      <w:r>
        <w:rPr>
          <w:rFonts w:eastAsiaTheme="minorEastAsia" w:hint="eastAsia"/>
          <w:sz w:val="24"/>
        </w:rPr>
        <w:t>渔船船主于某香及私拆北斗的</w:t>
      </w:r>
      <w:r>
        <w:rPr>
          <w:rFonts w:eastAsiaTheme="minorEastAsia" w:hint="eastAsia"/>
          <w:sz w:val="24"/>
        </w:rPr>
        <w:t>28</w:t>
      </w:r>
      <w:r>
        <w:rPr>
          <w:rFonts w:eastAsiaTheme="minorEastAsia" w:hint="eastAsia"/>
          <w:sz w:val="24"/>
        </w:rPr>
        <w:t>艘渔船船主及船长，均承认相关违法事实。依据《辽宁省海洋渔业船舶导航安全设备使用暂行规定》东港渔政执法机构对涉事渔船私拆北斗罚款</w:t>
      </w:r>
      <w:r>
        <w:rPr>
          <w:rFonts w:eastAsiaTheme="minorEastAsia" w:hint="eastAsia"/>
          <w:sz w:val="24"/>
        </w:rPr>
        <w:t>56</w:t>
      </w:r>
      <w:r>
        <w:rPr>
          <w:rFonts w:eastAsiaTheme="minorEastAsia" w:hint="eastAsia"/>
          <w:sz w:val="24"/>
        </w:rPr>
        <w:t>万元，对职务船员证书不齐问题罚款</w:t>
      </w:r>
      <w:r>
        <w:rPr>
          <w:rFonts w:eastAsiaTheme="minorEastAsia" w:hint="eastAsia"/>
          <w:sz w:val="24"/>
        </w:rPr>
        <w:t>20.2</w:t>
      </w:r>
      <w:r>
        <w:rPr>
          <w:rFonts w:eastAsiaTheme="minorEastAsia" w:hint="eastAsia"/>
          <w:sz w:val="24"/>
        </w:rPr>
        <w:t>万元。</w:t>
      </w:r>
    </w:p>
    <w:p w14:paraId="0A9D3024"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2021</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18</w:t>
      </w:r>
      <w:r>
        <w:rPr>
          <w:rFonts w:eastAsiaTheme="minorEastAsia" w:hint="eastAsia"/>
          <w:sz w:val="24"/>
        </w:rPr>
        <w:t>日，东港市人民检察院介入本案侦查。经全面阅卷并与侦查人员两次召开案件研判会议，办案检察官建议公安机关围绕“北斗”在渔业生产安全方面的作用、拆卸“北斗”可能发生的“现实危险”以及当事人主观明知等方面继续补强证据。公安机关据此完善了相关证据，证实“北斗”具有“一键报警”“船只颠覆入水自动报警”等救助功能，渔民私拆“北斗”是为了趁恶劣天气执法船只无法出海巡查，到渔业资源丰富海域进行捕捞作业，渔船拆卸“北斗”后，出现风险无法保证被及时救援。与此同时，检察官还到东港市渔业渔民渔船管理局查阅相关资料，了解海上交通安全和渔船、渔港、海洋渔业安全管理等法律法规；联系“北斗”生产厂家和售后服务部门，咨询“北斗”在海上救援中起到的作用等，以准确认定“北斗”作用以及行为人拆卸“北斗”的行为是否“具有发生重大伤亡事故或者其他严重后果的现实危险”。</w:t>
      </w:r>
    </w:p>
    <w:p w14:paraId="4B4C91C5"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（二）判决结果</w:t>
      </w:r>
    </w:p>
    <w:p w14:paraId="5381115A"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2021</w:t>
      </w:r>
      <w:r>
        <w:rPr>
          <w:rFonts w:eastAsiaTheme="minorEastAsia" w:hint="eastAsia"/>
          <w:sz w:val="24"/>
        </w:rPr>
        <w:t>年</w:t>
      </w:r>
      <w:r>
        <w:rPr>
          <w:rFonts w:eastAsiaTheme="minorEastAsia" w:hint="eastAsia"/>
          <w:sz w:val="24"/>
        </w:rPr>
        <w:t>11</w:t>
      </w:r>
      <w:r>
        <w:rPr>
          <w:rFonts w:eastAsiaTheme="minorEastAsia" w:hint="eastAsia"/>
          <w:sz w:val="24"/>
        </w:rPr>
        <w:t>月</w:t>
      </w:r>
      <w:r>
        <w:rPr>
          <w:rFonts w:eastAsiaTheme="minorEastAsia" w:hint="eastAsia"/>
          <w:sz w:val="24"/>
        </w:rPr>
        <w:t>11</w:t>
      </w:r>
      <w:r>
        <w:rPr>
          <w:rFonts w:eastAsiaTheme="minorEastAsia" w:hint="eastAsia"/>
          <w:sz w:val="24"/>
        </w:rPr>
        <w:t>日，辽宁省东港市人民检察院以危险作业罪对于某香等</w:t>
      </w:r>
      <w:r>
        <w:rPr>
          <w:rFonts w:eastAsiaTheme="minorEastAsia" w:hint="eastAsia"/>
          <w:sz w:val="24"/>
        </w:rPr>
        <w:t>14</w:t>
      </w:r>
      <w:r>
        <w:rPr>
          <w:rFonts w:eastAsiaTheme="minorEastAsia" w:hint="eastAsia"/>
          <w:sz w:val="24"/>
        </w:rPr>
        <w:t>人提起公诉。同年</w:t>
      </w:r>
      <w:r>
        <w:rPr>
          <w:rFonts w:eastAsiaTheme="minorEastAsia" w:hint="eastAsia"/>
          <w:sz w:val="24"/>
        </w:rPr>
        <w:t>11</w:t>
      </w:r>
      <w:r>
        <w:rPr>
          <w:rFonts w:eastAsiaTheme="minorEastAsia" w:hint="eastAsia"/>
          <w:sz w:val="24"/>
        </w:rPr>
        <w:t>月</w:t>
      </w:r>
      <w:r>
        <w:rPr>
          <w:rFonts w:eastAsiaTheme="minorEastAsia" w:hint="eastAsia"/>
          <w:sz w:val="24"/>
        </w:rPr>
        <w:t>29</w:t>
      </w:r>
      <w:r>
        <w:rPr>
          <w:rFonts w:eastAsiaTheme="minorEastAsia" w:hint="eastAsia"/>
          <w:sz w:val="24"/>
        </w:rPr>
        <w:t>日，东港市人民法院采纳检察机关的指控和量刑建议，当庭宣判，以危险作业罪判处被告人于某香等</w:t>
      </w:r>
      <w:r>
        <w:rPr>
          <w:rFonts w:eastAsiaTheme="minorEastAsia" w:hint="eastAsia"/>
          <w:sz w:val="24"/>
        </w:rPr>
        <w:t>14</w:t>
      </w:r>
      <w:r>
        <w:rPr>
          <w:rFonts w:eastAsiaTheme="minorEastAsia" w:hint="eastAsia"/>
          <w:sz w:val="24"/>
        </w:rPr>
        <w:t>人有期徒刑十个月至拘役二个月不等的刑罚。于某香不服判决，提出上诉。</w:t>
      </w:r>
      <w:r>
        <w:rPr>
          <w:rFonts w:eastAsiaTheme="minorEastAsia" w:hint="eastAsia"/>
          <w:sz w:val="24"/>
        </w:rPr>
        <w:t>2022</w:t>
      </w:r>
      <w:r>
        <w:rPr>
          <w:rFonts w:eastAsiaTheme="minorEastAsia" w:hint="eastAsia"/>
          <w:sz w:val="24"/>
        </w:rPr>
        <w:t>年</w:t>
      </w:r>
      <w:r>
        <w:rPr>
          <w:rFonts w:eastAsiaTheme="minorEastAsia" w:hint="eastAsia"/>
          <w:sz w:val="24"/>
        </w:rPr>
        <w:t>1</w:t>
      </w:r>
      <w:r>
        <w:rPr>
          <w:rFonts w:eastAsiaTheme="minorEastAsia" w:hint="eastAsia"/>
          <w:sz w:val="24"/>
        </w:rPr>
        <w:t>月</w:t>
      </w:r>
      <w:r>
        <w:rPr>
          <w:rFonts w:eastAsiaTheme="minorEastAsia" w:hint="eastAsia"/>
          <w:sz w:val="24"/>
        </w:rPr>
        <w:t>4</w:t>
      </w:r>
      <w:r>
        <w:rPr>
          <w:rFonts w:eastAsiaTheme="minorEastAsia" w:hint="eastAsia"/>
          <w:sz w:val="24"/>
        </w:rPr>
        <w:t>日，丹东市中级人民法院作出二审判决，于某香因在二审期间认罪认罚，刑期从有期徒刑十个月改为九个月，其他被告人维持原判。</w:t>
      </w:r>
    </w:p>
    <w:p w14:paraId="19837AEC"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（三）典型意义</w:t>
      </w:r>
    </w:p>
    <w:p w14:paraId="640F5F50"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危险作业罪是《中华人民共和国刑法修正案（十一）》新增罪名，是我国刑法首次将安全生产领域未发生重大伤亡事故或未造成严重后果但具有现实危险的违法行为纳入刑法惩处的范围。根据《中华人民共和国刑法》第一百三十四条的规定，在生产、作业中违反有关安全管理的规定，关闭、破坏直接关系生产安全的监控、报警、防护、救生设备、设施，或者篡改、隐瞒、销毁其相关数据、信息，具有发生重大伤亡事故或者其他严重后果的现实危险的，将构成危险作业罪。</w:t>
      </w:r>
    </w:p>
    <w:p w14:paraId="3CC86704"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本案是辽宁地区首例海上渔业生产领域危险作业案，东港市检察院成立专案专班，第</w:t>
      </w:r>
      <w:r>
        <w:rPr>
          <w:rFonts w:eastAsiaTheme="minorEastAsia" w:hint="eastAsia"/>
          <w:sz w:val="24"/>
        </w:rPr>
        <w:lastRenderedPageBreak/>
        <w:t>一时间向上级院请示汇报。丹东市检察院安排专人负责同步审查，指导东港市院办案检察官制作案件证据指引，有效引导取证，实现快捕快诉。丹东市检察院还组织两级院检察官召开联席会议，专门就“现实危险”的判断标准和拆卸渔船“北斗”是否构成危险作业罪的“现实危险”进行研判。经研究认为，渔业生产、矿山、危险化学品等行业属八大高危行业，其生产作业具有高度危险性。本案涉案渔船选择在恶劣天气规避监管出海从事渔业生产，该行为明显超出渔船自身抗风险能力，行为人又将具有“一键报警”“船只颠覆入水自动报警”等功能的“北斗”拆除，致使船只不能接受相关部门风险提示，出现风险无法保证被及时救援，符合《中华人民共和国刑法》第一百三十四条规定，具有“发生重大伤亡事故或者其他严重后果的现实危险”，构成危险作业罪。危险作业罪的依法准确适用，可以有效防患于未然，避免生产安全事故发生。认定生产作业中违反有关安全管理规定的行为是否构成危险作业罪，判断行为是否“具有发生重大伤亡事故或者其他严重后果的现实危险”是关键。“具有发生重大伤亡事故或者其他严重后果的现实危险”，一般是指现实存在的、紧迫的危险，如果这种危险持续存在，将可能随时导致发生重大伤亡事故或者其他严重后果，应当结合行业属性、行为对象、现场环境、违规行为严重程度、纠正整改措施的及时性和有效性等因素，进行综合判断。专业性强、认定难度大的，可委托有关监管部门或有关机构出具是否存在“现实危险”的评估意见，结合其他证据进行判断。</w:t>
      </w:r>
    </w:p>
    <w:p w14:paraId="6F24CDF5" w14:textId="77777777" w:rsidR="000B4139" w:rsidRDefault="00000000" w:rsidP="008F37A7">
      <w:pPr>
        <w:spacing w:line="360" w:lineRule="auto"/>
        <w:rPr>
          <w:rFonts w:eastAsiaTheme="minorEastAsia"/>
          <w:sz w:val="24"/>
        </w:rPr>
      </w:pPr>
      <w:r>
        <w:rPr>
          <w:rFonts w:eastAsiaTheme="minorEastAsia" w:hint="eastAsia"/>
          <w:sz w:val="24"/>
        </w:rPr>
        <w:t>二、福建省莆田市秀屿区柯某甲等</w:t>
      </w:r>
      <w:r>
        <w:rPr>
          <w:rFonts w:eastAsiaTheme="minorEastAsia" w:hint="eastAsia"/>
          <w:sz w:val="24"/>
        </w:rPr>
        <w:t>3</w:t>
      </w:r>
      <w:r>
        <w:rPr>
          <w:rFonts w:eastAsiaTheme="minorEastAsia" w:hint="eastAsia"/>
          <w:sz w:val="24"/>
        </w:rPr>
        <w:t>人拆除乡镇船舶北斗定位终端非法捕捞以危险作业罪入刑案</w:t>
      </w:r>
    </w:p>
    <w:p w14:paraId="71FE111C"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（一）基本案情</w:t>
      </w:r>
    </w:p>
    <w:p w14:paraId="3AE34899"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2025</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24</w:t>
      </w:r>
      <w:r>
        <w:rPr>
          <w:rFonts w:eastAsiaTheme="minorEastAsia" w:hint="eastAsia"/>
          <w:sz w:val="24"/>
        </w:rPr>
        <w:t>日，莆田市秀屿区平海镇柯某甲、柯某乙、柯某丙三人采取锯断船板的方式拆卸北斗定位设备，在大风警报未解除前擅自携带网具出海非法捕捞，导致船舶倾覆，耗费大量公共应急资源。</w:t>
      </w:r>
    </w:p>
    <w:p w14:paraId="3C64DEF0"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（二）判决结果</w:t>
      </w:r>
    </w:p>
    <w:p w14:paraId="04C9705D"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莆田市秀屿区人民法院以危险作业罪判处船长柯某甲拘役</w:t>
      </w:r>
      <w:r>
        <w:rPr>
          <w:rFonts w:eastAsiaTheme="minorEastAsia" w:hint="eastAsia"/>
          <w:sz w:val="24"/>
        </w:rPr>
        <w:t>3</w:t>
      </w:r>
      <w:r>
        <w:rPr>
          <w:rFonts w:eastAsiaTheme="minorEastAsia" w:hint="eastAsia"/>
          <w:sz w:val="24"/>
        </w:rPr>
        <w:t>个月，船员柯某乙、柯某丙拘役</w:t>
      </w:r>
      <w:r>
        <w:rPr>
          <w:rFonts w:eastAsiaTheme="minorEastAsia" w:hint="eastAsia"/>
          <w:sz w:val="24"/>
        </w:rPr>
        <w:t>2</w:t>
      </w:r>
      <w:r>
        <w:rPr>
          <w:rFonts w:eastAsiaTheme="minorEastAsia" w:hint="eastAsia"/>
          <w:sz w:val="24"/>
        </w:rPr>
        <w:t>个月。</w:t>
      </w:r>
    </w:p>
    <w:p w14:paraId="3EE844BA"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（三）典型意义</w:t>
      </w:r>
    </w:p>
    <w:p w14:paraId="6FA15C19"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案件移送审查起诉后，秀屿区人民检察院积极落实“快侦快诉”要求，协同本级渔政、公安、法院等部门，全流程适用“</w:t>
      </w:r>
      <w:r>
        <w:rPr>
          <w:rFonts w:eastAsiaTheme="minorEastAsia" w:hint="eastAsia"/>
          <w:sz w:val="24"/>
        </w:rPr>
        <w:t>48</w:t>
      </w:r>
      <w:r>
        <w:rPr>
          <w:rFonts w:eastAsiaTheme="minorEastAsia" w:hint="eastAsia"/>
          <w:sz w:val="24"/>
        </w:rPr>
        <w:t>小时速裁”程序，第一时间提前介入侦查，引导取证，及时审查证据，厘清事实，在法定期限内快速完成所有诉讼流程。</w:t>
      </w:r>
    </w:p>
    <w:p w14:paraId="1C5724B1" w14:textId="77777777" w:rsidR="000B4139" w:rsidRDefault="00000000" w:rsidP="008F37A7">
      <w:pPr>
        <w:spacing w:line="360" w:lineRule="auto"/>
        <w:rPr>
          <w:rFonts w:eastAsiaTheme="minorEastAsia"/>
          <w:sz w:val="24"/>
        </w:rPr>
      </w:pPr>
      <w:r>
        <w:rPr>
          <w:rFonts w:eastAsiaTheme="minorEastAsia" w:hint="eastAsia"/>
          <w:sz w:val="24"/>
        </w:rPr>
        <w:lastRenderedPageBreak/>
        <w:t>三、浙江省舟山市普陀区吴某某等</w:t>
      </w:r>
      <w:r>
        <w:rPr>
          <w:rFonts w:eastAsiaTheme="minorEastAsia" w:hint="eastAsia"/>
          <w:sz w:val="24"/>
        </w:rPr>
        <w:t>2</w:t>
      </w:r>
      <w:r>
        <w:rPr>
          <w:rFonts w:eastAsiaTheme="minorEastAsia" w:hint="eastAsia"/>
          <w:sz w:val="24"/>
        </w:rPr>
        <w:t>人拆除北斗定位终端非法载客以危险作业罪入刑案</w:t>
      </w:r>
    </w:p>
    <w:p w14:paraId="56276CA5"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（一）基本案情</w:t>
      </w:r>
    </w:p>
    <w:p w14:paraId="417FE7AF"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2024</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9</w:t>
      </w:r>
      <w:r>
        <w:rPr>
          <w:rFonts w:eastAsiaTheme="minorEastAsia" w:hint="eastAsia"/>
          <w:sz w:val="24"/>
        </w:rPr>
        <w:t>日，被告人吴某某受托，擅自拆除普海休</w:t>
      </w:r>
      <w:r>
        <w:rPr>
          <w:rFonts w:eastAsiaTheme="minorEastAsia" w:hint="eastAsia"/>
          <w:sz w:val="24"/>
        </w:rPr>
        <w:t>7**1</w:t>
      </w:r>
      <w:r>
        <w:rPr>
          <w:rFonts w:eastAsiaTheme="minorEastAsia" w:hint="eastAsia"/>
          <w:sz w:val="24"/>
        </w:rPr>
        <w:t>船固定式北斗船舶示位仪，违规超航区航行，非法运送周某某、李某某到某外轮。</w:t>
      </w:r>
      <w:r>
        <w:rPr>
          <w:rFonts w:eastAsiaTheme="minorEastAsia" w:hint="eastAsia"/>
          <w:sz w:val="24"/>
        </w:rPr>
        <w:t>10</w:t>
      </w:r>
      <w:r>
        <w:rPr>
          <w:rFonts w:eastAsiaTheme="minorEastAsia" w:hint="eastAsia"/>
          <w:sz w:val="24"/>
        </w:rPr>
        <w:t>月</w:t>
      </w:r>
      <w:r>
        <w:rPr>
          <w:rFonts w:eastAsiaTheme="minorEastAsia" w:hint="eastAsia"/>
          <w:sz w:val="24"/>
        </w:rPr>
        <w:t>10</w:t>
      </w:r>
      <w:r>
        <w:rPr>
          <w:rFonts w:eastAsiaTheme="minorEastAsia" w:hint="eastAsia"/>
          <w:sz w:val="24"/>
        </w:rPr>
        <w:t>日晚，吴某某再次受托，并与杨某某商定后，定于次日接人回港。</w:t>
      </w:r>
      <w:r>
        <w:rPr>
          <w:rFonts w:eastAsiaTheme="minorEastAsia" w:hint="eastAsia"/>
          <w:sz w:val="24"/>
        </w:rPr>
        <w:t>10</w:t>
      </w:r>
      <w:r>
        <w:rPr>
          <w:rFonts w:eastAsiaTheme="minorEastAsia" w:hint="eastAsia"/>
          <w:sz w:val="24"/>
        </w:rPr>
        <w:t>月</w:t>
      </w:r>
      <w:r>
        <w:rPr>
          <w:rFonts w:eastAsiaTheme="minorEastAsia" w:hint="eastAsia"/>
          <w:sz w:val="24"/>
        </w:rPr>
        <w:t>11</w:t>
      </w:r>
      <w:r>
        <w:rPr>
          <w:rFonts w:eastAsiaTheme="minorEastAsia" w:hint="eastAsia"/>
          <w:sz w:val="24"/>
        </w:rPr>
        <w:t>日，杨某某拆除普海休</w:t>
      </w:r>
      <w:r>
        <w:rPr>
          <w:rFonts w:eastAsiaTheme="minorEastAsia" w:hint="eastAsia"/>
          <w:sz w:val="24"/>
        </w:rPr>
        <w:t>5**1</w:t>
      </w:r>
      <w:r>
        <w:rPr>
          <w:rFonts w:eastAsiaTheme="minorEastAsia" w:hint="eastAsia"/>
          <w:sz w:val="24"/>
        </w:rPr>
        <w:t>船固定式北斗船舶示位仪，超航区驾驶该船接人回港，在返程途中失联。其间，舟山市普陀区渔业应急指挥中心接失联报告后开展救援，相继指派</w:t>
      </w:r>
      <w:r>
        <w:rPr>
          <w:rFonts w:eastAsiaTheme="minorEastAsia" w:hint="eastAsia"/>
          <w:sz w:val="24"/>
        </w:rPr>
        <w:t>30</w:t>
      </w:r>
      <w:r>
        <w:rPr>
          <w:rFonts w:eastAsiaTheme="minorEastAsia" w:hint="eastAsia"/>
          <w:sz w:val="24"/>
        </w:rPr>
        <w:t>余艘渔政船、渔船开展搜救，并联系海事、应急管理等部门派遣</w:t>
      </w:r>
      <w:r>
        <w:rPr>
          <w:rFonts w:eastAsiaTheme="minorEastAsia" w:hint="eastAsia"/>
          <w:sz w:val="24"/>
        </w:rPr>
        <w:t>3</w:t>
      </w:r>
      <w:r>
        <w:rPr>
          <w:rFonts w:eastAsiaTheme="minorEastAsia" w:hint="eastAsia"/>
          <w:sz w:val="24"/>
        </w:rPr>
        <w:t>艘海事船、</w:t>
      </w:r>
      <w:r>
        <w:rPr>
          <w:rFonts w:eastAsiaTheme="minorEastAsia" w:hint="eastAsia"/>
          <w:sz w:val="24"/>
        </w:rPr>
        <w:t>4</w:t>
      </w:r>
      <w:r>
        <w:rPr>
          <w:rFonts w:eastAsiaTheme="minorEastAsia" w:hint="eastAsia"/>
          <w:sz w:val="24"/>
        </w:rPr>
        <w:t>组无人机协同搜救。</w:t>
      </w:r>
      <w:r>
        <w:rPr>
          <w:rFonts w:eastAsiaTheme="minorEastAsia" w:hint="eastAsia"/>
          <w:sz w:val="24"/>
        </w:rPr>
        <w:t>10</w:t>
      </w:r>
      <w:r>
        <w:rPr>
          <w:rFonts w:eastAsiaTheme="minorEastAsia" w:hint="eastAsia"/>
          <w:sz w:val="24"/>
        </w:rPr>
        <w:t>月</w:t>
      </w:r>
      <w:r>
        <w:rPr>
          <w:rFonts w:eastAsiaTheme="minorEastAsia" w:hint="eastAsia"/>
          <w:sz w:val="24"/>
        </w:rPr>
        <w:t>12</w:t>
      </w:r>
      <w:r>
        <w:rPr>
          <w:rFonts w:eastAsiaTheme="minorEastAsia" w:hint="eastAsia"/>
          <w:sz w:val="24"/>
        </w:rPr>
        <w:t>日</w:t>
      </w:r>
      <w:r>
        <w:rPr>
          <w:rFonts w:eastAsiaTheme="minorEastAsia" w:hint="eastAsia"/>
          <w:sz w:val="24"/>
        </w:rPr>
        <w:t>11</w:t>
      </w:r>
      <w:r>
        <w:rPr>
          <w:rFonts w:eastAsiaTheme="minorEastAsia" w:hint="eastAsia"/>
          <w:sz w:val="24"/>
        </w:rPr>
        <w:t>时许，普海休</w:t>
      </w:r>
      <w:r>
        <w:rPr>
          <w:rFonts w:eastAsiaTheme="minorEastAsia" w:hint="eastAsia"/>
          <w:sz w:val="24"/>
        </w:rPr>
        <w:t>5**1</w:t>
      </w:r>
      <w:r>
        <w:rPr>
          <w:rFonts w:eastAsiaTheme="minorEastAsia" w:hint="eastAsia"/>
          <w:sz w:val="24"/>
        </w:rPr>
        <w:t>船遇险人员被过路渔船安全救起，无人员伤亡。</w:t>
      </w:r>
    </w:p>
    <w:p w14:paraId="62E7F412"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2024</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12</w:t>
      </w:r>
      <w:r>
        <w:rPr>
          <w:rFonts w:eastAsiaTheme="minorEastAsia" w:hint="eastAsia"/>
          <w:sz w:val="24"/>
        </w:rPr>
        <w:t>日，舟山市普陀区海洋行政执法局将线索移交至普陀区公安分局；次日，普陀区公安分局以危险作业罪立案侦查。经查，吴某某、杨某某无视安全管理制度，且杨某某在未取得渔业船舶驾驶资格证书情况下驾驶船舶，其二人违规从事非法载客，超航区航行，未按要求落实进出港报告制度，未携带便携式甚高频，且擅自拆除固定式北斗船舶示位设备。</w:t>
      </w:r>
    </w:p>
    <w:p w14:paraId="778B4C06"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（二）判决结果</w:t>
      </w:r>
    </w:p>
    <w:p w14:paraId="35F07B31"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普陀区人民法院经审理后认为，被告人吴某某、杨某某在海上作业中违反有关安全管理的规定，破坏直接关系生产安全的监控、防护设备，具有发生重大伤亡事故或者其他严重后果的现实危险，其行为均已构成危险作业罪，且属共同犯罪。二被告人到案后自愿认罪认罚，综合考虑二人的犯罪情节、后果及认罪悔罪态度等，可以依法从宽处理。据此，普陀区法院当庭宣判二被告人犯危险作业罪，均判处有期徒刑七个月，并被禁止自刑罚执行完毕之日起三年内从事小型船艇行业相关工作。</w:t>
      </w:r>
    </w:p>
    <w:p w14:paraId="65B2C7C3"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（三）典型意义</w:t>
      </w:r>
    </w:p>
    <w:p w14:paraId="16A67030"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危险作业罪成立与否，既要考虑行为人是否在生产作业中实施了刑法条文列举的三种罪状行为之一，亦要考量是否具有导致重大伤亡事故或者发生其他严重后果的现实危险。本案中，海钓船艇普海休</w:t>
      </w:r>
      <w:r>
        <w:rPr>
          <w:rFonts w:eastAsiaTheme="minorEastAsia" w:hint="eastAsia"/>
          <w:sz w:val="24"/>
        </w:rPr>
        <w:t>5**1</w:t>
      </w:r>
      <w:r>
        <w:rPr>
          <w:rFonts w:eastAsiaTheme="minorEastAsia" w:hint="eastAsia"/>
          <w:sz w:val="24"/>
        </w:rPr>
        <w:t>船作为普陀区纳管船艇，应按规定安装符合要求的北斗定位、便携式甚高频等通导设备，严禁缺配出海，但吴某某和杨某某二人擅自拆除北斗船舶示位设备，导致发生险情后失联，无法及时获得救助。吴某某、杨某某行为属于危险作业罪中“关闭直接关系生产安全的监控、报警、防护、救生设备、设施”的禁止行为。本案中的现实危险性，体现在被告人擅自拆除固定式北斗船舶示位仪以及其他多个主观违法违规行为，</w:t>
      </w:r>
      <w:r>
        <w:rPr>
          <w:rFonts w:eastAsiaTheme="minorEastAsia" w:hint="eastAsia"/>
          <w:sz w:val="24"/>
        </w:rPr>
        <w:lastRenderedPageBreak/>
        <w:t>共同导致船舶在发生故障后无法及时向外界求助，在失联状态下无动力漂航近</w:t>
      </w:r>
      <w:r>
        <w:rPr>
          <w:rFonts w:eastAsiaTheme="minorEastAsia" w:hint="eastAsia"/>
          <w:sz w:val="24"/>
        </w:rPr>
        <w:t>20</w:t>
      </w:r>
      <w:r>
        <w:rPr>
          <w:rFonts w:eastAsiaTheme="minorEastAsia" w:hint="eastAsia"/>
          <w:sz w:val="24"/>
        </w:rPr>
        <w:t>小时，存在发生碰撞、侧翻沉没、人员落水等重大安全风险，严重扰乱海上交通及社会管理秩序。因无法定位船舶，给搜救工作增加了难度，对船上人员人身安全已带来重大现实危险性，若非及时救援，很可能造成人员伤亡，故已具有现实危险。</w:t>
      </w:r>
    </w:p>
    <w:p w14:paraId="0A2AADF1"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另外，根据《中华人民共和国刑法》第三十七条关于“从业禁止”的规定，人民法院依法禁止两名被告人在刑罚执行完毕后的三年内从事小型船艇行业相关工作，有效预防了刑罚执行完毕后的短期再犯罪，也为打击其他海上违法犯罪行为提供了借鉴。</w:t>
      </w:r>
    </w:p>
    <w:p w14:paraId="225FBB7D" w14:textId="77777777" w:rsidR="000B4139" w:rsidRDefault="00000000" w:rsidP="008F37A7">
      <w:pPr>
        <w:spacing w:line="360" w:lineRule="auto"/>
        <w:rPr>
          <w:rFonts w:eastAsiaTheme="minorEastAsia"/>
          <w:sz w:val="24"/>
        </w:rPr>
      </w:pPr>
      <w:r>
        <w:rPr>
          <w:rFonts w:eastAsiaTheme="minorEastAsia" w:hint="eastAsia"/>
          <w:sz w:val="24"/>
        </w:rPr>
        <w:t>四、广东省叶某某违反防台风指令且擅自拆卸安全通导设备以危险作业罪入刑</w:t>
      </w:r>
    </w:p>
    <w:p w14:paraId="4DA86215"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（一）基本案情</w:t>
      </w:r>
    </w:p>
    <w:p w14:paraId="4FC797E5"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2021</w:t>
      </w:r>
      <w:r>
        <w:rPr>
          <w:rFonts w:eastAsiaTheme="minorEastAsia" w:hint="eastAsia"/>
          <w:sz w:val="24"/>
        </w:rPr>
        <w:t>年</w:t>
      </w:r>
      <w:r>
        <w:rPr>
          <w:rFonts w:eastAsiaTheme="minorEastAsia" w:hint="eastAsia"/>
          <w:sz w:val="24"/>
        </w:rPr>
        <w:t>7</w:t>
      </w:r>
      <w:r>
        <w:rPr>
          <w:rFonts w:eastAsiaTheme="minorEastAsia" w:hint="eastAsia"/>
          <w:sz w:val="24"/>
        </w:rPr>
        <w:t>月，大型钓具渔船“琼某渔</w:t>
      </w:r>
      <w:r>
        <w:rPr>
          <w:rFonts w:eastAsiaTheme="minorEastAsia" w:hint="eastAsia"/>
          <w:sz w:val="24"/>
        </w:rPr>
        <w:t>2**1</w:t>
      </w:r>
      <w:r>
        <w:rPr>
          <w:rFonts w:eastAsiaTheme="minorEastAsia" w:hint="eastAsia"/>
          <w:sz w:val="24"/>
        </w:rPr>
        <w:t>”负责人叶某某先后收到“广东省海洋综合执法总队香洲大队”的“台风预警通知”及“防台通知”，告知第</w:t>
      </w:r>
      <w:r>
        <w:rPr>
          <w:rFonts w:eastAsiaTheme="minorEastAsia" w:hint="eastAsia"/>
          <w:sz w:val="24"/>
        </w:rPr>
        <w:t>7</w:t>
      </w:r>
      <w:r>
        <w:rPr>
          <w:rFonts w:eastAsiaTheme="minorEastAsia" w:hint="eastAsia"/>
          <w:sz w:val="24"/>
        </w:rPr>
        <w:t>号台风“查帕卡”已经生成，并且要求珠海以西至雷州半岛以东海上航行作业渔船全部回港避风。叶某某并未执行上述防台要求，仍违规出海并擅自拆卸安全通导设备。该船在返航途中，曾处于台风十级风圈内，船上机械出现故障，并一度与外界失去联系。</w:t>
      </w:r>
      <w:r>
        <w:rPr>
          <w:rFonts w:eastAsiaTheme="minorEastAsia" w:hint="eastAsia"/>
          <w:sz w:val="24"/>
        </w:rPr>
        <w:t>7</w:t>
      </w:r>
      <w:r>
        <w:rPr>
          <w:rFonts w:eastAsiaTheme="minorEastAsia" w:hint="eastAsia"/>
          <w:sz w:val="24"/>
        </w:rPr>
        <w:t>月</w:t>
      </w:r>
      <w:r>
        <w:rPr>
          <w:rFonts w:eastAsiaTheme="minorEastAsia" w:hint="eastAsia"/>
          <w:sz w:val="24"/>
        </w:rPr>
        <w:t>21</w:t>
      </w:r>
      <w:r>
        <w:rPr>
          <w:rFonts w:eastAsiaTheme="minorEastAsia" w:hint="eastAsia"/>
          <w:sz w:val="24"/>
        </w:rPr>
        <w:t>日，广东省海洋综合执法总队指挥调度执法力量在洪鹤大桥以南海域查扣该船。该案引起国家、省、市各级应急、海事、农业农村部门高度关注，造成恶劣社会影响。</w:t>
      </w:r>
    </w:p>
    <w:p w14:paraId="371B04FB"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（二）判决结果</w:t>
      </w:r>
    </w:p>
    <w:p w14:paraId="229AF464"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经查，该船存在拒不服从渔政渔港监督管理机关对渔港水域交通安全的管理决定、擅自拆除北斗天线等多项违法行为，涉嫌危险作业罪。广东省海洋综合执法总队作出罚款</w:t>
      </w:r>
      <w:r>
        <w:rPr>
          <w:rFonts w:eastAsiaTheme="minorEastAsia" w:hint="eastAsia"/>
          <w:sz w:val="24"/>
        </w:rPr>
        <w:t>2.1</w:t>
      </w:r>
      <w:r>
        <w:rPr>
          <w:rFonts w:eastAsiaTheme="minorEastAsia" w:hint="eastAsia"/>
          <w:sz w:val="24"/>
        </w:rPr>
        <w:t>万元的行政处罚决定后，将案件移送海警机构追究刑事责任。</w:t>
      </w:r>
      <w:r>
        <w:rPr>
          <w:rFonts w:eastAsiaTheme="minorEastAsia" w:hint="eastAsia"/>
          <w:sz w:val="24"/>
        </w:rPr>
        <w:t>2021</w:t>
      </w:r>
      <w:r>
        <w:rPr>
          <w:rFonts w:eastAsiaTheme="minorEastAsia" w:hint="eastAsia"/>
          <w:sz w:val="24"/>
        </w:rPr>
        <w:t>年</w:t>
      </w:r>
      <w:r>
        <w:rPr>
          <w:rFonts w:eastAsiaTheme="minorEastAsia" w:hint="eastAsia"/>
          <w:sz w:val="24"/>
        </w:rPr>
        <w:t>8</w:t>
      </w:r>
      <w:r>
        <w:rPr>
          <w:rFonts w:eastAsiaTheme="minorEastAsia" w:hint="eastAsia"/>
          <w:sz w:val="24"/>
        </w:rPr>
        <w:t>月</w:t>
      </w:r>
      <w:r>
        <w:rPr>
          <w:rFonts w:eastAsiaTheme="minorEastAsia" w:hint="eastAsia"/>
          <w:sz w:val="24"/>
        </w:rPr>
        <w:t>24</w:t>
      </w:r>
      <w:r>
        <w:rPr>
          <w:rFonts w:eastAsiaTheme="minorEastAsia" w:hint="eastAsia"/>
          <w:sz w:val="24"/>
        </w:rPr>
        <w:t>日，横琴粤澳深度合作区检察院提前介入该案侦查活动，并建议侦查机关以危险作业罪立案侦查。</w:t>
      </w:r>
      <w:r>
        <w:rPr>
          <w:rFonts w:eastAsiaTheme="minorEastAsia" w:hint="eastAsia"/>
          <w:sz w:val="24"/>
        </w:rPr>
        <w:t>2022</w:t>
      </w:r>
      <w:r>
        <w:rPr>
          <w:rFonts w:eastAsiaTheme="minorEastAsia" w:hint="eastAsia"/>
          <w:sz w:val="24"/>
        </w:rPr>
        <w:t>年</w:t>
      </w:r>
      <w:r>
        <w:rPr>
          <w:rFonts w:eastAsiaTheme="minorEastAsia" w:hint="eastAsia"/>
          <w:sz w:val="24"/>
        </w:rPr>
        <w:t>7</w:t>
      </w:r>
      <w:r>
        <w:rPr>
          <w:rFonts w:eastAsiaTheme="minorEastAsia" w:hint="eastAsia"/>
          <w:sz w:val="24"/>
        </w:rPr>
        <w:t>月</w:t>
      </w:r>
      <w:r>
        <w:rPr>
          <w:rFonts w:eastAsiaTheme="minorEastAsia" w:hint="eastAsia"/>
          <w:sz w:val="24"/>
        </w:rPr>
        <w:t>12</w:t>
      </w:r>
      <w:r>
        <w:rPr>
          <w:rFonts w:eastAsiaTheme="minorEastAsia" w:hint="eastAsia"/>
          <w:sz w:val="24"/>
        </w:rPr>
        <w:t>日，横琴粤澳深度合作区检察院以危险作业罪对叶某某提起公诉。同年</w:t>
      </w:r>
      <w:r>
        <w:rPr>
          <w:rFonts w:eastAsiaTheme="minorEastAsia" w:hint="eastAsia"/>
          <w:sz w:val="24"/>
        </w:rPr>
        <w:t>10</w:t>
      </w:r>
      <w:r>
        <w:rPr>
          <w:rFonts w:eastAsiaTheme="minorEastAsia" w:hint="eastAsia"/>
          <w:sz w:val="24"/>
        </w:rPr>
        <w:t>月</w:t>
      </w:r>
      <w:r>
        <w:rPr>
          <w:rFonts w:eastAsiaTheme="minorEastAsia" w:hint="eastAsia"/>
          <w:sz w:val="24"/>
        </w:rPr>
        <w:t>12</w:t>
      </w:r>
      <w:r>
        <w:rPr>
          <w:rFonts w:eastAsiaTheme="minorEastAsia" w:hint="eastAsia"/>
          <w:sz w:val="24"/>
        </w:rPr>
        <w:t>日，横琴粤澳深度合作区人民法院采纳检察机关的指控和量刑建议，以危险作业罪判处被告人叶某某拘役三个月，缓刑三个月，支付民事公益诉讼赔偿金</w:t>
      </w:r>
      <w:r>
        <w:rPr>
          <w:rFonts w:eastAsiaTheme="minorEastAsia" w:hint="eastAsia"/>
          <w:sz w:val="24"/>
        </w:rPr>
        <w:t>20.0978</w:t>
      </w:r>
      <w:r>
        <w:rPr>
          <w:rFonts w:eastAsiaTheme="minorEastAsia" w:hint="eastAsia"/>
          <w:sz w:val="24"/>
        </w:rPr>
        <w:t>万元、评估费</w:t>
      </w:r>
      <w:r>
        <w:rPr>
          <w:rFonts w:eastAsiaTheme="minorEastAsia" w:hint="eastAsia"/>
          <w:sz w:val="24"/>
        </w:rPr>
        <w:t>3000</w:t>
      </w:r>
      <w:r>
        <w:rPr>
          <w:rFonts w:eastAsiaTheme="minorEastAsia" w:hint="eastAsia"/>
          <w:sz w:val="24"/>
        </w:rPr>
        <w:t>元，并在市级以上新闻媒体上公开赔礼道歉。</w:t>
      </w:r>
    </w:p>
    <w:p w14:paraId="2D9E66B0"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（三）典型意义</w:t>
      </w:r>
    </w:p>
    <w:p w14:paraId="30D636EB"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本案为国内首起渔船负责人因违反防台风指令并擅自拆卸安全通导设备被以危险作业罪追究刑事责任的案件。在渔业生产中，当事人出于逃避监管等原因擅自关闭、拆卸船载</w:t>
      </w:r>
      <w:r>
        <w:rPr>
          <w:rFonts w:eastAsiaTheme="minorEastAsia" w:hint="eastAsia"/>
          <w:sz w:val="24"/>
        </w:rPr>
        <w:t>AIS</w:t>
      </w:r>
      <w:r>
        <w:rPr>
          <w:rFonts w:eastAsiaTheme="minorEastAsia" w:hint="eastAsia"/>
          <w:sz w:val="24"/>
        </w:rPr>
        <w:t>、北斗等安全通导设备的危险行为。过去，渔政执法机构往往只能依据《中华人民共和</w:t>
      </w:r>
      <w:r>
        <w:rPr>
          <w:rFonts w:eastAsiaTheme="minorEastAsia" w:hint="eastAsia"/>
          <w:sz w:val="24"/>
        </w:rPr>
        <w:lastRenderedPageBreak/>
        <w:t>国渔业船员管理办法》等规章对其给予一定数额罚款的行政处罚，处罚力度不足，相关行为屡禁不止。《中华人民共和国刑法修正案（十一）》新增危险作业罪，意味着即使未发生重大伤亡事故，但只要行为人违反有关安全管理规定，有《中华人民共和国刑法》规定情形之一，具有发生重大伤亡事故或者其他严重后果的现实危险，就将被追究刑事责任。本案中，当事人在台风等恶劣气象条件下，故意关闭安全通导设备冒险出海作业，且同时具有拒不执行防台风指令、拒不配合救援等情形，被认定为属于“关闭、破坏直接关系生产安全的监控、报警、防护、救生设备、设施”并足以产生“发生重大伤亡事故或其他严重后果的现实危险”，符合危险作业罪的构成条件，最终被科以行政处罚、刑事处罚及民事公益赔偿三项法律责任，不仅发挥了重要警示震慑作用，也对执法部门综合运用各种法律手段严打违法渔船，防范化解安全风险具有重要指导意义。</w:t>
      </w:r>
      <w:r>
        <w:rPr>
          <w:rFonts w:eastAsiaTheme="minorEastAsia" w:hint="eastAsia"/>
          <w:sz w:val="24"/>
        </w:rPr>
        <w:t xml:space="preserve"> </w:t>
      </w:r>
    </w:p>
    <w:p w14:paraId="2505AC11" w14:textId="77777777" w:rsidR="000B4139" w:rsidRDefault="00000000" w:rsidP="008F37A7">
      <w:pPr>
        <w:spacing w:line="360" w:lineRule="auto"/>
        <w:rPr>
          <w:rFonts w:eastAsiaTheme="minorEastAsia"/>
          <w:sz w:val="24"/>
        </w:rPr>
      </w:pPr>
      <w:r>
        <w:rPr>
          <w:rFonts w:eastAsiaTheme="minorEastAsia" w:hint="eastAsia"/>
          <w:sz w:val="24"/>
        </w:rPr>
        <w:t>五、福建省平潭综合实验区苏平片区养殖辅助船拆卸北斗定位终端冒险出海以重大责任事故罪入刑案</w:t>
      </w:r>
    </w:p>
    <w:p w14:paraId="65A6C1B8"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（一）基本案情</w:t>
      </w:r>
    </w:p>
    <w:p w14:paraId="49629CDD"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2023</w:t>
      </w:r>
      <w:r>
        <w:rPr>
          <w:rFonts w:eastAsiaTheme="minorEastAsia" w:hint="eastAsia"/>
          <w:sz w:val="24"/>
        </w:rPr>
        <w:t>年</w:t>
      </w:r>
      <w:r>
        <w:rPr>
          <w:rFonts w:eastAsiaTheme="minorEastAsia" w:hint="eastAsia"/>
          <w:sz w:val="24"/>
        </w:rPr>
        <w:t>12</w:t>
      </w:r>
      <w:r>
        <w:rPr>
          <w:rFonts w:eastAsiaTheme="minorEastAsia" w:hint="eastAsia"/>
          <w:sz w:val="24"/>
        </w:rPr>
        <w:t>月</w:t>
      </w:r>
      <w:r>
        <w:rPr>
          <w:rFonts w:eastAsiaTheme="minorEastAsia" w:hint="eastAsia"/>
          <w:sz w:val="24"/>
        </w:rPr>
        <w:t>22</w:t>
      </w:r>
      <w:r>
        <w:rPr>
          <w:rFonts w:eastAsiaTheme="minorEastAsia" w:hint="eastAsia"/>
          <w:sz w:val="24"/>
        </w:rPr>
        <w:t>日，平潭综合实验区苏平片区的“岚苏平养</w:t>
      </w:r>
      <w:r>
        <w:rPr>
          <w:rFonts w:eastAsiaTheme="minorEastAsia" w:hint="eastAsia"/>
          <w:sz w:val="24"/>
        </w:rPr>
        <w:t>5**9</w:t>
      </w:r>
      <w:r>
        <w:rPr>
          <w:rFonts w:eastAsiaTheme="minorEastAsia" w:hint="eastAsia"/>
          <w:sz w:val="24"/>
        </w:rPr>
        <w:t>”乡镇养殖辅助船在平潭综合实验区苏平片区白青乡丰田村北偏东约</w:t>
      </w:r>
      <w:r>
        <w:rPr>
          <w:rFonts w:eastAsiaTheme="minorEastAsia" w:hint="eastAsia"/>
          <w:sz w:val="24"/>
        </w:rPr>
        <w:t>12</w:t>
      </w:r>
      <w:r>
        <w:rPr>
          <w:rFonts w:eastAsiaTheme="minorEastAsia" w:hint="eastAsia"/>
          <w:sz w:val="24"/>
        </w:rPr>
        <w:t>海里处海域违法违规进行刺网捕捞作业时，遭遇大风浪袭击倾覆后沉没，船上</w:t>
      </w:r>
      <w:r>
        <w:rPr>
          <w:rFonts w:eastAsiaTheme="minorEastAsia" w:hint="eastAsia"/>
          <w:sz w:val="24"/>
        </w:rPr>
        <w:t>6</w:t>
      </w:r>
      <w:r>
        <w:rPr>
          <w:rFonts w:eastAsiaTheme="minorEastAsia" w:hint="eastAsia"/>
          <w:sz w:val="24"/>
        </w:rPr>
        <w:t>名人员全部落水，其中</w:t>
      </w:r>
      <w:r>
        <w:rPr>
          <w:rFonts w:eastAsiaTheme="minorEastAsia" w:hint="eastAsia"/>
          <w:sz w:val="24"/>
        </w:rPr>
        <w:t>2</w:t>
      </w:r>
      <w:r>
        <w:rPr>
          <w:rFonts w:eastAsiaTheme="minorEastAsia" w:hint="eastAsia"/>
          <w:sz w:val="24"/>
        </w:rPr>
        <w:t>人被救起，</w:t>
      </w:r>
      <w:r>
        <w:rPr>
          <w:rFonts w:eastAsiaTheme="minorEastAsia" w:hint="eastAsia"/>
          <w:sz w:val="24"/>
        </w:rPr>
        <w:t>3</w:t>
      </w:r>
      <w:r>
        <w:rPr>
          <w:rFonts w:eastAsiaTheme="minorEastAsia" w:hint="eastAsia"/>
          <w:sz w:val="24"/>
        </w:rPr>
        <w:t>人死亡，</w:t>
      </w:r>
      <w:r>
        <w:rPr>
          <w:rFonts w:eastAsiaTheme="minorEastAsia" w:hint="eastAsia"/>
          <w:sz w:val="24"/>
        </w:rPr>
        <w:t>1</w:t>
      </w:r>
      <w:r>
        <w:rPr>
          <w:rFonts w:eastAsiaTheme="minorEastAsia" w:hint="eastAsia"/>
          <w:sz w:val="24"/>
        </w:rPr>
        <w:t>人失踪，直接经济损失</w:t>
      </w:r>
      <w:r>
        <w:rPr>
          <w:rFonts w:eastAsiaTheme="minorEastAsia" w:hint="eastAsia"/>
          <w:sz w:val="24"/>
        </w:rPr>
        <w:t>263.4</w:t>
      </w:r>
      <w:r>
        <w:rPr>
          <w:rFonts w:eastAsiaTheme="minorEastAsia" w:hint="eastAsia"/>
          <w:sz w:val="24"/>
        </w:rPr>
        <w:t>万元。经查，“岚苏平养</w:t>
      </w:r>
      <w:r>
        <w:rPr>
          <w:rFonts w:eastAsiaTheme="minorEastAsia" w:hint="eastAsia"/>
          <w:sz w:val="24"/>
        </w:rPr>
        <w:t>5**9</w:t>
      </w:r>
      <w:r>
        <w:rPr>
          <w:rFonts w:eastAsiaTheme="minorEastAsia" w:hint="eastAsia"/>
          <w:sz w:val="24"/>
        </w:rPr>
        <w:t>”经营人薛某某在恶劣天气和海况下组织出海，私自拆卸具有监控、报警作用的船载北斗示位仪定位设备，未取得相关渔业船舶证书非法从事渔业捕捞。</w:t>
      </w:r>
    </w:p>
    <w:p w14:paraId="6728AF23"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（二）判决结果</w:t>
      </w:r>
    </w:p>
    <w:p w14:paraId="1ED3BE4A"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2024</w:t>
      </w:r>
      <w:r>
        <w:rPr>
          <w:rFonts w:eastAsiaTheme="minorEastAsia" w:hint="eastAsia"/>
          <w:sz w:val="24"/>
        </w:rPr>
        <w:t>年</w:t>
      </w:r>
      <w:r>
        <w:rPr>
          <w:rFonts w:eastAsiaTheme="minorEastAsia" w:hint="eastAsia"/>
          <w:sz w:val="24"/>
        </w:rPr>
        <w:t>10</w:t>
      </w:r>
      <w:r>
        <w:rPr>
          <w:rFonts w:eastAsiaTheme="minorEastAsia" w:hint="eastAsia"/>
          <w:sz w:val="24"/>
        </w:rPr>
        <w:t>月</w:t>
      </w:r>
      <w:r>
        <w:rPr>
          <w:rFonts w:eastAsiaTheme="minorEastAsia" w:hint="eastAsia"/>
          <w:sz w:val="24"/>
        </w:rPr>
        <w:t>17</w:t>
      </w:r>
      <w:r>
        <w:rPr>
          <w:rFonts w:eastAsiaTheme="minorEastAsia" w:hint="eastAsia"/>
          <w:sz w:val="24"/>
        </w:rPr>
        <w:t>日，福建省平潭县人民法院以重大责任事故罪判处被告人薛某某有期徒刑二年九个月。</w:t>
      </w:r>
    </w:p>
    <w:p w14:paraId="3C37D7ED"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（三）典型意义</w:t>
      </w:r>
    </w:p>
    <w:p w14:paraId="45637E08"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重大责任事故罪是指生产、作业中违反安全管理规定，造成重大伤亡或其他严重后果的行为，依照《中华人民共和国刑法》第一百三十四条第一款定罪处罚。该罪主体涵盖对生产、作业负有组织、指挥或管理职责的负责人、管理人员、实际控制人、投资人以及直接从业人员，并通过《中华人民共和国刑法修正案（六）》将主体范围扩展至个体经营者、无证作业人员等一般主体。</w:t>
      </w:r>
    </w:p>
    <w:p w14:paraId="14E6D811" w14:textId="77777777" w:rsidR="000B4139" w:rsidRDefault="00000000" w:rsidP="00096970">
      <w:pPr>
        <w:spacing w:line="360" w:lineRule="auto"/>
        <w:ind w:firstLineChars="200" w:firstLine="480"/>
        <w:rPr>
          <w:rFonts w:eastAsiaTheme="minorEastAsia"/>
          <w:sz w:val="24"/>
        </w:rPr>
      </w:pPr>
      <w:r>
        <w:rPr>
          <w:rFonts w:eastAsiaTheme="minorEastAsia" w:hint="eastAsia"/>
          <w:sz w:val="24"/>
        </w:rPr>
        <w:t>本案中薛某某因拆除核心安全设备、违反安全管理规定导致</w:t>
      </w:r>
      <w:r>
        <w:rPr>
          <w:rFonts w:eastAsiaTheme="minorEastAsia" w:hint="eastAsia"/>
          <w:sz w:val="24"/>
        </w:rPr>
        <w:t>3</w:t>
      </w:r>
      <w:r>
        <w:rPr>
          <w:rFonts w:eastAsiaTheme="minorEastAsia" w:hint="eastAsia"/>
          <w:sz w:val="24"/>
        </w:rPr>
        <w:t>人死亡、</w:t>
      </w:r>
      <w:r>
        <w:rPr>
          <w:rFonts w:eastAsiaTheme="minorEastAsia" w:hint="eastAsia"/>
          <w:sz w:val="24"/>
        </w:rPr>
        <w:t>1</w:t>
      </w:r>
      <w:r>
        <w:rPr>
          <w:rFonts w:eastAsiaTheme="minorEastAsia" w:hint="eastAsia"/>
          <w:sz w:val="24"/>
        </w:rPr>
        <w:t>人失踪的严</w:t>
      </w:r>
      <w:r>
        <w:rPr>
          <w:rFonts w:eastAsiaTheme="minorEastAsia" w:hint="eastAsia"/>
          <w:sz w:val="24"/>
        </w:rPr>
        <w:lastRenderedPageBreak/>
        <w:t>重后果，被以重大责任事故罪判处有期徒刑二年九个月，契合《中华人民共和国刑法》第一百三十四条及相关司法解释中“发生重大伤亡事故或造成严重后果”的入刑标准。同时，该案体现了渔业安全刑事处罚的梯度适配性，既与未造成实际损害但具有现实危险的“危险作业罪”形成罪名衔接，又通过重于危险作业罪的量刑，凸显对造成重大后果行为的严惩立场，破解了以往部分从业者“拆北斗仅受行政处罚”的侥幸认知，为同类案件提供了可借鉴的入刑参照，完善了“行政监管</w:t>
      </w:r>
      <w:r>
        <w:rPr>
          <w:rFonts w:eastAsiaTheme="minorEastAsia" w:hint="eastAsia"/>
          <w:sz w:val="24"/>
        </w:rPr>
        <w:t>+</w:t>
      </w:r>
      <w:r>
        <w:rPr>
          <w:rFonts w:eastAsiaTheme="minorEastAsia" w:hint="eastAsia"/>
          <w:sz w:val="24"/>
        </w:rPr>
        <w:t>刑事追责”的双重治理体系。</w:t>
      </w:r>
    </w:p>
    <w:p w14:paraId="76FBD1E0" w14:textId="77777777" w:rsidR="000B4139" w:rsidRDefault="00000000">
      <w:pPr>
        <w:spacing w:line="360" w:lineRule="auto"/>
        <w:jc w:val="right"/>
        <w:rPr>
          <w:rStyle w:val="vm"/>
          <w:rFonts w:eastAsiaTheme="minorEastAsia"/>
          <w:szCs w:val="21"/>
        </w:rPr>
      </w:pPr>
      <w:r>
        <w:rPr>
          <w:rStyle w:val="vm"/>
          <w:rFonts w:eastAsiaTheme="minorEastAsia" w:hint="eastAsia"/>
          <w:szCs w:val="21"/>
        </w:rPr>
        <w:t>转摘自“海上福建”微信公众号</w:t>
      </w:r>
    </w:p>
    <w:p w14:paraId="35AF6614" w14:textId="77777777" w:rsidR="000B4139" w:rsidRDefault="00000000" w:rsidP="00870EC5">
      <w:pPr>
        <w:spacing w:line="276" w:lineRule="auto"/>
        <w:jc w:val="left"/>
        <w:outlineLvl w:val="0"/>
        <w:rPr>
          <w:rStyle w:val="vm"/>
          <w:rFonts w:eastAsia="黑体"/>
          <w:b/>
          <w:bCs/>
          <w:sz w:val="32"/>
          <w:szCs w:val="32"/>
          <w:bdr w:val="single" w:sz="4" w:space="0" w:color="auto"/>
        </w:rPr>
      </w:pPr>
      <w:bookmarkStart w:id="16" w:name="_Toc220673107"/>
      <w:r>
        <w:rPr>
          <w:rStyle w:val="vm"/>
          <w:rFonts w:eastAsia="黑体" w:hint="eastAsia"/>
          <w:b/>
          <w:bCs/>
          <w:sz w:val="32"/>
          <w:szCs w:val="32"/>
          <w:bdr w:val="single" w:sz="4" w:space="0" w:color="auto"/>
        </w:rPr>
        <w:t>本会动态</w:t>
      </w:r>
      <w:bookmarkEnd w:id="16"/>
    </w:p>
    <w:p w14:paraId="24EBCFBB" w14:textId="77777777" w:rsidR="000B4139" w:rsidRDefault="00000000" w:rsidP="00870EC5">
      <w:pPr>
        <w:spacing w:line="360" w:lineRule="auto"/>
        <w:jc w:val="center"/>
        <w:outlineLvl w:val="1"/>
        <w:rPr>
          <w:rFonts w:eastAsia="黑体"/>
          <w:b/>
          <w:bCs/>
          <w:sz w:val="32"/>
          <w:szCs w:val="32"/>
        </w:rPr>
      </w:pPr>
      <w:bookmarkStart w:id="17" w:name="_Toc220673108"/>
      <w:r>
        <w:rPr>
          <w:rFonts w:eastAsia="黑体" w:hint="eastAsia"/>
          <w:b/>
          <w:bCs/>
          <w:sz w:val="32"/>
          <w:szCs w:val="32"/>
        </w:rPr>
        <w:t>农民日报报道本会陈启发荣誉理事长关于闽宁渔业合作的亲历</w:t>
      </w:r>
      <w:bookmarkEnd w:id="17"/>
    </w:p>
    <w:p w14:paraId="058CF0D6"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28</w:t>
      </w:r>
      <w:r>
        <w:rPr>
          <w:rFonts w:eastAsiaTheme="minorEastAsia" w:hint="eastAsia"/>
          <w:sz w:val="24"/>
        </w:rPr>
        <w:t>日，农民日报报道了闽宁渔业合作的历程，部分内容为本会陈启发荣誉理事长亲历，现转载如下：</w:t>
      </w:r>
    </w:p>
    <w:p w14:paraId="0AFFE231"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黄河上游“几”字弯处的一撇，成就了“天下黄河富宁夏”的美名。然而，对于生于福建沿海、</w:t>
      </w:r>
      <w:r>
        <w:rPr>
          <w:rFonts w:eastAsiaTheme="minorEastAsia" w:hint="eastAsia"/>
          <w:sz w:val="24"/>
        </w:rPr>
        <w:t>20</w:t>
      </w:r>
      <w:r>
        <w:rPr>
          <w:rFonts w:eastAsiaTheme="minorEastAsia" w:hint="eastAsia"/>
          <w:sz w:val="24"/>
        </w:rPr>
        <w:t>世纪</w:t>
      </w:r>
      <w:r>
        <w:rPr>
          <w:rFonts w:eastAsiaTheme="minorEastAsia" w:hint="eastAsia"/>
          <w:sz w:val="24"/>
        </w:rPr>
        <w:t>60</w:t>
      </w:r>
      <w:r>
        <w:rPr>
          <w:rFonts w:eastAsiaTheme="minorEastAsia" w:hint="eastAsia"/>
          <w:sz w:val="24"/>
        </w:rPr>
        <w:t>年代大学毕业被分配到宁夏水产系统工作的陈启发来说，西北内陆最让他不能适应的除了天干物燥，还有“吃不上鱼”。</w:t>
      </w:r>
    </w:p>
    <w:p w14:paraId="159517D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如今，宁夏盐碱水“海鲜”年产量达</w:t>
      </w:r>
      <w:r>
        <w:rPr>
          <w:rFonts w:eastAsiaTheme="minorEastAsia" w:hint="eastAsia"/>
          <w:sz w:val="24"/>
        </w:rPr>
        <w:t>2063</w:t>
      </w:r>
      <w:r>
        <w:rPr>
          <w:rFonts w:eastAsiaTheme="minorEastAsia" w:hint="eastAsia"/>
          <w:sz w:val="24"/>
        </w:rPr>
        <w:t>吨、亩均养殖单产达</w:t>
      </w:r>
      <w:r>
        <w:rPr>
          <w:rFonts w:eastAsiaTheme="minorEastAsia" w:hint="eastAsia"/>
          <w:sz w:val="24"/>
        </w:rPr>
        <w:t>540</w:t>
      </w:r>
      <w:r>
        <w:rPr>
          <w:rFonts w:eastAsiaTheme="minorEastAsia" w:hint="eastAsia"/>
          <w:sz w:val="24"/>
        </w:rPr>
        <w:t>公斤、水产苗种数量占西北地区的</w:t>
      </w:r>
      <w:r>
        <w:rPr>
          <w:rFonts w:eastAsiaTheme="minorEastAsia" w:hint="eastAsia"/>
          <w:sz w:val="24"/>
        </w:rPr>
        <w:t>42%</w:t>
      </w:r>
      <w:r>
        <w:rPr>
          <w:rFonts w:eastAsiaTheme="minorEastAsia" w:hint="eastAsia"/>
          <w:sz w:val="24"/>
        </w:rPr>
        <w:t>，成为西北五省区水产品种最丰富的渔业主产区，实现了从“吃鱼难”到“挑鱼吃”的历史性跨越。</w:t>
      </w:r>
    </w:p>
    <w:p w14:paraId="13C15D9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转变发端于</w:t>
      </w:r>
      <w:r>
        <w:rPr>
          <w:rFonts w:eastAsiaTheme="minorEastAsia" w:hint="eastAsia"/>
          <w:sz w:val="24"/>
        </w:rPr>
        <w:t>20</w:t>
      </w:r>
      <w:r>
        <w:rPr>
          <w:rFonts w:eastAsiaTheme="minorEastAsia" w:hint="eastAsia"/>
          <w:sz w:val="24"/>
        </w:rPr>
        <w:t>世纪</w:t>
      </w:r>
      <w:r>
        <w:rPr>
          <w:rFonts w:eastAsiaTheme="minorEastAsia" w:hint="eastAsia"/>
          <w:sz w:val="24"/>
        </w:rPr>
        <w:t>90</w:t>
      </w:r>
      <w:r>
        <w:rPr>
          <w:rFonts w:eastAsiaTheme="minorEastAsia" w:hint="eastAsia"/>
          <w:sz w:val="24"/>
        </w:rPr>
        <w:t>年代——时任福建省委副书记的习近平同志亲自开创、关心牵挂的闽宁协作事业，近</w:t>
      </w:r>
      <w:r>
        <w:rPr>
          <w:rFonts w:eastAsiaTheme="minorEastAsia" w:hint="eastAsia"/>
          <w:sz w:val="24"/>
        </w:rPr>
        <w:t>30</w:t>
      </w:r>
      <w:r>
        <w:rPr>
          <w:rFonts w:eastAsiaTheme="minorEastAsia" w:hint="eastAsia"/>
          <w:sz w:val="24"/>
        </w:rPr>
        <w:t>年来机制持续创新、领域不断拓展。两地利用内陆盐碱水模拟海水环境，开创了西北地区“海鱼陆养”的先河，以“一条鱼”带动“一条链”，并逐步探索出一条渔业生产、地方生态、农民生活同步改善的闽宁协作水产发展新路径。</w:t>
      </w:r>
    </w:p>
    <w:p w14:paraId="7C313230"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科技互通，跨越千里的水产技术共享</w:t>
      </w:r>
    </w:p>
    <w:p w14:paraId="065F59B2"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陈启发终究没在宁夏赶上“挑鱼吃”的好时候，他为宁夏水产业工作</w:t>
      </w:r>
      <w:r>
        <w:rPr>
          <w:rFonts w:eastAsiaTheme="minorEastAsia" w:hint="eastAsia"/>
          <w:sz w:val="24"/>
        </w:rPr>
        <w:t>20</w:t>
      </w:r>
      <w:r>
        <w:rPr>
          <w:rFonts w:eastAsiaTheme="minorEastAsia" w:hint="eastAsia"/>
          <w:sz w:val="24"/>
        </w:rPr>
        <w:t>多年后调回福建省原水产厅工作，之后还时常关注宁夏水产业发展。“</w:t>
      </w:r>
      <w:r>
        <w:rPr>
          <w:rFonts w:eastAsiaTheme="minorEastAsia" w:hint="eastAsia"/>
          <w:sz w:val="24"/>
        </w:rPr>
        <w:t>20</w:t>
      </w:r>
      <w:r>
        <w:rPr>
          <w:rFonts w:eastAsiaTheme="minorEastAsia" w:hint="eastAsia"/>
          <w:sz w:val="24"/>
        </w:rPr>
        <w:t>世纪</w:t>
      </w:r>
      <w:r>
        <w:rPr>
          <w:rFonts w:eastAsiaTheme="minorEastAsia" w:hint="eastAsia"/>
          <w:sz w:val="24"/>
        </w:rPr>
        <w:t>80</w:t>
      </w:r>
      <w:r>
        <w:rPr>
          <w:rFonts w:eastAsiaTheme="minorEastAsia" w:hint="eastAsia"/>
          <w:sz w:val="24"/>
        </w:rPr>
        <w:t>年代初，福建鳗鱼产业刚刚起步，后来成为出口创汇的‘明星产品’。”陈启发回忆，“鳗鱼养殖从日本向福建转移，但是规模化养殖使用的块状饲料粘合剂技术被国外控制，就凭这个拿捏我们，直到用宁夏的土豆淀粉破解了这个难题。”</w:t>
      </w:r>
    </w:p>
    <w:p w14:paraId="1300B7B1"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1996</w:t>
      </w:r>
      <w:r>
        <w:rPr>
          <w:rFonts w:eastAsiaTheme="minorEastAsia" w:hint="eastAsia"/>
          <w:sz w:val="24"/>
        </w:rPr>
        <w:t>年福建开始对口帮扶宁夏，由时任福建省委副书记的习近平同志亲任组长，正式成立“福建省对口帮扶宁夏领导小组”，闽宁协作进入常态化、机制化阶段。彼时福建帮扶</w:t>
      </w:r>
      <w:r>
        <w:rPr>
          <w:rFonts w:eastAsiaTheme="minorEastAsia" w:hint="eastAsia"/>
          <w:sz w:val="24"/>
        </w:rPr>
        <w:lastRenderedPageBreak/>
        <w:t>宁夏，支持西吉县将马铃薯加工为工业用阿尔法淀粉，用作鳗鱼饲料的粘合剂，仅此一项便带动当地群众人均增收</w:t>
      </w:r>
      <w:r>
        <w:rPr>
          <w:rFonts w:eastAsiaTheme="minorEastAsia" w:hint="eastAsia"/>
          <w:sz w:val="24"/>
        </w:rPr>
        <w:t>400</w:t>
      </w:r>
      <w:r>
        <w:rPr>
          <w:rFonts w:eastAsiaTheme="minorEastAsia" w:hint="eastAsia"/>
          <w:sz w:val="24"/>
        </w:rPr>
        <w:t>元。</w:t>
      </w:r>
    </w:p>
    <w:p w14:paraId="1D93B35B"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陈启发正是从这项闽宁协作的实践中，解开了困惑多年的疑问——“为什么是宁夏土豆帮助福建解决了鳗鱼饲料难题”。如今，行业内使用马铃薯淀粉做鳗鱼饲料粘合剂的技术早已实现量产，这一创新打破了国外技术垄断，沿用至今，广泛利民。</w:t>
      </w:r>
    </w:p>
    <w:p w14:paraId="46546A6C" w14:textId="25196AEA" w:rsidR="000B4139" w:rsidRDefault="00000000" w:rsidP="008F37A7">
      <w:pPr>
        <w:spacing w:line="360" w:lineRule="auto"/>
        <w:ind w:firstLineChars="200" w:firstLine="480"/>
        <w:rPr>
          <w:rFonts w:eastAsiaTheme="minorEastAsia"/>
          <w:sz w:val="24"/>
        </w:rPr>
      </w:pPr>
      <w:r>
        <w:rPr>
          <w:rFonts w:eastAsiaTheme="minorEastAsia" w:hint="eastAsia"/>
          <w:sz w:val="24"/>
        </w:rPr>
        <w:t>一颗马铃薯，从宁夏走到了福建，既破解了福建鳗鱼产业发展痛点，又促进了宁夏当地农民的增收，不仅就此奠定两省区渔业协作基础，也示范引导打开新合作空间。在“优势互补、互惠互利、长期协作、共同发展”的指引下</w:t>
      </w:r>
      <w:r w:rsidR="008F37A7">
        <w:rPr>
          <w:rFonts w:eastAsiaTheme="minorEastAsia"/>
          <w:sz w:val="24"/>
        </w:rPr>
        <w:t>,</w:t>
      </w:r>
      <w:r>
        <w:rPr>
          <w:rFonts w:eastAsiaTheme="minorEastAsia" w:hint="eastAsia"/>
          <w:sz w:val="24"/>
        </w:rPr>
        <w:t>两地向着更深、更广的领域不断探索。</w:t>
      </w:r>
    </w:p>
    <w:p w14:paraId="2F838C33"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位于宁夏北部的黄河灌区排水末端，雨量少、蒸发强，形成逾</w:t>
      </w:r>
      <w:r>
        <w:rPr>
          <w:rFonts w:eastAsiaTheme="minorEastAsia" w:hint="eastAsia"/>
          <w:sz w:val="24"/>
        </w:rPr>
        <w:t>250</w:t>
      </w:r>
      <w:r>
        <w:rPr>
          <w:rFonts w:eastAsiaTheme="minorEastAsia" w:hint="eastAsia"/>
          <w:sz w:val="24"/>
        </w:rPr>
        <w:t>万亩盐碱地，为唤醒这片“沉睡资源”，当地人尝试在盐碱地上挖塘搞水产养殖。</w:t>
      </w:r>
    </w:p>
    <w:p w14:paraId="64A647A2"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“刚开始养殖对虾的时候，控水、控温、控疾病，技术难题一个接着一个，养一塘死一塘，把人愁的呀！”</w:t>
      </w:r>
      <w:r>
        <w:rPr>
          <w:rFonts w:eastAsiaTheme="minorEastAsia" w:hint="eastAsia"/>
          <w:sz w:val="24"/>
        </w:rPr>
        <w:t>2000</w:t>
      </w:r>
      <w:r>
        <w:rPr>
          <w:rFonts w:eastAsiaTheme="minorEastAsia" w:hint="eastAsia"/>
          <w:sz w:val="24"/>
        </w:rPr>
        <w:t>年前后，宁夏养殖户还在挖土坑塘养殖的传统方式里打转，而福建的虾农已经在使用成熟的“人字形”温棚技术。</w:t>
      </w:r>
    </w:p>
    <w:p w14:paraId="5A16FA27" w14:textId="5B27505F" w:rsidR="000B4139" w:rsidRDefault="00000000" w:rsidP="008F37A7">
      <w:pPr>
        <w:spacing w:line="360" w:lineRule="auto"/>
        <w:ind w:firstLineChars="200" w:firstLine="480"/>
        <w:rPr>
          <w:rFonts w:eastAsiaTheme="minorEastAsia"/>
          <w:sz w:val="24"/>
        </w:rPr>
      </w:pPr>
      <w:r>
        <w:rPr>
          <w:rFonts w:eastAsiaTheme="minorEastAsia" w:hint="eastAsia"/>
          <w:sz w:val="24"/>
        </w:rPr>
        <w:t>为了破解宁夏水产养殖的技术困境，福建把技术和设备带到了宁夏。一口口露天虾塘变身设施化“养殖车间”，循环水处理、供热增氧……这些在宁夏曾经陌生的词汇，逐渐成为宁夏渔业人的日常。至</w:t>
      </w:r>
      <w:r>
        <w:rPr>
          <w:rFonts w:eastAsiaTheme="minorEastAsia" w:hint="eastAsia"/>
          <w:sz w:val="24"/>
        </w:rPr>
        <w:t>2014</w:t>
      </w:r>
      <w:r>
        <w:rPr>
          <w:rFonts w:eastAsiaTheme="minorEastAsia" w:hint="eastAsia"/>
          <w:sz w:val="24"/>
        </w:rPr>
        <w:t>年，宁夏南美白对虾</w:t>
      </w:r>
      <w:r w:rsidR="008F37A7">
        <w:rPr>
          <w:rFonts w:eastAsiaTheme="minorEastAsia" w:hint="eastAsia"/>
          <w:sz w:val="24"/>
        </w:rPr>
        <w:t>的</w:t>
      </w:r>
      <w:r>
        <w:rPr>
          <w:rFonts w:eastAsiaTheme="minorEastAsia" w:hint="eastAsia"/>
          <w:sz w:val="24"/>
        </w:rPr>
        <w:t>产量跃居西北第一，真正实现“海鲜”落地生根。</w:t>
      </w:r>
    </w:p>
    <w:p w14:paraId="3E877E03"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进入“十三五”时期，闽宁两地组织开展“多类型水质健康养殖技术集成示范推广”项目，建立起多类型水质、多品种、多模式的盐碱水养殖技术体系；“十四五”时期，盐碱水土综合利用持续深化，更加重视耐盐碱养殖品种选育、示范推广及核心技术攻关。</w:t>
      </w:r>
    </w:p>
    <w:p w14:paraId="6EFA1CB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如今的宁夏，已成为西北地区最大的水产品集散中心，年养殖品种达</w:t>
      </w:r>
      <w:r>
        <w:rPr>
          <w:rFonts w:eastAsiaTheme="minorEastAsia" w:hint="eastAsia"/>
          <w:sz w:val="24"/>
        </w:rPr>
        <w:t>51</w:t>
      </w:r>
      <w:r>
        <w:rPr>
          <w:rFonts w:eastAsiaTheme="minorEastAsia" w:hint="eastAsia"/>
          <w:sz w:val="24"/>
        </w:rPr>
        <w:t>个，</w:t>
      </w:r>
      <w:r>
        <w:rPr>
          <w:rFonts w:eastAsiaTheme="minorEastAsia" w:hint="eastAsia"/>
          <w:sz w:val="24"/>
        </w:rPr>
        <w:t>80%</w:t>
      </w:r>
      <w:r>
        <w:rPr>
          <w:rFonts w:eastAsiaTheme="minorEastAsia" w:hint="eastAsia"/>
          <w:sz w:val="24"/>
        </w:rPr>
        <w:t>的水产品远销全国。一些从西藏来到宁夏工作的干部不由得感叹：“原来我们在高原上吃的水产多产自宁夏！”</w:t>
      </w:r>
    </w:p>
    <w:p w14:paraId="0C2D9532"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30</w:t>
      </w:r>
      <w:r>
        <w:rPr>
          <w:rFonts w:eastAsiaTheme="minorEastAsia" w:hint="eastAsia"/>
          <w:sz w:val="24"/>
        </w:rPr>
        <w:t>年来，从宁夏到福建、再从福建回到宁夏，从单向援助到双向奔赴、从技术引入到产业共建，闽宁协作不断在资源利用上实现突破，向常态化、机制化深入推进，在西北地区探索出一条规模化、现代化的渔业发展之路。</w:t>
      </w:r>
    </w:p>
    <w:p w14:paraId="4BC14F7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产业焕新，盐碱水产出“活”海鲜</w:t>
      </w:r>
    </w:p>
    <w:p w14:paraId="521374A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“未来是撒？未来就是还没有来嘛！撒时候能来？谁又知道呢！”如果电视剧《山海情》中的人物马喊水走入现实，相信他也会对如今宁夏“白色荒漠”变身“万顷碧波”的情</w:t>
      </w:r>
      <w:r>
        <w:rPr>
          <w:rFonts w:eastAsiaTheme="minorEastAsia" w:hint="eastAsia"/>
          <w:sz w:val="24"/>
        </w:rPr>
        <w:lastRenderedPageBreak/>
        <w:t>景惊叹不已。</w:t>
      </w:r>
    </w:p>
    <w:p w14:paraId="4F70243B"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“以前这里就是片盐碱荒滩，如今政府修道路、通电力、通电讯，为企业发展提供了很好的环境。”银川市贺兰县三丁湖渔业园区内，基础设施建设如火如荼，打理着万亩高标准蟹塘的“</w:t>
      </w:r>
      <w:r>
        <w:rPr>
          <w:rFonts w:eastAsiaTheme="minorEastAsia" w:hint="eastAsia"/>
          <w:sz w:val="24"/>
        </w:rPr>
        <w:t>90</w:t>
      </w:r>
      <w:r>
        <w:rPr>
          <w:rFonts w:eastAsiaTheme="minorEastAsia" w:hint="eastAsia"/>
          <w:sz w:val="24"/>
        </w:rPr>
        <w:t>后”邓碧昊率先入驻。谈及为什么进入水产行业，原本从事餐饮生意的他坦言：“本地人从不怎么吃鱼，到主要吃淡水鱼，再到过事坐席要挑海水鱼吃，可以说餐饮消费习惯深刻改变。”</w:t>
      </w:r>
    </w:p>
    <w:p w14:paraId="1C2AD04A"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蟹还没褪壳，人先褪了层皮。”回想起初次涉足水产养殖领域，邓碧昊没想到“下马威”来得这么猛烈。彼时，螃蟹就要进入关键蜕壳期，急需水草庇护，但引进的伊乐藻怎么都种不活，关键时刻，区域协作机制下的技术专家建议他更换适应本地盐碱环境的水草品种，终于营造出螃蟹的理想栖息地，螃蟹成活率大幅提升。如今，邓碧昊首批养殖的螃蟹喜获丰收，亩产达</w:t>
      </w:r>
      <w:r>
        <w:rPr>
          <w:rFonts w:eastAsiaTheme="minorEastAsia" w:hint="eastAsia"/>
          <w:sz w:val="24"/>
        </w:rPr>
        <w:t>200</w:t>
      </w:r>
      <w:r>
        <w:rPr>
          <w:rFonts w:eastAsiaTheme="minorEastAsia" w:hint="eastAsia"/>
          <w:sz w:val="24"/>
        </w:rPr>
        <w:t>余斤，</w:t>
      </w:r>
      <w:r>
        <w:rPr>
          <w:rFonts w:eastAsiaTheme="minorEastAsia" w:hint="eastAsia"/>
          <w:sz w:val="24"/>
        </w:rPr>
        <w:t>2025</w:t>
      </w:r>
      <w:r>
        <w:rPr>
          <w:rFonts w:eastAsiaTheme="minorEastAsia" w:hint="eastAsia"/>
          <w:sz w:val="24"/>
        </w:rPr>
        <w:t>年上海国际蟹产业博览会上，一位来自苏州的老板更是对他选送的螃蟹品质十分认可，将</w:t>
      </w:r>
      <w:r>
        <w:rPr>
          <w:rFonts w:eastAsiaTheme="minorEastAsia" w:hint="eastAsia"/>
          <w:sz w:val="24"/>
        </w:rPr>
        <w:t>200</w:t>
      </w:r>
      <w:r>
        <w:rPr>
          <w:rFonts w:eastAsiaTheme="minorEastAsia" w:hint="eastAsia"/>
          <w:sz w:val="24"/>
        </w:rPr>
        <w:t>只全部买走。</w:t>
      </w:r>
    </w:p>
    <w:p w14:paraId="31856D18"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持续承接技术转移、产业规模不断壮大，在对口协作机制下，宁夏因地制宜开展“以渔治碱降盐”盐碱水土综合治理利用，渔业的综合效益愈发凸显。</w:t>
      </w:r>
    </w:p>
    <w:p w14:paraId="66B6ECC3"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走进贺兰县习岗镇瑞信农业开发有限公司基地，映入眼帘的是一个蓄满水的桶形鱼池，温棚另一端则是绿意盎然的蔬菜。“这就是‘鱼菜共生’模式的标准配置。”该公司负责人迟宏伟介绍，基地“养鱼不换水、种菜不施肥”的秘诀，在于鱼池下方有管道铺设在菜地里，过滤后的鱼池水可以对蔬菜进行滴灌，沉淀的鱼粪、饵料又可以作为有机肥料。该技术模式高效利用了水资源，种植的蔬菜，化肥农药用量减少</w:t>
      </w:r>
      <w:r>
        <w:rPr>
          <w:rFonts w:eastAsiaTheme="minorEastAsia" w:hint="eastAsia"/>
          <w:sz w:val="24"/>
        </w:rPr>
        <w:t>75%</w:t>
      </w:r>
      <w:r>
        <w:rPr>
          <w:rFonts w:eastAsiaTheme="minorEastAsia" w:hint="eastAsia"/>
          <w:sz w:val="24"/>
        </w:rPr>
        <w:t>以上。</w:t>
      </w:r>
    </w:p>
    <w:p w14:paraId="12A5D3C7"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在贺兰县常信乡，科海生物技术有限公司与多家科研单位合作开展“稻渔共作”模式，利用富含氮磷等营养元素的养殖水体灌溉稻田，净化后的偏碱性水通过“三池两坝”处理，又可作为水产养殖的优质水源，既解决了水产养殖残饵、排泄物引起的水质恶化问题，又降低了水稻施肥和用药量，实现优势互补。</w:t>
      </w:r>
    </w:p>
    <w:p w14:paraId="7EBA3216"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2025</w:t>
      </w:r>
      <w:r>
        <w:rPr>
          <w:rFonts w:eastAsiaTheme="minorEastAsia" w:hint="eastAsia"/>
          <w:sz w:val="24"/>
        </w:rPr>
        <w:t>年暑假，同样位于常信乡的“稻渔空间”乡村生态观光园格外热闹，巨幅稻田画、休闲垂钓和特色餐饮成为吸引游客络绎不绝的热门项目。从一片稻田到农渔旅融合，凭借立体种养衍生出的多元业态，该项目已成为宁夏渔业一二三产深度融合的代表，每年接待游客超</w:t>
      </w:r>
      <w:r>
        <w:rPr>
          <w:rFonts w:eastAsiaTheme="minorEastAsia" w:hint="eastAsia"/>
          <w:sz w:val="24"/>
        </w:rPr>
        <w:t>20</w:t>
      </w:r>
      <w:r>
        <w:rPr>
          <w:rFonts w:eastAsiaTheme="minorEastAsia" w:hint="eastAsia"/>
          <w:sz w:val="24"/>
        </w:rPr>
        <w:t>万人次，综合收入破亿元。</w:t>
      </w:r>
    </w:p>
    <w:p w14:paraId="48206A0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盐碱水土一体化渔农综合利用，有效拓展了水产养殖发展空间，为盐碱地综合治理利用探索了新路径。</w:t>
      </w:r>
      <w:r>
        <w:rPr>
          <w:rFonts w:eastAsiaTheme="minorEastAsia" w:hint="eastAsia"/>
          <w:sz w:val="24"/>
        </w:rPr>
        <w:t>2025</w:t>
      </w:r>
      <w:r>
        <w:rPr>
          <w:rFonts w:eastAsiaTheme="minorEastAsia" w:hint="eastAsia"/>
          <w:sz w:val="24"/>
        </w:rPr>
        <w:t>年</w:t>
      </w:r>
      <w:r>
        <w:rPr>
          <w:rFonts w:eastAsiaTheme="minorEastAsia" w:hint="eastAsia"/>
          <w:sz w:val="24"/>
        </w:rPr>
        <w:t>8</w:t>
      </w:r>
      <w:r>
        <w:rPr>
          <w:rFonts w:eastAsiaTheme="minorEastAsia" w:hint="eastAsia"/>
          <w:sz w:val="24"/>
        </w:rPr>
        <w:t>月，全国“盐碱水土一体化渔农综合利用研讨暨现场观摩会”</w:t>
      </w:r>
      <w:r>
        <w:rPr>
          <w:rFonts w:eastAsiaTheme="minorEastAsia" w:hint="eastAsia"/>
          <w:sz w:val="24"/>
        </w:rPr>
        <w:lastRenderedPageBreak/>
        <w:t>在银川市召开，为进一步实现盐碱土地资源突破、挖掘农业生产潜力、推动渔业产业升级交出了“宁夏样板”。</w:t>
      </w:r>
    </w:p>
    <w:p w14:paraId="1E9182DD"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融合互促，闽宁携手赴新程</w:t>
      </w:r>
    </w:p>
    <w:p w14:paraId="4F5621B7" w14:textId="688FD6C9" w:rsidR="000B4139" w:rsidRDefault="00000000" w:rsidP="008F37A7">
      <w:pPr>
        <w:spacing w:line="360" w:lineRule="auto"/>
        <w:ind w:firstLineChars="200" w:firstLine="480"/>
        <w:rPr>
          <w:rFonts w:eastAsiaTheme="minorEastAsia"/>
          <w:sz w:val="24"/>
        </w:rPr>
      </w:pPr>
      <w:r>
        <w:rPr>
          <w:rFonts w:eastAsiaTheme="minorEastAsia" w:hint="eastAsia"/>
          <w:sz w:val="24"/>
        </w:rPr>
        <w:t>“考察调研渔业项目，这在以前可不多见！”宁夏回族自治区农业农村厅区域协作促进与帮扶处处长张钧回忆，</w:t>
      </w:r>
      <w:r>
        <w:rPr>
          <w:rFonts w:eastAsiaTheme="minorEastAsia" w:hint="eastAsia"/>
          <w:sz w:val="24"/>
        </w:rPr>
        <w:t>2024</w:t>
      </w:r>
      <w:r>
        <w:rPr>
          <w:rFonts w:eastAsiaTheme="minorEastAsia" w:hint="eastAsia"/>
          <w:sz w:val="24"/>
        </w:rPr>
        <w:t>年</w:t>
      </w:r>
      <w:r>
        <w:rPr>
          <w:rFonts w:eastAsiaTheme="minorEastAsia" w:hint="eastAsia"/>
          <w:sz w:val="24"/>
        </w:rPr>
        <w:t>10</w:t>
      </w:r>
      <w:r>
        <w:rPr>
          <w:rFonts w:eastAsiaTheme="minorEastAsia" w:hint="eastAsia"/>
          <w:sz w:val="24"/>
        </w:rPr>
        <w:t>月，闽宁协作第</w:t>
      </w:r>
      <w:r>
        <w:rPr>
          <w:rFonts w:eastAsiaTheme="minorEastAsia" w:hint="eastAsia"/>
          <w:sz w:val="24"/>
        </w:rPr>
        <w:t>28</w:t>
      </w:r>
      <w:r>
        <w:rPr>
          <w:rFonts w:eastAsiaTheme="minorEastAsia" w:hint="eastAsia"/>
          <w:sz w:val="24"/>
        </w:rPr>
        <w:t>次联席会议在银川召开</w:t>
      </w:r>
      <w:r w:rsidR="008F37A7">
        <w:rPr>
          <w:rFonts w:eastAsiaTheme="minorEastAsia"/>
          <w:sz w:val="24"/>
        </w:rPr>
        <w:t>,</w:t>
      </w:r>
      <w:r>
        <w:rPr>
          <w:rFonts w:eastAsiaTheme="minorEastAsia" w:hint="eastAsia"/>
          <w:sz w:val="24"/>
        </w:rPr>
        <w:t>福建党政代表团实地调研了技术团队在陆基循环水养殖、水质调控、病害防控等方面技术支持情况。</w:t>
      </w:r>
    </w:p>
    <w:p w14:paraId="3658439F"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南美白对虾、斑节虾、黄鳍鲷、大黄鱼……近几年，福建代表团考察点、贺兰县蓝湾生态农业有限公司的“陆产海鲜”名声大振、供不应求。“盐碱地养海鲜，水质是命脉，循环是核心。没有闽宁合作，就没有我们的今天。”该公司负责人强佐洲介绍，公司与厦门大学、集美大学、宁德师范学院等院校合作，开展海水鱼虾苗种淡化养殖，攻克了盐碱地模拟海水养殖水质不稳定的技术难题，如今年产海水鱼虾</w:t>
      </w:r>
      <w:r>
        <w:rPr>
          <w:rFonts w:eastAsiaTheme="minorEastAsia" w:hint="eastAsia"/>
          <w:sz w:val="24"/>
        </w:rPr>
        <w:t>500</w:t>
      </w:r>
      <w:r>
        <w:rPr>
          <w:rFonts w:eastAsiaTheme="minorEastAsia" w:hint="eastAsia"/>
          <w:sz w:val="24"/>
        </w:rPr>
        <w:t>吨，远销周边省区。</w:t>
      </w:r>
    </w:p>
    <w:p w14:paraId="7326F1F1" w14:textId="712FCAA3" w:rsidR="000B4139" w:rsidRDefault="008F37A7" w:rsidP="008F37A7">
      <w:pPr>
        <w:spacing w:line="360" w:lineRule="auto"/>
        <w:ind w:firstLineChars="200" w:firstLine="480"/>
        <w:rPr>
          <w:rFonts w:eastAsiaTheme="minorEastAsia"/>
          <w:sz w:val="24"/>
        </w:rPr>
      </w:pPr>
      <w:r>
        <w:rPr>
          <w:rFonts w:eastAsiaTheme="minorEastAsia" w:hint="eastAsia"/>
          <w:sz w:val="24"/>
        </w:rPr>
        <w:t>在该公司养殖车间里，来自宁德师范学院的郑长冰正在用细纱滤网打捞养殖池里的大黄鱼分泌物。他严谨细致却不善言辞，自从来到宁夏便一头扎进技术攻关里，仅在春节时回过一次老家。</w:t>
      </w:r>
    </w:p>
    <w:p w14:paraId="381C99D2"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2022</w:t>
      </w:r>
      <w:r>
        <w:rPr>
          <w:rFonts w:eastAsiaTheme="minorEastAsia" w:hint="eastAsia"/>
          <w:sz w:val="24"/>
        </w:rPr>
        <w:t>年，“中国大黄鱼之父”刘家富技术团队和蓝湾公司共同成立“大黄鱼盐碱水养殖新技术”攻关小组，先后三批次将大黄鱼苗运往宁夏开展养殖试验。</w:t>
      </w:r>
    </w:p>
    <w:p w14:paraId="3C45DD17"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“首先要解决鱼苗长途运输成活率低的难题，目前鱼苗成活率达到</w:t>
      </w:r>
      <w:r>
        <w:rPr>
          <w:rFonts w:eastAsiaTheme="minorEastAsia" w:hint="eastAsia"/>
          <w:sz w:val="24"/>
        </w:rPr>
        <w:t>60%</w:t>
      </w:r>
      <w:r>
        <w:rPr>
          <w:rFonts w:eastAsiaTheme="minorEastAsia" w:hint="eastAsia"/>
          <w:sz w:val="24"/>
        </w:rPr>
        <w:t>，部分长到</w:t>
      </w:r>
      <w:r>
        <w:rPr>
          <w:rFonts w:eastAsiaTheme="minorEastAsia" w:hint="eastAsia"/>
          <w:sz w:val="24"/>
        </w:rPr>
        <w:t>300</w:t>
      </w:r>
      <w:r>
        <w:rPr>
          <w:rFonts w:eastAsiaTheme="minorEastAsia" w:hint="eastAsia"/>
          <w:sz w:val="24"/>
        </w:rPr>
        <w:t>克的大黄鱼达到上市规格。”团队成员黄伟卿介绍，未来打算在分子育种层面展开工作，探索建立大黄鱼种质资源库，以宁夏为中心辐射带动周边省区。</w:t>
      </w:r>
    </w:p>
    <w:p w14:paraId="5F3F7FFD"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大黄鱼的成功引进打开了另一扇协作大门。闽宁渔业协作，不仅给内陆地区带来强劲产业带动效应，更为沿海地区供应链完善和前沿技术攻关提供了“资源库”和“试验场”。</w:t>
      </w:r>
    </w:p>
    <w:p w14:paraId="221DF570" w14:textId="3E0D4A15" w:rsidR="000B4139" w:rsidRDefault="00000000" w:rsidP="008F37A7">
      <w:pPr>
        <w:spacing w:line="360" w:lineRule="auto"/>
        <w:ind w:firstLineChars="200" w:firstLine="480"/>
        <w:rPr>
          <w:rFonts w:eastAsiaTheme="minorEastAsia"/>
          <w:sz w:val="24"/>
        </w:rPr>
      </w:pPr>
      <w:r>
        <w:rPr>
          <w:rFonts w:eastAsiaTheme="minorEastAsia" w:hint="eastAsia"/>
          <w:sz w:val="24"/>
        </w:rPr>
        <w:t>退休后的陈启发担任福建省水产饲料研究会荣誉理事长，依然热心社会服务。</w:t>
      </w:r>
      <w:r>
        <w:rPr>
          <w:rFonts w:eastAsiaTheme="minorEastAsia" w:hint="eastAsia"/>
          <w:sz w:val="24"/>
        </w:rPr>
        <w:t>2000</w:t>
      </w:r>
      <w:r>
        <w:rPr>
          <w:rFonts w:eastAsiaTheme="minorEastAsia" w:hint="eastAsia"/>
          <w:sz w:val="24"/>
        </w:rPr>
        <w:t>多公里外的吴忠市盐池县，怡健生物工程有限公司负责人张德智从青岛引进了</w:t>
      </w:r>
      <w:r>
        <w:rPr>
          <w:rFonts w:eastAsiaTheme="minorEastAsia" w:hint="eastAsia"/>
          <w:sz w:val="24"/>
        </w:rPr>
        <w:t>10</w:t>
      </w:r>
      <w:r>
        <w:rPr>
          <w:rFonts w:eastAsiaTheme="minorEastAsia" w:hint="eastAsia"/>
          <w:sz w:val="24"/>
        </w:rPr>
        <w:t>万</w:t>
      </w:r>
      <w:r w:rsidR="00857B2D">
        <w:rPr>
          <w:rFonts w:eastAsiaTheme="minorEastAsia" w:hint="eastAsia"/>
          <w:sz w:val="24"/>
        </w:rPr>
        <w:t>粒</w:t>
      </w:r>
      <w:r>
        <w:rPr>
          <w:rFonts w:eastAsiaTheme="minorEastAsia" w:hint="eastAsia"/>
          <w:sz w:val="24"/>
        </w:rPr>
        <w:t>大西洋鲑鱼</w:t>
      </w:r>
      <w:r w:rsidR="00857B2D">
        <w:rPr>
          <w:rFonts w:eastAsiaTheme="minorEastAsia" w:hint="eastAsia"/>
          <w:sz w:val="24"/>
        </w:rPr>
        <w:t>发眼</w:t>
      </w:r>
      <w:r>
        <w:rPr>
          <w:rFonts w:eastAsiaTheme="minorEastAsia" w:hint="eastAsia"/>
          <w:sz w:val="24"/>
        </w:rPr>
        <w:t>卵，盯完配套车间建设情况，他又要赶往福建请教技术。</w:t>
      </w:r>
    </w:p>
    <w:p w14:paraId="725D8C12"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在陈启发看来，宁夏的盐碱地和福建的海水养殖有很多技术可以通用，“比如怡健公司生产的螺旋藻是水产动物重要的蛋白质来源，且富含虾青素，直接影响水产品外观、定价，闽宁协作实现了资源共享，可以说是一举两得。”</w:t>
      </w:r>
    </w:p>
    <w:p w14:paraId="09D38C33"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无独有偶，宁丰生物饵料制品有限公司依托盐池县丰富的盐碱水资源养殖丰年虫，作为鱼虾蟹苗的开口饵料，品质颇受福建养殖人青睐。如今公司养殖车间内，新引进的海参</w:t>
      </w:r>
      <w:r>
        <w:rPr>
          <w:rFonts w:eastAsiaTheme="minorEastAsia" w:hint="eastAsia"/>
          <w:sz w:val="24"/>
        </w:rPr>
        <w:lastRenderedPageBreak/>
        <w:t>苗种牵动着技术人员神经，“这是与集美大学王国栋技术团队合作的刺参盐碱水养殖项目，旨在选育适应不同水质的广适性海参品种。”当地科技特派员白榆平介绍。</w:t>
      </w:r>
    </w:p>
    <w:p w14:paraId="13B6252C"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以水为媒、跨山越海，闽宁协作近</w:t>
      </w:r>
      <w:r>
        <w:rPr>
          <w:rFonts w:eastAsiaTheme="minorEastAsia" w:hint="eastAsia"/>
          <w:sz w:val="24"/>
        </w:rPr>
        <w:t>30</w:t>
      </w:r>
      <w:r>
        <w:rPr>
          <w:rFonts w:eastAsiaTheme="minorEastAsia" w:hint="eastAsia"/>
          <w:sz w:val="24"/>
        </w:rPr>
        <w:t>年来，两地以渔兴业共赴新程。宁夏回族自治区农业农村厅渔业渔政管理局局长唐亮表示，下一步，将立足独特资源优势，继续用好闽宁协作平台，进一步拓宽合作领域，持续优化盐碱地水产养殖技术体系，使宁夏成为全国陆海渔业接力互补的样板区，为国家盐碱地综合利用和区域协同发展、东西部协作走深走实作出更大贡献。</w:t>
      </w:r>
    </w:p>
    <w:p w14:paraId="4DBCB5A4" w14:textId="77777777" w:rsidR="000B4139" w:rsidRDefault="00000000">
      <w:pPr>
        <w:spacing w:line="360" w:lineRule="auto"/>
        <w:jc w:val="right"/>
        <w:rPr>
          <w:rStyle w:val="vm"/>
          <w:rFonts w:eastAsiaTheme="minorEastAsia"/>
          <w:szCs w:val="21"/>
        </w:rPr>
      </w:pPr>
      <w:r>
        <w:rPr>
          <w:rStyle w:val="vm"/>
          <w:rFonts w:eastAsiaTheme="minorEastAsia" w:hint="eastAsia"/>
          <w:szCs w:val="21"/>
        </w:rPr>
        <w:t>转摘自农民日报</w:t>
      </w:r>
    </w:p>
    <w:p w14:paraId="5B91384E" w14:textId="77777777" w:rsidR="000B4139" w:rsidRDefault="00000000" w:rsidP="00870EC5">
      <w:pPr>
        <w:spacing w:line="360" w:lineRule="auto"/>
        <w:jc w:val="center"/>
        <w:outlineLvl w:val="1"/>
        <w:rPr>
          <w:rFonts w:eastAsia="黑体"/>
          <w:b/>
          <w:bCs/>
          <w:sz w:val="32"/>
          <w:szCs w:val="32"/>
        </w:rPr>
      </w:pPr>
      <w:bookmarkStart w:id="18" w:name="_Toc220673109"/>
      <w:r>
        <w:rPr>
          <w:rFonts w:eastAsia="黑体" w:hint="eastAsia"/>
          <w:b/>
          <w:bCs/>
          <w:sz w:val="32"/>
          <w:szCs w:val="32"/>
        </w:rPr>
        <w:t>本会与福建省淡水水产研究所联合邀请中国农业科学院饲料研究所薛敏研究员来闽交流</w:t>
      </w:r>
      <w:bookmarkEnd w:id="18"/>
    </w:p>
    <w:p w14:paraId="6D29FF78" w14:textId="77777777" w:rsidR="000B4139" w:rsidRDefault="00000000">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16</w:t>
      </w:r>
      <w:r>
        <w:rPr>
          <w:rFonts w:eastAsiaTheme="minorEastAsia" w:hint="eastAsia"/>
          <w:sz w:val="24"/>
        </w:rPr>
        <w:t>日，本会与省淡水水产研究所联合邀请中国农业科学院饲料研究所饲料加工与质量安全创新团队首席科学家薛敏研究员来闽交流，本会会员、省淡水所、省水技总站、省饲料工业协会及水产饲料行业相关企业代表</w:t>
      </w:r>
      <w:r>
        <w:rPr>
          <w:rFonts w:eastAsiaTheme="minorEastAsia" w:hint="eastAsia"/>
          <w:sz w:val="24"/>
        </w:rPr>
        <w:t>20</w:t>
      </w:r>
      <w:r>
        <w:rPr>
          <w:rFonts w:eastAsiaTheme="minorEastAsia" w:hint="eastAsia"/>
          <w:sz w:val="24"/>
        </w:rPr>
        <w:t>余名技术骨干及科技人员参加交流。</w:t>
      </w:r>
    </w:p>
    <w:p w14:paraId="7F3A9773" w14:textId="77777777" w:rsidR="000B4139" w:rsidRDefault="00000000">
      <w:pPr>
        <w:spacing w:line="360" w:lineRule="auto"/>
        <w:ind w:firstLineChars="200" w:firstLine="480"/>
        <w:rPr>
          <w:rFonts w:eastAsiaTheme="minorEastAsia"/>
          <w:sz w:val="24"/>
        </w:rPr>
      </w:pPr>
      <w:r>
        <w:rPr>
          <w:rFonts w:eastAsiaTheme="minorEastAsia" w:hint="eastAsia"/>
          <w:sz w:val="24"/>
        </w:rPr>
        <w:t>薛敏研究员以《饲料加工特性数据库与饲料工业数智化转型》为主题，聚焦饲料原料物化特性、原料品控与饲料加工等环节，阐述饲料行业存在的问题，尤其是鱼粉、昆虫蛋白、一碳气体蛋白和棉籽浓缩蛋白的原料特性及在品控和饲料加工方面的应用现状存在的问题，提出数智化转型是饲料工业节本增效的重要途径，同时对中农科龙腾饲料配方工业软件进行解析，阐述数智化工厂整体解决方案。</w:t>
      </w:r>
    </w:p>
    <w:p w14:paraId="05D11689" w14:textId="77777777" w:rsidR="000B4139" w:rsidRDefault="00000000">
      <w:pPr>
        <w:spacing w:line="360" w:lineRule="auto"/>
        <w:ind w:firstLineChars="200" w:firstLine="480"/>
        <w:rPr>
          <w:rFonts w:eastAsiaTheme="minorEastAsia"/>
          <w:sz w:val="24"/>
        </w:rPr>
      </w:pPr>
      <w:r>
        <w:rPr>
          <w:rFonts w:eastAsiaTheme="minorEastAsia" w:hint="eastAsia"/>
          <w:sz w:val="24"/>
        </w:rPr>
        <w:t>此次交流汇聚研究所、高校、行业协会及饲料企业等多方力量，从水产饲料营养及加工等角度进行探讨，引导拓展新思路、新办法，通过加强研究所与高校及企业等的沟通交流，不断提升渔业科技水平，激发争先创新意识，扎实推进我省淡水渔业高质量发展，助力乡村振兴。</w:t>
      </w:r>
    </w:p>
    <w:p w14:paraId="3B984B7A" w14:textId="543B7587" w:rsidR="000B4139" w:rsidRPr="008F37A7" w:rsidRDefault="00000000" w:rsidP="008F37A7">
      <w:pPr>
        <w:spacing w:line="360" w:lineRule="auto"/>
        <w:jc w:val="right"/>
        <w:rPr>
          <w:rStyle w:val="vm"/>
          <w:rFonts w:eastAsiaTheme="minorEastAsia"/>
          <w:szCs w:val="21"/>
        </w:rPr>
      </w:pPr>
      <w:r>
        <w:rPr>
          <w:rStyle w:val="vm"/>
          <w:rFonts w:eastAsiaTheme="minorEastAsia" w:hint="eastAsia"/>
          <w:szCs w:val="21"/>
        </w:rPr>
        <w:t>福建省淡水水产研究所供稿</w:t>
      </w:r>
      <w:bookmarkEnd w:id="13"/>
    </w:p>
    <w:p w14:paraId="5C944F2D" w14:textId="77777777" w:rsidR="000B4139" w:rsidRDefault="00000000" w:rsidP="00870EC5">
      <w:pPr>
        <w:spacing w:line="276" w:lineRule="auto"/>
        <w:jc w:val="left"/>
        <w:outlineLvl w:val="0"/>
        <w:rPr>
          <w:rStyle w:val="vm"/>
          <w:rFonts w:eastAsia="黑体"/>
          <w:b/>
          <w:bCs/>
          <w:sz w:val="32"/>
          <w:szCs w:val="32"/>
          <w:bdr w:val="single" w:sz="4" w:space="0" w:color="auto"/>
        </w:rPr>
      </w:pPr>
      <w:bookmarkStart w:id="19" w:name="_Toc220673110"/>
      <w:r>
        <w:rPr>
          <w:rStyle w:val="vm"/>
          <w:rFonts w:eastAsia="黑体" w:hint="eastAsia"/>
          <w:b/>
          <w:bCs/>
          <w:sz w:val="32"/>
          <w:szCs w:val="32"/>
          <w:bdr w:val="single" w:sz="4" w:space="0" w:color="auto"/>
        </w:rPr>
        <w:t>会议传递</w:t>
      </w:r>
      <w:bookmarkEnd w:id="19"/>
    </w:p>
    <w:p w14:paraId="40AE529B" w14:textId="77777777" w:rsidR="000B4139" w:rsidRDefault="00000000" w:rsidP="00870EC5">
      <w:pPr>
        <w:spacing w:line="360" w:lineRule="auto"/>
        <w:jc w:val="center"/>
        <w:outlineLvl w:val="1"/>
        <w:rPr>
          <w:rFonts w:eastAsia="黑体"/>
          <w:b/>
          <w:bCs/>
          <w:sz w:val="32"/>
          <w:szCs w:val="32"/>
        </w:rPr>
      </w:pPr>
      <w:bookmarkStart w:id="20" w:name="_Toc220673111"/>
      <w:r>
        <w:rPr>
          <w:rFonts w:eastAsia="黑体" w:hint="eastAsia"/>
          <w:b/>
          <w:bCs/>
          <w:sz w:val="32"/>
          <w:szCs w:val="32"/>
        </w:rPr>
        <w:t>第一届蛙类学术研讨会在厦门召开</w:t>
      </w:r>
      <w:bookmarkEnd w:id="20"/>
    </w:p>
    <w:p w14:paraId="7AA3D54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1</w:t>
      </w:r>
      <w:r>
        <w:rPr>
          <w:rFonts w:eastAsiaTheme="minorEastAsia" w:hint="eastAsia"/>
          <w:sz w:val="24"/>
        </w:rPr>
        <w:t>月</w:t>
      </w:r>
      <w:r>
        <w:rPr>
          <w:rFonts w:eastAsiaTheme="minorEastAsia" w:hint="eastAsia"/>
          <w:sz w:val="24"/>
        </w:rPr>
        <w:t>24</w:t>
      </w:r>
      <w:r>
        <w:rPr>
          <w:rFonts w:eastAsiaTheme="minorEastAsia" w:hint="eastAsia"/>
          <w:sz w:val="24"/>
        </w:rPr>
        <w:t>日，第一届蛙类学术研讨会在厦门集美大学正式开幕，这场国内首次聚焦蛙类全产业链的学术盛会，汇聚了全国</w:t>
      </w:r>
      <w:r>
        <w:rPr>
          <w:rFonts w:eastAsiaTheme="minorEastAsia" w:hint="eastAsia"/>
          <w:sz w:val="24"/>
        </w:rPr>
        <w:t>10</w:t>
      </w:r>
      <w:r>
        <w:rPr>
          <w:rFonts w:eastAsiaTheme="minorEastAsia" w:hint="eastAsia"/>
          <w:sz w:val="24"/>
        </w:rPr>
        <w:t>余家科研院所、高校及企业代表，让分散的蛙类领域科研人才、产业资源实现集中对接，合力破局解题，为蛙类产业高质量发展注入科技动能。</w:t>
      </w:r>
    </w:p>
    <w:p w14:paraId="7A3AF8BC"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lastRenderedPageBreak/>
        <w:t>“蛙类是我国特色水产养殖的重要力量，棘胸蛙、黑斑蛙、牛蛙在养殖研究上需要得到更多重视和科研成果。”主办方代表、集美大学水产学院院长张春晓在开场致辞中，点明本次会议对凝聚蛙类领域科研人才、打通产学研融合通道的重要意义，引发全场共鸣。</w:t>
      </w:r>
    </w:p>
    <w:p w14:paraId="4365379D" w14:textId="12EAD798" w:rsidR="000B4139" w:rsidRDefault="00000000" w:rsidP="008F37A7">
      <w:pPr>
        <w:spacing w:line="360" w:lineRule="auto"/>
        <w:ind w:firstLineChars="200" w:firstLine="480"/>
        <w:rPr>
          <w:rFonts w:eastAsiaTheme="minorEastAsia"/>
          <w:sz w:val="24"/>
        </w:rPr>
      </w:pPr>
      <w:r>
        <w:rPr>
          <w:rFonts w:eastAsiaTheme="minorEastAsia" w:hint="eastAsia"/>
          <w:sz w:val="24"/>
        </w:rPr>
        <w:t>本次研讨会的“核心主角”，正是撑起中国蛙类产业的三大蛙类品种：棘胸蛙俗称“石蛙”，以药膳特性成为高端食材；黑斑蛙肉质细嫩、适合规模化养殖，是大众消费市场主流食用蛙类；牛蛙生长快、适应性强，是我国食用蛙市场份额最大的品种。三者虽各有市场优势，但受限于科研与产业衔接不畅，均面临发展瓶颈</w:t>
      </w:r>
      <w:r w:rsidR="008F37A7">
        <w:rPr>
          <w:rFonts w:eastAsiaTheme="minorEastAsia"/>
          <w:sz w:val="24"/>
        </w:rPr>
        <w:t>,</w:t>
      </w:r>
      <w:r>
        <w:rPr>
          <w:rFonts w:eastAsiaTheme="minorEastAsia" w:hint="eastAsia"/>
          <w:sz w:val="24"/>
        </w:rPr>
        <w:t>这也成为本次会议的核心研讨方向。</w:t>
      </w:r>
    </w:p>
    <w:p w14:paraId="1D134A7E" w14:textId="4EE266D6" w:rsidR="000B4139" w:rsidRDefault="00000000" w:rsidP="008F37A7">
      <w:pPr>
        <w:spacing w:line="360" w:lineRule="auto"/>
        <w:ind w:firstLineChars="200" w:firstLine="480"/>
        <w:rPr>
          <w:rFonts w:eastAsiaTheme="minorEastAsia"/>
          <w:sz w:val="24"/>
        </w:rPr>
      </w:pPr>
      <w:r>
        <w:rPr>
          <w:rFonts w:eastAsiaTheme="minorEastAsia" w:hint="eastAsia"/>
          <w:sz w:val="24"/>
        </w:rPr>
        <w:t>上午议程聚焦蛙类产业现状与技术突破，各领域专家带来针对性科研成果与解决方案。</w:t>
      </w:r>
    </w:p>
    <w:p w14:paraId="081D900E"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浙江师范大学郑荣泉教授率先分享“棘胸蛙产业现状”，他介绍石蛙的养殖区域主要分布于浙江、福建、江西、湖南、贵州等地。</w:t>
      </w:r>
      <w:r>
        <w:rPr>
          <w:rFonts w:eastAsiaTheme="minorEastAsia" w:hint="eastAsia"/>
          <w:sz w:val="24"/>
        </w:rPr>
        <w:t>2023</w:t>
      </w:r>
      <w:r>
        <w:rPr>
          <w:rFonts w:eastAsiaTheme="minorEastAsia" w:hint="eastAsia"/>
          <w:sz w:val="24"/>
        </w:rPr>
        <w:t>年，全国商品石蛙年产量在</w:t>
      </w:r>
      <w:r>
        <w:rPr>
          <w:rFonts w:eastAsiaTheme="minorEastAsia" w:hint="eastAsia"/>
          <w:sz w:val="24"/>
        </w:rPr>
        <w:t>2500</w:t>
      </w:r>
      <w:r>
        <w:rPr>
          <w:rFonts w:eastAsiaTheme="minorEastAsia" w:hint="eastAsia"/>
          <w:sz w:val="24"/>
        </w:rPr>
        <w:t>吨左右，产值约</w:t>
      </w:r>
      <w:r>
        <w:rPr>
          <w:rFonts w:eastAsiaTheme="minorEastAsia" w:hint="eastAsia"/>
          <w:sz w:val="24"/>
        </w:rPr>
        <w:t>4</w:t>
      </w:r>
      <w:r>
        <w:rPr>
          <w:rFonts w:eastAsiaTheme="minorEastAsia" w:hint="eastAsia"/>
          <w:sz w:val="24"/>
        </w:rPr>
        <w:t>亿元。石蛙养殖是山区依靠资源优势实现乡村振兴的好项目，产品消费者认知度高，属于高蛋白低脂肪的滋补品。石蛙养殖经济效益高，市场价格</w:t>
      </w:r>
      <w:r>
        <w:rPr>
          <w:rFonts w:eastAsiaTheme="minorEastAsia" w:hint="eastAsia"/>
          <w:sz w:val="24"/>
        </w:rPr>
        <w:t>150/</w:t>
      </w:r>
      <w:r>
        <w:rPr>
          <w:rFonts w:eastAsiaTheme="minorEastAsia" w:hint="eastAsia"/>
          <w:sz w:val="24"/>
        </w:rPr>
        <w:t>斤，亩效益</w:t>
      </w:r>
      <w:r>
        <w:rPr>
          <w:rFonts w:eastAsiaTheme="minorEastAsia" w:hint="eastAsia"/>
          <w:sz w:val="24"/>
        </w:rPr>
        <w:t>10-20</w:t>
      </w:r>
      <w:r>
        <w:rPr>
          <w:rFonts w:eastAsiaTheme="minorEastAsia" w:hint="eastAsia"/>
          <w:sz w:val="24"/>
        </w:rPr>
        <w:t>万元，但养殖周期较长，商品蛙培育需要</w:t>
      </w:r>
      <w:r>
        <w:rPr>
          <w:rFonts w:eastAsiaTheme="minorEastAsia" w:hint="eastAsia"/>
          <w:sz w:val="24"/>
        </w:rPr>
        <w:t>2-3</w:t>
      </w:r>
      <w:r>
        <w:rPr>
          <w:rFonts w:eastAsiaTheme="minorEastAsia" w:hint="eastAsia"/>
          <w:sz w:val="24"/>
        </w:rPr>
        <w:t>年。</w:t>
      </w:r>
    </w:p>
    <w:p w14:paraId="712C191D"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集美大学李健教授围绕“棘胸蛙精深加工关键技术”展开分享，他指出石蛙由于食用方式少、市场认知度低、地域局限性强、供货期短等因素所以没有形成规模化，需要深加工来推动。团队目前已对石蛙肉、石蛙皮等营养功效进行研究，并通过真空冷冻干燥、超微粉碎技术、复合酶酶解技术等精深加工技术，最大程度保留石蛙全部营养价值，改善石蛙加工产品口感，推动石蛙产业链延长发展。</w:t>
      </w:r>
    </w:p>
    <w:p w14:paraId="43CC57EF"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湖南农业大学胡亚洲副教授发布的“</w:t>
      </w:r>
      <w:r>
        <w:rPr>
          <w:rFonts w:eastAsiaTheme="minorEastAsia" w:hint="eastAsia"/>
          <w:sz w:val="24"/>
        </w:rPr>
        <w:t>2025</w:t>
      </w:r>
      <w:r>
        <w:rPr>
          <w:rFonts w:eastAsiaTheme="minorEastAsia" w:hint="eastAsia"/>
          <w:sz w:val="24"/>
        </w:rPr>
        <w:t>年黑斑蛙产业发展报告”显示黑斑蛙养殖规模进入调整期，</w:t>
      </w:r>
      <w:r>
        <w:rPr>
          <w:rFonts w:eastAsiaTheme="minorEastAsia" w:hint="eastAsia"/>
          <w:sz w:val="24"/>
        </w:rPr>
        <w:t>2025</w:t>
      </w:r>
      <w:r>
        <w:rPr>
          <w:rFonts w:eastAsiaTheme="minorEastAsia" w:hint="eastAsia"/>
          <w:sz w:val="24"/>
        </w:rPr>
        <w:t>年实养面积约</w:t>
      </w:r>
      <w:r>
        <w:rPr>
          <w:rFonts w:eastAsiaTheme="minorEastAsia" w:hint="eastAsia"/>
          <w:sz w:val="24"/>
        </w:rPr>
        <w:t>11</w:t>
      </w:r>
      <w:r>
        <w:rPr>
          <w:rFonts w:eastAsiaTheme="minorEastAsia" w:hint="eastAsia"/>
          <w:sz w:val="24"/>
        </w:rPr>
        <w:t>万亩，较</w:t>
      </w:r>
      <w:r>
        <w:rPr>
          <w:rFonts w:eastAsiaTheme="minorEastAsia" w:hint="eastAsia"/>
          <w:sz w:val="24"/>
        </w:rPr>
        <w:t>2024</w:t>
      </w:r>
      <w:r>
        <w:rPr>
          <w:rFonts w:eastAsiaTheme="minorEastAsia" w:hint="eastAsia"/>
          <w:sz w:val="24"/>
        </w:rPr>
        <w:t>年全国退养休养比例约</w:t>
      </w:r>
      <w:r>
        <w:rPr>
          <w:rFonts w:eastAsiaTheme="minorEastAsia" w:hint="eastAsia"/>
          <w:sz w:val="24"/>
        </w:rPr>
        <w:t>10%-32%</w:t>
      </w:r>
      <w:r>
        <w:rPr>
          <w:rFonts w:eastAsiaTheme="minorEastAsia" w:hint="eastAsia"/>
          <w:sz w:val="24"/>
        </w:rPr>
        <w:t>，湖南下降最多。目前全国总产量</w:t>
      </w:r>
      <w:r>
        <w:rPr>
          <w:rFonts w:eastAsiaTheme="minorEastAsia" w:hint="eastAsia"/>
          <w:sz w:val="24"/>
        </w:rPr>
        <w:t>10-11</w:t>
      </w:r>
      <w:r>
        <w:rPr>
          <w:rFonts w:eastAsiaTheme="minorEastAsia" w:hint="eastAsia"/>
          <w:sz w:val="24"/>
        </w:rPr>
        <w:t>万吨，湖北、广东、广西养蛙优势逐渐凸显，养殖总量回归至</w:t>
      </w:r>
      <w:r>
        <w:rPr>
          <w:rFonts w:eastAsiaTheme="minorEastAsia" w:hint="eastAsia"/>
          <w:sz w:val="24"/>
        </w:rPr>
        <w:t>2023</w:t>
      </w:r>
      <w:r>
        <w:rPr>
          <w:rFonts w:eastAsiaTheme="minorEastAsia" w:hint="eastAsia"/>
          <w:sz w:val="24"/>
        </w:rPr>
        <w:t>年以前水平，产业进入结构性调整阶段。黑斑蛙已进入微利时代</w:t>
      </w:r>
      <w:r>
        <w:rPr>
          <w:rFonts w:eastAsiaTheme="minorEastAsia" w:hint="eastAsia"/>
          <w:sz w:val="24"/>
        </w:rPr>
        <w:t>,</w:t>
      </w:r>
      <w:r>
        <w:rPr>
          <w:rFonts w:eastAsiaTheme="minorEastAsia" w:hint="eastAsia"/>
          <w:sz w:val="24"/>
        </w:rPr>
        <w:t>能极致控制综合成本的模式正成为盈利关键。</w:t>
      </w:r>
    </w:p>
    <w:p w14:paraId="115642F8"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蝌蚪营养研究也很重要，需要行业加大重视度。”湖南农业大学胡毅教授研究发现，熟化粉料能显著提高牛蛙蝌蚪变态率与变态后幼蛙体重。还分享了促进蝌蚪变态饲料与动保思路：蝌蚪饲料中微量元素与维生素平衡，蝌蚪生长后期饲料中钙磷水平调整，蝌蚪生长后期提高水体中钙磷含量和优质饲料原料利用。</w:t>
      </w:r>
    </w:p>
    <w:p w14:paraId="3553E116"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集美大学王国栋教授对牛蛙育种进行分析，他表示牛蛙深受消费者喜爱，供需两旺，在政策支持</w:t>
      </w:r>
      <w:r>
        <w:rPr>
          <w:rFonts w:eastAsiaTheme="minorEastAsia" w:hint="eastAsia"/>
          <w:sz w:val="24"/>
        </w:rPr>
        <w:t>+</w:t>
      </w:r>
      <w:r>
        <w:rPr>
          <w:rFonts w:eastAsiaTheme="minorEastAsia" w:hint="eastAsia"/>
          <w:sz w:val="24"/>
        </w:rPr>
        <w:t>市场需求的催化下，优质的牛蛙种苗有广泛开发空间，符合牛蛙养殖业的发展</w:t>
      </w:r>
      <w:r>
        <w:rPr>
          <w:rFonts w:eastAsiaTheme="minorEastAsia" w:hint="eastAsia"/>
          <w:sz w:val="24"/>
        </w:rPr>
        <w:lastRenderedPageBreak/>
        <w:t>趋势和消费市场的新需求，目前牛蛙苗种产值约</w:t>
      </w:r>
      <w:r>
        <w:rPr>
          <w:rFonts w:eastAsiaTheme="minorEastAsia" w:hint="eastAsia"/>
          <w:sz w:val="24"/>
        </w:rPr>
        <w:t>15</w:t>
      </w:r>
      <w:r>
        <w:rPr>
          <w:rFonts w:eastAsiaTheme="minorEastAsia" w:hint="eastAsia"/>
          <w:sz w:val="24"/>
        </w:rPr>
        <w:t>亿元。他还提出前期可以建立蝌蚪质量检测体系，科学评估蝌蚪的生长速度、发育状况、变态潜力、抗逆能力等指标，能为较早进行选育提供基础。</w:t>
      </w:r>
    </w:p>
    <w:p w14:paraId="6DEEDD49"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下午议程则直击市场关注度最高的牛蛙产业痛点，聚焦饲料研发、病害防控、加工质控三大核心环节给出科技解法。</w:t>
      </w:r>
    </w:p>
    <w:p w14:paraId="7FAC209E" w14:textId="5E8FF768" w:rsidR="000B4139" w:rsidRDefault="00000000" w:rsidP="008F37A7">
      <w:pPr>
        <w:spacing w:line="360" w:lineRule="auto"/>
        <w:ind w:firstLineChars="200" w:firstLine="480"/>
        <w:rPr>
          <w:rFonts w:eastAsiaTheme="minorEastAsia"/>
          <w:sz w:val="24"/>
        </w:rPr>
      </w:pPr>
      <w:r>
        <w:rPr>
          <w:rFonts w:eastAsiaTheme="minorEastAsia" w:hint="eastAsia"/>
          <w:sz w:val="24"/>
        </w:rPr>
        <w:t>集美大学王玲教授提出“牛蛙饲料中后生元的研发”，据她介绍，后生元对牛蛙的益生作用包括枯草芽孢杆菌</w:t>
      </w:r>
      <w:r>
        <w:rPr>
          <w:rFonts w:eastAsiaTheme="minorEastAsia" w:hint="eastAsia"/>
          <w:sz w:val="24"/>
        </w:rPr>
        <w:t>LCBS1</w:t>
      </w:r>
      <w:r>
        <w:rPr>
          <w:rFonts w:eastAsiaTheme="minorEastAsia" w:hint="eastAsia"/>
          <w:sz w:val="24"/>
        </w:rPr>
        <w:t>及其后生元对牛蛙均有益生作用。其中，热灭活菌、全细胞壁和脂磷壁酸</w:t>
      </w:r>
      <w:r w:rsidR="008F37A7">
        <w:rPr>
          <w:rFonts w:eastAsiaTheme="minorEastAsia" w:hint="eastAsia"/>
          <w:sz w:val="24"/>
        </w:rPr>
        <w:t>的</w:t>
      </w:r>
      <w:r>
        <w:rPr>
          <w:rFonts w:eastAsiaTheme="minorEastAsia" w:hint="eastAsia"/>
          <w:sz w:val="24"/>
        </w:rPr>
        <w:t>益生效果最好。益生作用表现为：维持肠道健康、提高饲料效率和免疫力，促进生长。</w:t>
      </w:r>
    </w:p>
    <w:p w14:paraId="096C4B35"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仲恺农业工程学院刘春副教授针对“广东养殖牛蛙病害流行情况”，介绍广东牛蛙主要病害包括细菌感染病例、细菌与病毒混合感染病例和不明原因死亡。并展示了病原快速检测方法，以及快速掌握“快速识病、科学防控”的实操技巧。</w:t>
      </w:r>
    </w:p>
    <w:p w14:paraId="1A8DE2D5"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水科院南海所陈胜军研究员从加工端发力，解读“牛蛙加工”话题。他提到，牛蛙是优质的经济养殖蛙类，目前其加工主要以分割（去头、去皮、去内脏等）等初加工为主，为餐饮门店供应蛙肉。而随着预制菜的兴起，牛蛙预制菜加工也开始增多，牛蛙保鲜加工技术、牛蛙即食食品开发研究、以及牛蛙副产物高值化加工利用研究也逐渐增多。</w:t>
      </w:r>
    </w:p>
    <w:p w14:paraId="5043D028"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集美大学水产学院张春晓院长分享了科技赋能牛蛙产业的思考。他提到可以通过生态化养殖模式，保持牛蛙和农作物共作关系，以及牛蛙的摄食驯化。工程化养殖要考虑牛蛙能量收支、消化生理、排泄排放规律和环境对动物的影响。另外工厂化养殖还包括牛蛙行为学、室内环境对动物的影响、设施设备开发。另外，生物防治技术、生态调控技术、精准用药技术一系列技术体系都要升级。</w:t>
      </w:r>
    </w:p>
    <w:p w14:paraId="54957302" w14:textId="77777777" w:rsidR="000B4139" w:rsidRDefault="00000000" w:rsidP="008F37A7">
      <w:pPr>
        <w:spacing w:line="360" w:lineRule="auto"/>
        <w:ind w:firstLineChars="200" w:firstLine="480"/>
        <w:rPr>
          <w:rFonts w:eastAsiaTheme="minorEastAsia"/>
          <w:sz w:val="24"/>
        </w:rPr>
      </w:pPr>
      <w:r>
        <w:rPr>
          <w:rFonts w:eastAsiaTheme="minorEastAsia" w:hint="eastAsia"/>
          <w:sz w:val="24"/>
        </w:rPr>
        <w:t>会议尾声还进行了产学研交流环节，企业代表直奔养殖、加工中的实际痛点提问，专家现场答疑解惑、精准对接资源。会议主办方强调，本次会议只是起点，未来会持续搭建蛙类产业交流平台，凝聚更多科研人才、整合产业资源，让更多科研成果走出实验室、走进养殖场，把科技力转化为产业发展力，推动蛙类产业从小众特色走向规模化高质量发展。</w:t>
      </w:r>
    </w:p>
    <w:p w14:paraId="046A03D3" w14:textId="77777777" w:rsidR="000B4139" w:rsidRDefault="00000000">
      <w:pPr>
        <w:spacing w:line="360" w:lineRule="auto"/>
        <w:jc w:val="right"/>
        <w:rPr>
          <w:rStyle w:val="vm"/>
          <w:rFonts w:eastAsiaTheme="minorEastAsia"/>
          <w:szCs w:val="21"/>
        </w:rPr>
      </w:pPr>
      <w:r>
        <w:rPr>
          <w:rStyle w:val="vm"/>
          <w:rFonts w:eastAsiaTheme="minorEastAsia" w:hint="eastAsia"/>
          <w:szCs w:val="21"/>
        </w:rPr>
        <w:t>转摘自农财宝典</w:t>
      </w:r>
    </w:p>
    <w:p w14:paraId="5FDA6482" w14:textId="77777777" w:rsidR="00B85B23" w:rsidRDefault="00B85B23" w:rsidP="00B85B23">
      <w:pPr>
        <w:spacing w:line="276" w:lineRule="auto"/>
        <w:jc w:val="left"/>
        <w:rPr>
          <w:rFonts w:eastAsia="黑体"/>
          <w:b/>
          <w:bCs/>
          <w:sz w:val="32"/>
          <w:szCs w:val="32"/>
          <w:bdr w:val="single" w:sz="4" w:space="0" w:color="auto"/>
        </w:rPr>
      </w:pPr>
      <w:bookmarkStart w:id="21" w:name="_Toc206748070"/>
      <w:bookmarkStart w:id="22" w:name="_Toc208688089"/>
      <w:bookmarkStart w:id="23" w:name="_Toc211339460"/>
      <w:bookmarkStart w:id="24" w:name="_Toc212732405"/>
      <w:bookmarkStart w:id="25" w:name="_Toc214029174"/>
      <w:bookmarkStart w:id="26" w:name="_Toc215334835"/>
      <w:bookmarkStart w:id="27" w:name="_Toc218093319"/>
      <w:bookmarkStart w:id="28" w:name="_Toc219244791"/>
    </w:p>
    <w:p w14:paraId="5C514780" w14:textId="77777777" w:rsidR="00B85B23" w:rsidRDefault="00B85B23" w:rsidP="00B85B23">
      <w:pPr>
        <w:spacing w:line="276" w:lineRule="auto"/>
        <w:jc w:val="left"/>
        <w:rPr>
          <w:rFonts w:eastAsia="黑体"/>
          <w:b/>
          <w:bCs/>
          <w:sz w:val="32"/>
          <w:szCs w:val="32"/>
          <w:bdr w:val="single" w:sz="4" w:space="0" w:color="auto"/>
        </w:rPr>
      </w:pPr>
    </w:p>
    <w:p w14:paraId="321389A2" w14:textId="77777777" w:rsidR="00B85B23" w:rsidRDefault="00B85B23" w:rsidP="00B85B23">
      <w:pPr>
        <w:spacing w:line="276" w:lineRule="auto"/>
        <w:jc w:val="left"/>
        <w:rPr>
          <w:rFonts w:eastAsia="黑体"/>
          <w:b/>
          <w:bCs/>
          <w:sz w:val="32"/>
          <w:szCs w:val="32"/>
          <w:bdr w:val="single" w:sz="4" w:space="0" w:color="auto"/>
        </w:rPr>
      </w:pPr>
    </w:p>
    <w:p w14:paraId="01232F88" w14:textId="3530F429" w:rsidR="00121328" w:rsidRDefault="00121328" w:rsidP="00121328">
      <w:pPr>
        <w:spacing w:line="276" w:lineRule="auto"/>
        <w:jc w:val="left"/>
        <w:outlineLvl w:val="0"/>
        <w:rPr>
          <w:rFonts w:eastAsia="黑体"/>
          <w:b/>
          <w:bCs/>
          <w:sz w:val="32"/>
          <w:szCs w:val="32"/>
          <w:bdr w:val="single" w:sz="4" w:space="0" w:color="auto"/>
        </w:rPr>
      </w:pPr>
      <w:bookmarkStart w:id="29" w:name="_Toc220673112"/>
      <w:r w:rsidRPr="00613669">
        <w:rPr>
          <w:rFonts w:eastAsia="黑体"/>
          <w:b/>
          <w:bCs/>
          <w:sz w:val="32"/>
          <w:szCs w:val="32"/>
          <w:bdr w:val="single" w:sz="4" w:space="0" w:color="auto"/>
        </w:rPr>
        <w:lastRenderedPageBreak/>
        <w:t>研究进展</w:t>
      </w:r>
      <w:bookmarkEnd w:id="21"/>
      <w:bookmarkEnd w:id="22"/>
      <w:bookmarkEnd w:id="23"/>
      <w:bookmarkEnd w:id="24"/>
      <w:bookmarkEnd w:id="25"/>
      <w:bookmarkEnd w:id="26"/>
      <w:bookmarkEnd w:id="27"/>
      <w:bookmarkEnd w:id="28"/>
      <w:bookmarkEnd w:id="29"/>
    </w:p>
    <w:p w14:paraId="29C630F6" w14:textId="77777777" w:rsidR="00400E98" w:rsidRDefault="00400E98" w:rsidP="00C116A1">
      <w:pPr>
        <w:jc w:val="center"/>
        <w:outlineLvl w:val="1"/>
        <w:rPr>
          <w:rFonts w:ascii="黑体" w:eastAsia="黑体" w:hAnsi="黑体" w:hint="eastAsia"/>
          <w:b/>
          <w:sz w:val="32"/>
          <w:szCs w:val="32"/>
        </w:rPr>
      </w:pPr>
      <w:bookmarkStart w:id="30" w:name="_Toc220673113"/>
      <w:r w:rsidRPr="00F145C6">
        <w:rPr>
          <w:rFonts w:ascii="黑体" w:eastAsia="黑体" w:hAnsi="黑体"/>
          <w:b/>
          <w:sz w:val="32"/>
          <w:szCs w:val="32"/>
        </w:rPr>
        <w:t>南极磷虾粉的饲用价值及其在水产饲料中研究进展</w:t>
      </w:r>
      <w:bookmarkEnd w:id="30"/>
    </w:p>
    <w:p w14:paraId="33511E71" w14:textId="77777777" w:rsidR="00400E98" w:rsidRDefault="00400E98" w:rsidP="00400E98">
      <w:pPr>
        <w:jc w:val="center"/>
      </w:pPr>
      <w:r w:rsidRPr="00742C9A">
        <w:rPr>
          <w:rFonts w:hint="eastAsia"/>
        </w:rPr>
        <w:t>邹伟华</w:t>
      </w:r>
      <w:r w:rsidRPr="00742C9A">
        <w:rPr>
          <w:vertAlign w:val="superscript"/>
        </w:rPr>
        <w:t>1</w:t>
      </w:r>
      <w:r>
        <w:rPr>
          <w:rFonts w:hint="eastAsia"/>
          <w:vertAlign w:val="superscript"/>
        </w:rPr>
        <w:t>,</w:t>
      </w:r>
      <w:r w:rsidRPr="00742C9A">
        <w:rPr>
          <w:vertAlign w:val="superscript"/>
        </w:rPr>
        <w:t>2</w:t>
      </w:r>
      <w:r w:rsidRPr="00742C9A">
        <w:t xml:space="preserve"> </w:t>
      </w:r>
      <w:r w:rsidRPr="00742C9A">
        <w:t>郝青</w:t>
      </w:r>
      <w:r w:rsidRPr="00742C9A">
        <w:rPr>
          <w:vertAlign w:val="superscript"/>
        </w:rPr>
        <w:t>2</w:t>
      </w:r>
      <w:r w:rsidRPr="00742C9A">
        <w:t xml:space="preserve"> </w:t>
      </w:r>
      <w:r w:rsidRPr="00742C9A">
        <w:t>陈晓瑛</w:t>
      </w:r>
      <w:r w:rsidRPr="00742C9A">
        <w:rPr>
          <w:vertAlign w:val="superscript"/>
        </w:rPr>
        <w:t>2</w:t>
      </w:r>
      <w:r w:rsidRPr="00742C9A">
        <w:t xml:space="preserve"> </w:t>
      </w:r>
      <w:r w:rsidRPr="00742C9A">
        <w:t>黄文</w:t>
      </w:r>
      <w:r w:rsidRPr="00742C9A">
        <w:rPr>
          <w:vertAlign w:val="superscript"/>
        </w:rPr>
        <w:t>2</w:t>
      </w:r>
      <w:r>
        <w:rPr>
          <w:rFonts w:hint="eastAsia"/>
          <w:vertAlign w:val="superscript"/>
        </w:rPr>
        <w:t>,</w:t>
      </w:r>
      <w:r w:rsidRPr="00742C9A">
        <w:rPr>
          <w:vertAlign w:val="superscript"/>
        </w:rPr>
        <w:t>3</w:t>
      </w:r>
      <w:r w:rsidRPr="00742C9A">
        <w:t xml:space="preserve"> </w:t>
      </w:r>
      <w:r w:rsidRPr="00742C9A">
        <w:t>华雪铭</w:t>
      </w:r>
      <w:r w:rsidRPr="00742C9A">
        <w:rPr>
          <w:vertAlign w:val="superscript"/>
        </w:rPr>
        <w:t>1</w:t>
      </w:r>
      <w:r w:rsidRPr="00742C9A">
        <w:t xml:space="preserve"> </w:t>
      </w:r>
      <w:r w:rsidRPr="00742C9A">
        <w:t>孙育平</w:t>
      </w:r>
      <w:r w:rsidRPr="00742C9A">
        <w:rPr>
          <w:vertAlign w:val="superscript"/>
        </w:rPr>
        <w:t>1</w:t>
      </w:r>
      <w:r>
        <w:rPr>
          <w:rFonts w:hint="eastAsia"/>
          <w:vertAlign w:val="superscript"/>
        </w:rPr>
        <w:t>,</w:t>
      </w:r>
      <w:r w:rsidRPr="00742C9A">
        <w:rPr>
          <w:vertAlign w:val="superscript"/>
        </w:rPr>
        <w:t>2</w:t>
      </w:r>
      <w:r>
        <w:rPr>
          <w:rFonts w:hint="eastAsia"/>
          <w:vertAlign w:val="superscript"/>
        </w:rPr>
        <w:t>,</w:t>
      </w:r>
      <w:r w:rsidRPr="00742C9A">
        <w:rPr>
          <w:vertAlign w:val="superscript"/>
        </w:rPr>
        <w:t>3*</w:t>
      </w:r>
    </w:p>
    <w:p w14:paraId="4A099D0E" w14:textId="77777777" w:rsidR="00400E98" w:rsidRPr="00C26743" w:rsidRDefault="00400E98" w:rsidP="00400E98">
      <w:pPr>
        <w:jc w:val="center"/>
        <w:rPr>
          <w:szCs w:val="21"/>
        </w:rPr>
      </w:pPr>
      <w:r w:rsidRPr="00F7441C">
        <w:rPr>
          <w:szCs w:val="21"/>
        </w:rPr>
        <w:t>(</w:t>
      </w:r>
      <w:r w:rsidRPr="00742C9A">
        <w:rPr>
          <w:szCs w:val="21"/>
        </w:rPr>
        <w:t>1.</w:t>
      </w:r>
      <w:r w:rsidRPr="00742C9A">
        <w:rPr>
          <w:szCs w:val="21"/>
        </w:rPr>
        <w:t>上海海洋大学水产与生命学院，上海</w:t>
      </w:r>
      <w:r w:rsidRPr="00742C9A">
        <w:rPr>
          <w:szCs w:val="21"/>
        </w:rPr>
        <w:t xml:space="preserve"> 201306</w:t>
      </w:r>
      <w:r w:rsidRPr="00742C9A">
        <w:rPr>
          <w:szCs w:val="21"/>
        </w:rPr>
        <w:t>；</w:t>
      </w:r>
      <w:r w:rsidRPr="00742C9A">
        <w:rPr>
          <w:szCs w:val="21"/>
        </w:rPr>
        <w:t>2.</w:t>
      </w:r>
      <w:r w:rsidRPr="00742C9A">
        <w:rPr>
          <w:szCs w:val="21"/>
        </w:rPr>
        <w:t>广东省农业科学院动物科学研究所，农业农村部华南动物营养与饲料</w:t>
      </w:r>
      <w:r w:rsidRPr="00742C9A">
        <w:rPr>
          <w:rFonts w:hint="eastAsia"/>
          <w:szCs w:val="21"/>
        </w:rPr>
        <w:t>重点实验室，广东省畜禽育种与营养研究重点实验室，广东广州</w:t>
      </w:r>
      <w:r w:rsidRPr="00742C9A">
        <w:rPr>
          <w:szCs w:val="21"/>
        </w:rPr>
        <w:t xml:space="preserve"> 510640</w:t>
      </w:r>
      <w:r w:rsidRPr="00742C9A">
        <w:rPr>
          <w:szCs w:val="21"/>
        </w:rPr>
        <w:t>；</w:t>
      </w:r>
      <w:r w:rsidRPr="00742C9A">
        <w:rPr>
          <w:szCs w:val="21"/>
        </w:rPr>
        <w:t>3.</w:t>
      </w:r>
      <w:r w:rsidRPr="00742C9A">
        <w:rPr>
          <w:szCs w:val="21"/>
        </w:rPr>
        <w:t>广州飞禧特生物科技有限公司，广东广州</w:t>
      </w:r>
      <w:r w:rsidRPr="00742C9A">
        <w:rPr>
          <w:szCs w:val="21"/>
        </w:rPr>
        <w:t xml:space="preserve"> 510640</w:t>
      </w:r>
      <w:r w:rsidRPr="00F7441C">
        <w:rPr>
          <w:szCs w:val="21"/>
        </w:rPr>
        <w:t>)</w:t>
      </w:r>
    </w:p>
    <w:p w14:paraId="6DDB1147" w14:textId="77777777" w:rsidR="00400E98" w:rsidRPr="00C26743" w:rsidRDefault="00400E98" w:rsidP="00B85B23">
      <w:r w:rsidRPr="00C26743">
        <w:rPr>
          <w:b/>
          <w:bCs/>
          <w:szCs w:val="21"/>
        </w:rPr>
        <w:t>摘要：</w:t>
      </w:r>
      <w:r w:rsidRPr="00742C9A">
        <w:rPr>
          <w:rFonts w:hint="eastAsia"/>
        </w:rPr>
        <w:t>随着人工养殖产业的不断发展，饲料资源需求量一直呈递增趋势，导致供需矛盾尖锐，养殖饲料品质及成本风险升高，新型优质饲料原料开发及利用备受关注。鱼粉是优质饲料蛋白源，近年来鱼粉资源量不断减少，鱼粉替代物的寻找成为饲料资源开发利用的热点问题。南极磷虾具资源量大，营养丰富，富含蛋白质、脂肪、虾青素、磷脂等物质，适口性强等特点，作为一种饲料原料，南极磷虾粉在水产饲料中应用前景广阔。文章综述了南极磷虾粉的营养价值、生物学功能及其在水产饲料中的应用研究进展，并就南极磷虾粉作为水产饲料原料应关注的问题进行探讨，旨在为其在水产饲料中的有效利用提供参考。</w:t>
      </w:r>
    </w:p>
    <w:p w14:paraId="0832BFEA" w14:textId="77777777" w:rsidR="00400E98" w:rsidRPr="00C26743" w:rsidRDefault="00400E98" w:rsidP="00B85B23">
      <w:pPr>
        <w:rPr>
          <w:szCs w:val="21"/>
        </w:rPr>
      </w:pPr>
      <w:r w:rsidRPr="00C26743">
        <w:rPr>
          <w:b/>
          <w:bCs/>
          <w:szCs w:val="21"/>
        </w:rPr>
        <w:t>关键词：</w:t>
      </w:r>
      <w:r w:rsidRPr="00742C9A">
        <w:rPr>
          <w:rFonts w:hint="eastAsia"/>
        </w:rPr>
        <w:t>南极磷虾粉；营养价值；生物学功能；水产动物；饲料</w:t>
      </w:r>
    </w:p>
    <w:p w14:paraId="1DF935DF" w14:textId="77777777" w:rsidR="00400E98" w:rsidRDefault="00400E98" w:rsidP="00400E98">
      <w:pPr>
        <w:jc w:val="center"/>
        <w:rPr>
          <w:b/>
          <w:bCs/>
          <w:sz w:val="24"/>
        </w:rPr>
      </w:pPr>
      <w:r w:rsidRPr="00742C9A">
        <w:rPr>
          <w:b/>
          <w:bCs/>
          <w:sz w:val="24"/>
        </w:rPr>
        <w:t>Feeding Value of Antarctic Krill Meal and its Research Progress in Aquatic Feed</w:t>
      </w:r>
    </w:p>
    <w:p w14:paraId="7C9478E3" w14:textId="77777777" w:rsidR="00400E98" w:rsidRDefault="00400E98" w:rsidP="00400E98">
      <w:pPr>
        <w:jc w:val="center"/>
      </w:pPr>
      <w:r w:rsidRPr="00742C9A">
        <w:t>ZOU Weihua</w:t>
      </w:r>
      <w:r w:rsidRPr="00742C9A">
        <w:rPr>
          <w:vertAlign w:val="superscript"/>
        </w:rPr>
        <w:t>1,2</w:t>
      </w:r>
      <w:r w:rsidRPr="00742C9A">
        <w:t xml:space="preserve"> HAO Qing</w:t>
      </w:r>
      <w:r w:rsidRPr="00742C9A">
        <w:rPr>
          <w:vertAlign w:val="superscript"/>
        </w:rPr>
        <w:t>2</w:t>
      </w:r>
      <w:r w:rsidRPr="00742C9A">
        <w:t xml:space="preserve"> CHEN Xiaoying</w:t>
      </w:r>
      <w:r w:rsidRPr="00742C9A">
        <w:rPr>
          <w:vertAlign w:val="superscript"/>
        </w:rPr>
        <w:t>2</w:t>
      </w:r>
      <w:r w:rsidRPr="00742C9A">
        <w:t xml:space="preserve"> HUANG Wen</w:t>
      </w:r>
      <w:r w:rsidRPr="00742C9A">
        <w:rPr>
          <w:vertAlign w:val="superscript"/>
        </w:rPr>
        <w:t>2,3</w:t>
      </w:r>
      <w:r w:rsidRPr="00742C9A">
        <w:t xml:space="preserve"> HUA Xueming</w:t>
      </w:r>
      <w:r w:rsidRPr="00742C9A">
        <w:rPr>
          <w:vertAlign w:val="superscript"/>
        </w:rPr>
        <w:t>1</w:t>
      </w:r>
      <w:r w:rsidRPr="00742C9A">
        <w:t xml:space="preserve"> SUN Yuping</w:t>
      </w:r>
      <w:r w:rsidRPr="00742C9A">
        <w:rPr>
          <w:vertAlign w:val="superscript"/>
        </w:rPr>
        <w:t>1,2,3*</w:t>
      </w:r>
    </w:p>
    <w:p w14:paraId="66EE843D" w14:textId="77777777" w:rsidR="00400E98" w:rsidRPr="007722C2" w:rsidRDefault="00400E98" w:rsidP="00400E98">
      <w:pPr>
        <w:jc w:val="center"/>
        <w:rPr>
          <w:i/>
        </w:rPr>
      </w:pPr>
      <w:r w:rsidRPr="00742C9A">
        <w:rPr>
          <w:i/>
        </w:rPr>
        <w:t>(</w:t>
      </w:r>
      <w:r w:rsidRPr="00B85B23">
        <w:rPr>
          <w:iCs/>
        </w:rPr>
        <w:t>1.</w:t>
      </w:r>
      <w:r w:rsidRPr="00742C9A">
        <w:rPr>
          <w:i/>
        </w:rPr>
        <w:t xml:space="preserve"> College of Fisheries and Life Science, Shanghai Ocean University, Shanghai </w:t>
      </w:r>
      <w:r w:rsidRPr="00742C9A">
        <w:rPr>
          <w:iCs/>
        </w:rPr>
        <w:t>201306</w:t>
      </w:r>
      <w:r w:rsidRPr="00742C9A">
        <w:rPr>
          <w:i/>
        </w:rPr>
        <w:t>, China;</w:t>
      </w:r>
      <w:r w:rsidRPr="00B85B23">
        <w:rPr>
          <w:iCs/>
        </w:rPr>
        <w:t xml:space="preserve"> 2</w:t>
      </w:r>
      <w:r w:rsidRPr="00742C9A">
        <w:rPr>
          <w:i/>
        </w:rPr>
        <w:t xml:space="preserve">. Institute of Animal Science, Guangdong Academy of Agricultural Sciences, Key Laboratory of Animal Nutrition and Feed Science in South China, Ministry of Agriculture and Rural Affairs, Guangdong Key Laboratory of Animal Breeding and Nutrition, Guangdong Guangzhou </w:t>
      </w:r>
      <w:r w:rsidRPr="00742C9A">
        <w:rPr>
          <w:iCs/>
        </w:rPr>
        <w:t>510640</w:t>
      </w:r>
      <w:r w:rsidRPr="00742C9A">
        <w:rPr>
          <w:i/>
        </w:rPr>
        <w:t xml:space="preserve">, China; </w:t>
      </w:r>
      <w:r w:rsidRPr="00B85B23">
        <w:rPr>
          <w:iCs/>
        </w:rPr>
        <w:t xml:space="preserve">3. </w:t>
      </w:r>
      <w:r w:rsidRPr="00742C9A">
        <w:rPr>
          <w:i/>
        </w:rPr>
        <w:t xml:space="preserve">Guangzhou </w:t>
      </w:r>
      <w:proofErr w:type="spellStart"/>
      <w:r w:rsidRPr="00742C9A">
        <w:rPr>
          <w:i/>
        </w:rPr>
        <w:t>Fishtech</w:t>
      </w:r>
      <w:proofErr w:type="spellEnd"/>
      <w:r w:rsidRPr="00742C9A">
        <w:rPr>
          <w:i/>
        </w:rPr>
        <w:t xml:space="preserve"> Biotechnology Co., Ltd., Guangdong Guangzhou </w:t>
      </w:r>
      <w:r w:rsidRPr="00742C9A">
        <w:rPr>
          <w:iCs/>
        </w:rPr>
        <w:t>510640</w:t>
      </w:r>
      <w:r w:rsidRPr="00742C9A">
        <w:rPr>
          <w:i/>
        </w:rPr>
        <w:t>,China)</w:t>
      </w:r>
    </w:p>
    <w:p w14:paraId="67540807" w14:textId="77777777" w:rsidR="00400E98" w:rsidRPr="00336F6F" w:rsidRDefault="00400E98" w:rsidP="00400E98">
      <w:pPr>
        <w:rPr>
          <w:bCs/>
        </w:rPr>
      </w:pPr>
      <w:r w:rsidRPr="00C133DA">
        <w:rPr>
          <w:b/>
          <w:bCs/>
        </w:rPr>
        <w:t>Abstract</w:t>
      </w:r>
      <w:r>
        <w:rPr>
          <w:b/>
          <w:bCs/>
        </w:rPr>
        <w:t>：</w:t>
      </w:r>
      <w:r w:rsidRPr="00742C9A">
        <w:rPr>
          <w:bCs/>
        </w:rPr>
        <w:t>With the continuous development of artificial aquaculture industry, the demand for feed resources has been on an increasing trend, resulting in the sharp contradiction between its supply and demand, the quality of aquaculture feed and the risk of feed cost is elevated, and the development and utilization of new high-quality feedstuffs have attracted much attention. Fishmeal is a high-quality feed protein source, in recent years the amount of fishmeal resources continue to decline, the search for fishmeal substitutes has become a hot issue in the development and utilization of feed resources. Antarctic krill (</w:t>
      </w:r>
      <w:proofErr w:type="spellStart"/>
      <w:r w:rsidRPr="00263AAE">
        <w:rPr>
          <w:bCs/>
          <w:i/>
          <w:iCs/>
        </w:rPr>
        <w:t>Euphausia</w:t>
      </w:r>
      <w:proofErr w:type="spellEnd"/>
      <w:r w:rsidRPr="00263AAE">
        <w:rPr>
          <w:bCs/>
          <w:i/>
          <w:iCs/>
        </w:rPr>
        <w:t xml:space="preserve"> superba</w:t>
      </w:r>
      <w:r w:rsidRPr="00742C9A">
        <w:rPr>
          <w:bCs/>
        </w:rPr>
        <w:t>) with large resources,</w:t>
      </w:r>
      <w:r w:rsidRPr="00742C9A">
        <w:t xml:space="preserve"> </w:t>
      </w:r>
      <w:r w:rsidRPr="00742C9A">
        <w:rPr>
          <w:bCs/>
        </w:rPr>
        <w:t>nutrient-rich, rich in protein, fat, astaxanthin, phospholipids and other substances, strong palatability and so on, as a feed ingredient, Antarctic krill meal in aquatic feed application prospects. This paper reviews the nutritional value of Antarctic krill meal, biological function and its application in aquatic feed research progress, and Antarctic krill meal as aquatic feed ingredients should be concerned about the problem to be discussed, aimed at Antarctic krill meal in aquatic feed to provide reference for the efficient use.</w:t>
      </w:r>
    </w:p>
    <w:p w14:paraId="1DC4D5A7" w14:textId="77777777" w:rsidR="00400E98" w:rsidRPr="00310621" w:rsidRDefault="00400E98" w:rsidP="00400E98">
      <w:pPr>
        <w:jc w:val="left"/>
        <w:rPr>
          <w:bCs/>
        </w:rPr>
      </w:pPr>
      <w:r w:rsidRPr="00C133DA">
        <w:rPr>
          <w:b/>
          <w:bCs/>
        </w:rPr>
        <w:t>Key words</w:t>
      </w:r>
      <w:r>
        <w:rPr>
          <w:b/>
          <w:bCs/>
        </w:rPr>
        <w:t>：</w:t>
      </w:r>
      <w:r w:rsidRPr="00742C9A">
        <w:rPr>
          <w:rFonts w:hint="eastAsia"/>
          <w:bCs/>
        </w:rPr>
        <w:t>：</w:t>
      </w:r>
      <w:proofErr w:type="spellStart"/>
      <w:r w:rsidRPr="00742C9A">
        <w:rPr>
          <w:bCs/>
        </w:rPr>
        <w:t>antarctic</w:t>
      </w:r>
      <w:proofErr w:type="spellEnd"/>
      <w:r w:rsidRPr="00742C9A">
        <w:rPr>
          <w:bCs/>
        </w:rPr>
        <w:t xml:space="preserve"> krill meal; nutritional value; biological function; aquatic animals; feeds</w:t>
      </w:r>
    </w:p>
    <w:p w14:paraId="23452ABB" w14:textId="77777777" w:rsidR="00400E98" w:rsidRPr="005322F5" w:rsidRDefault="00400E98" w:rsidP="00400E98">
      <w:pPr>
        <w:rPr>
          <w:sz w:val="24"/>
        </w:rPr>
      </w:pPr>
    </w:p>
    <w:p w14:paraId="2F851137" w14:textId="77777777" w:rsidR="00400E98" w:rsidRPr="00742C9A" w:rsidRDefault="00400E98" w:rsidP="00400E98">
      <w:pPr>
        <w:spacing w:line="360" w:lineRule="auto"/>
        <w:ind w:firstLineChars="200" w:firstLine="480"/>
        <w:rPr>
          <w:sz w:val="24"/>
        </w:rPr>
      </w:pPr>
      <w:r w:rsidRPr="00742C9A">
        <w:rPr>
          <w:rFonts w:hint="eastAsia"/>
          <w:sz w:val="24"/>
        </w:rPr>
        <w:t>水产品是人类重要的食物来源，水产养殖贡献明显。饲料是水产养殖的物质和能量基础。</w:t>
      </w:r>
      <w:r w:rsidRPr="00742C9A">
        <w:rPr>
          <w:sz w:val="24"/>
        </w:rPr>
        <w:t>21</w:t>
      </w:r>
      <w:r w:rsidRPr="00742C9A">
        <w:rPr>
          <w:sz w:val="24"/>
        </w:rPr>
        <w:t>世纪以</w:t>
      </w:r>
      <w:r w:rsidRPr="00742C9A">
        <w:rPr>
          <w:rFonts w:hint="eastAsia"/>
          <w:sz w:val="24"/>
        </w:rPr>
        <w:t>来，中国水产养殖业一直处于高速发展阶段，养殖产量不断升高。据中国渔业年鉴统计，</w:t>
      </w:r>
      <w:r w:rsidRPr="00742C9A">
        <w:rPr>
          <w:sz w:val="24"/>
        </w:rPr>
        <w:t>2023</w:t>
      </w:r>
      <w:r w:rsidRPr="00742C9A">
        <w:rPr>
          <w:sz w:val="24"/>
        </w:rPr>
        <w:t>年中国水</w:t>
      </w:r>
      <w:r w:rsidRPr="00742C9A">
        <w:rPr>
          <w:rFonts w:hint="eastAsia"/>
          <w:sz w:val="24"/>
        </w:rPr>
        <w:t>产养殖产量为</w:t>
      </w:r>
      <w:r w:rsidRPr="00742C9A">
        <w:rPr>
          <w:sz w:val="24"/>
        </w:rPr>
        <w:t>5809.61</w:t>
      </w:r>
      <w:r w:rsidRPr="00742C9A">
        <w:rPr>
          <w:sz w:val="24"/>
        </w:rPr>
        <w:t>万吨，同比增长</w:t>
      </w:r>
      <w:r w:rsidRPr="00742C9A">
        <w:rPr>
          <w:sz w:val="24"/>
        </w:rPr>
        <w:t>4.39%</w:t>
      </w:r>
      <w:r w:rsidRPr="00742C9A">
        <w:rPr>
          <w:sz w:val="24"/>
        </w:rPr>
        <w:t>。与此同时，水产饲料总量呈上升趋势。据中国饲料工业</w:t>
      </w:r>
      <w:r w:rsidRPr="00742C9A">
        <w:rPr>
          <w:rFonts w:hint="eastAsia"/>
          <w:sz w:val="24"/>
        </w:rPr>
        <w:t>协会统计，</w:t>
      </w:r>
      <w:r w:rsidRPr="00742C9A">
        <w:rPr>
          <w:sz w:val="24"/>
        </w:rPr>
        <w:t>2023</w:t>
      </w:r>
      <w:r w:rsidRPr="00742C9A">
        <w:rPr>
          <w:sz w:val="24"/>
        </w:rPr>
        <w:t>年中国水产饲料产量达到</w:t>
      </w:r>
      <w:r w:rsidRPr="00742C9A">
        <w:rPr>
          <w:sz w:val="24"/>
        </w:rPr>
        <w:t>2344.4</w:t>
      </w:r>
      <w:r w:rsidRPr="00742C9A">
        <w:rPr>
          <w:sz w:val="24"/>
        </w:rPr>
        <w:t>万吨，占全国饲料总产量的</w:t>
      </w:r>
      <w:r w:rsidRPr="00742C9A">
        <w:rPr>
          <w:sz w:val="24"/>
        </w:rPr>
        <w:t>7.29%</w:t>
      </w:r>
      <w:r w:rsidRPr="00742C9A">
        <w:rPr>
          <w:sz w:val="24"/>
        </w:rPr>
        <w:t>。相比畜禽饲料，</w:t>
      </w:r>
      <w:r w:rsidRPr="00742C9A">
        <w:rPr>
          <w:rFonts w:hint="eastAsia"/>
          <w:sz w:val="24"/>
        </w:rPr>
        <w:t>水产饲料需要添加多种优质蛋白及脂肪原料，对碳水化合物需求量不高，即蛋白质、脂肪含量较高。此外，水产饲料对原料粉碎细</w:t>
      </w:r>
      <w:r w:rsidRPr="00742C9A">
        <w:rPr>
          <w:rFonts w:hint="eastAsia"/>
          <w:sz w:val="24"/>
        </w:rPr>
        <w:lastRenderedPageBreak/>
        <w:t>度、饲料耐水性要求均高于畜禽饲料。蛋白质原料中，鱼粉被公认为优质饲料蛋白源，富含水产动物所需的多种必需氨基酸，常常被作为重要蛋白质原料用于饲料中，但受其资源减少、价格上涨及市场需求增长等因素影响，鱼粉替代原料（如植物蛋白、昆虫蛋白和海洋生物蛋白等）挖掘和利用备受学界和产业界的关注。</w:t>
      </w:r>
    </w:p>
    <w:p w14:paraId="1EF2372F" w14:textId="42635957" w:rsidR="00400E98" w:rsidRPr="00742C9A" w:rsidRDefault="00400E98" w:rsidP="00400E98">
      <w:pPr>
        <w:spacing w:line="360" w:lineRule="auto"/>
        <w:ind w:firstLineChars="200" w:firstLine="480"/>
        <w:rPr>
          <w:sz w:val="24"/>
        </w:rPr>
      </w:pPr>
      <w:r w:rsidRPr="00742C9A">
        <w:rPr>
          <w:rFonts w:hint="eastAsia"/>
          <w:sz w:val="24"/>
        </w:rPr>
        <w:t>南极磷虾（</w:t>
      </w:r>
      <w:proofErr w:type="spellStart"/>
      <w:r w:rsidRPr="00902749">
        <w:rPr>
          <w:i/>
          <w:iCs/>
          <w:sz w:val="24"/>
        </w:rPr>
        <w:t>Euphausia</w:t>
      </w:r>
      <w:proofErr w:type="spellEnd"/>
      <w:r>
        <w:rPr>
          <w:i/>
          <w:iCs/>
          <w:sz w:val="24"/>
        </w:rPr>
        <w:t xml:space="preserve"> </w:t>
      </w:r>
      <w:r w:rsidRPr="00902749">
        <w:rPr>
          <w:i/>
          <w:iCs/>
          <w:sz w:val="24"/>
        </w:rPr>
        <w:t>superba</w:t>
      </w:r>
      <w:r w:rsidRPr="00742C9A">
        <w:rPr>
          <w:sz w:val="24"/>
        </w:rPr>
        <w:t>）是一种海洋生物，资源量大，营养价值高，富含蛋白质、脂肪、</w:t>
      </w:r>
      <w:r w:rsidRPr="00742C9A">
        <w:rPr>
          <w:rFonts w:hint="eastAsia"/>
          <w:sz w:val="24"/>
        </w:rPr>
        <w:t>虾青素、磷脂、牛磺酸等物质，适口性强。南极磷虾粉作为一种新型饲料原料利用，有助于水产养殖成本降低，推进水产产业提质增效及可持续发展，应用前景广阔。文章综述了南极磷虾粉的营养价值、生物学功能及其在水产饲料中的应用研究进展</w:t>
      </w:r>
      <w:r w:rsidR="00263AAE" w:rsidRPr="00742C9A">
        <w:rPr>
          <w:sz w:val="24"/>
        </w:rPr>
        <w:t>,</w:t>
      </w:r>
      <w:r w:rsidRPr="00742C9A">
        <w:rPr>
          <w:rFonts w:hint="eastAsia"/>
          <w:sz w:val="24"/>
        </w:rPr>
        <w:t>并就南极磷虾粉作为水产饲料原料应关注的问题进行探讨</w:t>
      </w:r>
      <w:r w:rsidR="00263AAE" w:rsidRPr="00742C9A">
        <w:rPr>
          <w:sz w:val="24"/>
        </w:rPr>
        <w:t>,</w:t>
      </w:r>
      <w:r w:rsidRPr="00742C9A">
        <w:rPr>
          <w:rFonts w:hint="eastAsia"/>
          <w:sz w:val="24"/>
        </w:rPr>
        <w:t>旨在为其在水产饲料中的有效利用提供参考。</w:t>
      </w:r>
    </w:p>
    <w:p w14:paraId="4D3BD57F" w14:textId="77777777" w:rsidR="00400E98" w:rsidRPr="00742C9A" w:rsidRDefault="00400E98" w:rsidP="00400E98">
      <w:pPr>
        <w:spacing w:line="360" w:lineRule="auto"/>
        <w:rPr>
          <w:sz w:val="24"/>
        </w:rPr>
      </w:pPr>
      <w:r w:rsidRPr="00742C9A">
        <w:rPr>
          <w:sz w:val="24"/>
        </w:rPr>
        <w:t>1</w:t>
      </w:r>
      <w:r w:rsidRPr="00742C9A">
        <w:rPr>
          <w:sz w:val="24"/>
        </w:rPr>
        <w:t>南极磷虾粉饲用价值</w:t>
      </w:r>
    </w:p>
    <w:p w14:paraId="0B7A57A9" w14:textId="77777777" w:rsidR="00400E98" w:rsidRPr="00742C9A" w:rsidRDefault="00400E98" w:rsidP="00400E98">
      <w:pPr>
        <w:spacing w:line="360" w:lineRule="auto"/>
        <w:ind w:firstLineChars="200" w:firstLine="480"/>
        <w:rPr>
          <w:sz w:val="24"/>
        </w:rPr>
      </w:pPr>
      <w:r w:rsidRPr="00742C9A">
        <w:rPr>
          <w:rFonts w:hint="eastAsia"/>
          <w:sz w:val="24"/>
        </w:rPr>
        <w:t>南极磷虾是一种海洋甲壳类动物，广泛分布于南极海域，主要以浮游植物为食，繁殖能力极强，在夏季可多次产卵，且每个雌性个体每次产卵</w:t>
      </w:r>
      <w:r w:rsidRPr="00742C9A">
        <w:rPr>
          <w:sz w:val="24"/>
        </w:rPr>
        <w:t>10000</w:t>
      </w:r>
      <w:r w:rsidRPr="00742C9A">
        <w:rPr>
          <w:sz w:val="24"/>
        </w:rPr>
        <w:t>粒左右，为食物网关键物种</w:t>
      </w:r>
      <w:r w:rsidRPr="00C64610">
        <w:rPr>
          <w:sz w:val="24"/>
          <w:vertAlign w:val="superscript"/>
        </w:rPr>
        <w:t>[1]</w:t>
      </w:r>
      <w:r w:rsidRPr="00742C9A">
        <w:rPr>
          <w:sz w:val="24"/>
        </w:rPr>
        <w:t>。据生物专家预计，每</w:t>
      </w:r>
      <w:r w:rsidRPr="00742C9A">
        <w:rPr>
          <w:rFonts w:hint="eastAsia"/>
          <w:sz w:val="24"/>
        </w:rPr>
        <w:t>年捕捞</w:t>
      </w:r>
      <w:r w:rsidRPr="00742C9A">
        <w:rPr>
          <w:sz w:val="24"/>
        </w:rPr>
        <w:t>5000</w:t>
      </w:r>
      <w:r w:rsidRPr="00742C9A">
        <w:rPr>
          <w:sz w:val="24"/>
        </w:rPr>
        <w:t>万吨磷虾，对海洋生态环境不造成影响。自</w:t>
      </w:r>
      <w:r w:rsidRPr="00742C9A">
        <w:rPr>
          <w:sz w:val="24"/>
        </w:rPr>
        <w:t>21</w:t>
      </w:r>
      <w:r w:rsidRPr="00742C9A">
        <w:rPr>
          <w:sz w:val="24"/>
        </w:rPr>
        <w:t>世纪以来，南极磷虾的年捕捞量在</w:t>
      </w:r>
      <w:r w:rsidRPr="00742C9A">
        <w:rPr>
          <w:sz w:val="24"/>
        </w:rPr>
        <w:t>100</w:t>
      </w:r>
      <w:r w:rsidRPr="00742C9A">
        <w:rPr>
          <w:sz w:val="24"/>
        </w:rPr>
        <w:t>万</w:t>
      </w:r>
      <w:r w:rsidRPr="00742C9A">
        <w:rPr>
          <w:rFonts w:hint="eastAsia"/>
          <w:sz w:val="24"/>
        </w:rPr>
        <w:t>吨以内并稳步增长，为水产饲料蛋白质源提供新的选择</w:t>
      </w:r>
      <w:r w:rsidRPr="00C64610">
        <w:rPr>
          <w:sz w:val="24"/>
          <w:vertAlign w:val="superscript"/>
        </w:rPr>
        <w:t>[2]</w:t>
      </w:r>
      <w:r w:rsidRPr="00742C9A">
        <w:rPr>
          <w:sz w:val="24"/>
        </w:rPr>
        <w:t>。现有调查和研究数据表明，南极磷虾富含蛋白</w:t>
      </w:r>
      <w:r w:rsidRPr="00742C9A">
        <w:rPr>
          <w:rFonts w:hint="eastAsia"/>
          <w:sz w:val="24"/>
        </w:rPr>
        <w:t>质，且脂肪含量适中，同时含有多种生物活性物质，被认为是一种营养丰富、适口性好的饲料原料</w:t>
      </w:r>
      <w:r w:rsidRPr="00C64610">
        <w:rPr>
          <w:sz w:val="24"/>
          <w:vertAlign w:val="superscript"/>
        </w:rPr>
        <w:t>[3]</w:t>
      </w:r>
      <w:r w:rsidRPr="00742C9A">
        <w:rPr>
          <w:sz w:val="24"/>
        </w:rPr>
        <w:t>。南</w:t>
      </w:r>
      <w:r w:rsidRPr="00742C9A">
        <w:rPr>
          <w:rFonts w:hint="eastAsia"/>
          <w:sz w:val="24"/>
        </w:rPr>
        <w:t>极磷虾中的水分占</w:t>
      </w:r>
      <w:r w:rsidRPr="00742C9A">
        <w:rPr>
          <w:sz w:val="24"/>
        </w:rPr>
        <w:t>77.9%~81.59%</w:t>
      </w:r>
      <w:r w:rsidRPr="00742C9A">
        <w:rPr>
          <w:sz w:val="24"/>
        </w:rPr>
        <w:t>，粗蛋白占</w:t>
      </w:r>
      <w:r w:rsidRPr="00742C9A">
        <w:rPr>
          <w:sz w:val="24"/>
        </w:rPr>
        <w:t>11.9%~15.4%</w:t>
      </w:r>
      <w:r w:rsidRPr="00742C9A">
        <w:rPr>
          <w:sz w:val="24"/>
        </w:rPr>
        <w:t>，粗脂肪占</w:t>
      </w:r>
      <w:r w:rsidRPr="00742C9A">
        <w:rPr>
          <w:sz w:val="24"/>
        </w:rPr>
        <w:t>0.5%~3.6%</w:t>
      </w:r>
      <w:r w:rsidRPr="00C64610">
        <w:rPr>
          <w:sz w:val="24"/>
          <w:vertAlign w:val="superscript"/>
        </w:rPr>
        <w:t>[4]</w:t>
      </w:r>
      <w:r w:rsidRPr="00742C9A">
        <w:rPr>
          <w:sz w:val="24"/>
        </w:rPr>
        <w:t>。南极磷虾肌肉</w:t>
      </w:r>
      <w:r w:rsidRPr="00742C9A">
        <w:rPr>
          <w:rFonts w:hint="eastAsia"/>
          <w:sz w:val="24"/>
        </w:rPr>
        <w:t>部分含水分</w:t>
      </w:r>
      <w:r w:rsidRPr="00742C9A">
        <w:rPr>
          <w:sz w:val="24"/>
        </w:rPr>
        <w:t>74.69%</w:t>
      </w:r>
      <w:r w:rsidRPr="00742C9A">
        <w:rPr>
          <w:sz w:val="24"/>
        </w:rPr>
        <w:t>、粗蛋白</w:t>
      </w:r>
      <w:r w:rsidRPr="00742C9A">
        <w:rPr>
          <w:sz w:val="24"/>
        </w:rPr>
        <w:t>16.31%</w:t>
      </w:r>
      <w:r w:rsidRPr="00742C9A">
        <w:rPr>
          <w:sz w:val="24"/>
        </w:rPr>
        <w:t>、粗脂肪</w:t>
      </w:r>
      <w:r w:rsidRPr="00742C9A">
        <w:rPr>
          <w:sz w:val="24"/>
        </w:rPr>
        <w:t>1.30%</w:t>
      </w:r>
      <w:r w:rsidRPr="00742C9A">
        <w:rPr>
          <w:sz w:val="24"/>
        </w:rPr>
        <w:t>、粗灰分</w:t>
      </w:r>
      <w:r w:rsidRPr="00742C9A">
        <w:rPr>
          <w:sz w:val="24"/>
        </w:rPr>
        <w:t>2.76%</w:t>
      </w:r>
      <w:r w:rsidRPr="00C64610">
        <w:rPr>
          <w:sz w:val="24"/>
          <w:vertAlign w:val="superscript"/>
        </w:rPr>
        <w:t>[5]</w:t>
      </w:r>
      <w:r w:rsidRPr="00742C9A">
        <w:rPr>
          <w:sz w:val="24"/>
        </w:rPr>
        <w:t>。</w:t>
      </w:r>
    </w:p>
    <w:p w14:paraId="6F819ECC" w14:textId="77777777" w:rsidR="00400E98" w:rsidRPr="00742C9A" w:rsidRDefault="00400E98" w:rsidP="00400E98">
      <w:pPr>
        <w:spacing w:line="360" w:lineRule="auto"/>
        <w:rPr>
          <w:sz w:val="24"/>
        </w:rPr>
      </w:pPr>
      <w:r w:rsidRPr="00742C9A">
        <w:rPr>
          <w:sz w:val="24"/>
        </w:rPr>
        <w:t>1.1</w:t>
      </w:r>
      <w:r w:rsidRPr="00742C9A">
        <w:rPr>
          <w:sz w:val="24"/>
        </w:rPr>
        <w:t>南极磷虾粉的蛋白质（氨基酸）成分</w:t>
      </w:r>
    </w:p>
    <w:p w14:paraId="5AB5DEFC" w14:textId="77777777" w:rsidR="00400E98" w:rsidRDefault="00400E98" w:rsidP="00400E98">
      <w:pPr>
        <w:spacing w:line="360" w:lineRule="auto"/>
        <w:ind w:firstLineChars="200" w:firstLine="480"/>
        <w:rPr>
          <w:sz w:val="24"/>
        </w:rPr>
      </w:pPr>
      <w:r w:rsidRPr="00742C9A">
        <w:rPr>
          <w:rFonts w:hint="eastAsia"/>
          <w:sz w:val="24"/>
        </w:rPr>
        <w:t>蛋白质（氨基酸）是评价饲料蛋白源优劣的重要指标，在水产动物体内的氨基酸可当作直接能量底物为机体供能，也能为其最基础生命活动提供相应能量，因此饲料中的蛋白质成为了水产动物最重要的营养成分</w:t>
      </w:r>
      <w:r w:rsidRPr="00C64610">
        <w:rPr>
          <w:sz w:val="24"/>
          <w:vertAlign w:val="superscript"/>
        </w:rPr>
        <w:t>[6]</w:t>
      </w:r>
      <w:r w:rsidRPr="00742C9A">
        <w:rPr>
          <w:sz w:val="24"/>
        </w:rPr>
        <w:t>。对于水产饲料来说，蛋白源的适口性好、氨基酸平衡及能被水产动物充分的消化吸收利用等</w:t>
      </w:r>
      <w:r w:rsidRPr="00742C9A">
        <w:rPr>
          <w:rFonts w:hint="eastAsia"/>
          <w:sz w:val="24"/>
        </w:rPr>
        <w:t>特点，是饲料原料的重要选择标准</w:t>
      </w:r>
      <w:r w:rsidRPr="00C64610">
        <w:rPr>
          <w:sz w:val="24"/>
          <w:vertAlign w:val="superscript"/>
        </w:rPr>
        <w:t>[7]</w:t>
      </w:r>
      <w:r w:rsidRPr="00742C9A">
        <w:rPr>
          <w:sz w:val="24"/>
        </w:rPr>
        <w:t>。</w:t>
      </w:r>
    </w:p>
    <w:p w14:paraId="0E385286" w14:textId="77777777" w:rsidR="00400E98" w:rsidRPr="00742C9A" w:rsidRDefault="00400E98" w:rsidP="00400E98">
      <w:pPr>
        <w:spacing w:line="360" w:lineRule="auto"/>
        <w:ind w:firstLineChars="200" w:firstLine="480"/>
        <w:rPr>
          <w:sz w:val="24"/>
        </w:rPr>
      </w:pPr>
      <w:r w:rsidRPr="00742C9A">
        <w:rPr>
          <w:rFonts w:hint="eastAsia"/>
          <w:sz w:val="24"/>
        </w:rPr>
        <w:t>南极磷虾粉含粗蛋白</w:t>
      </w:r>
      <w:r w:rsidRPr="00742C9A">
        <w:rPr>
          <w:sz w:val="24"/>
        </w:rPr>
        <w:t>59.4%~62.3%</w:t>
      </w:r>
      <w:r w:rsidRPr="00C64610">
        <w:rPr>
          <w:sz w:val="24"/>
          <w:vertAlign w:val="superscript"/>
        </w:rPr>
        <w:t>[8]</w:t>
      </w:r>
      <w:r w:rsidRPr="00742C9A">
        <w:rPr>
          <w:sz w:val="24"/>
        </w:rPr>
        <w:t>，且氨基酸</w:t>
      </w:r>
      <w:r w:rsidRPr="00742C9A">
        <w:rPr>
          <w:sz w:val="24"/>
        </w:rPr>
        <w:t>(AA)</w:t>
      </w:r>
      <w:r w:rsidRPr="00742C9A">
        <w:rPr>
          <w:sz w:val="24"/>
        </w:rPr>
        <w:t>种类齐全，比例均衡</w:t>
      </w:r>
      <w:r w:rsidRPr="00C64610">
        <w:rPr>
          <w:sz w:val="24"/>
          <w:vertAlign w:val="superscript"/>
        </w:rPr>
        <w:t>[9]</w:t>
      </w:r>
      <w:r w:rsidRPr="00742C9A">
        <w:rPr>
          <w:sz w:val="24"/>
        </w:rPr>
        <w:t>，组成与鱼粉蛋白质</w:t>
      </w:r>
      <w:r w:rsidRPr="00742C9A">
        <w:rPr>
          <w:rFonts w:hint="eastAsia"/>
          <w:sz w:val="24"/>
        </w:rPr>
        <w:t>（氨基酸）相似，可作为优质的水产饲料蛋白源</w:t>
      </w:r>
      <w:r w:rsidRPr="00C64610">
        <w:rPr>
          <w:sz w:val="24"/>
          <w:vertAlign w:val="superscript"/>
        </w:rPr>
        <w:t>[10]</w:t>
      </w:r>
      <w:r w:rsidRPr="00742C9A">
        <w:rPr>
          <w:sz w:val="24"/>
        </w:rPr>
        <w:t>。南极磷虾粉中含有多种常见氨基酸，包括水产动物</w:t>
      </w:r>
      <w:r w:rsidRPr="00742C9A">
        <w:rPr>
          <w:rFonts w:hint="eastAsia"/>
          <w:sz w:val="24"/>
        </w:rPr>
        <w:t>生长发育所需的</w:t>
      </w:r>
      <w:r w:rsidRPr="00742C9A">
        <w:rPr>
          <w:sz w:val="24"/>
        </w:rPr>
        <w:t>10</w:t>
      </w:r>
      <w:r w:rsidRPr="00742C9A">
        <w:rPr>
          <w:sz w:val="24"/>
        </w:rPr>
        <w:t>种必需氨基酸（</w:t>
      </w:r>
      <w:r w:rsidRPr="00742C9A">
        <w:rPr>
          <w:sz w:val="24"/>
        </w:rPr>
        <w:t>EAA</w:t>
      </w:r>
      <w:r w:rsidRPr="00742C9A">
        <w:rPr>
          <w:sz w:val="24"/>
        </w:rPr>
        <w:t>）和</w:t>
      </w:r>
      <w:r w:rsidRPr="00742C9A">
        <w:rPr>
          <w:sz w:val="24"/>
        </w:rPr>
        <w:t>8</w:t>
      </w:r>
      <w:r w:rsidRPr="00742C9A">
        <w:rPr>
          <w:sz w:val="24"/>
        </w:rPr>
        <w:t>种非必需氨基酸（</w:t>
      </w:r>
      <w:r w:rsidRPr="00742C9A">
        <w:rPr>
          <w:sz w:val="24"/>
        </w:rPr>
        <w:t>NEAA</w:t>
      </w:r>
      <w:r w:rsidRPr="00742C9A">
        <w:rPr>
          <w:sz w:val="24"/>
        </w:rPr>
        <w:t>），其中谷氨酸和天冬氨酸含量</w:t>
      </w:r>
      <w:r w:rsidRPr="00742C9A">
        <w:rPr>
          <w:rFonts w:hint="eastAsia"/>
          <w:sz w:val="24"/>
        </w:rPr>
        <w:t>最高，其次赖氨酸和亮氨酸含量亦较高</w:t>
      </w:r>
      <w:r w:rsidRPr="00C64610">
        <w:rPr>
          <w:sz w:val="24"/>
          <w:vertAlign w:val="superscript"/>
        </w:rPr>
        <w:t>[11]</w:t>
      </w:r>
      <w:r w:rsidRPr="00742C9A">
        <w:rPr>
          <w:sz w:val="24"/>
        </w:rPr>
        <w:t>。研究表明，南极磷虾粉必需氨基酸占氨基酸总量比值平均为</w:t>
      </w:r>
      <w:r w:rsidRPr="00742C9A">
        <w:rPr>
          <w:sz w:val="24"/>
        </w:rPr>
        <w:t>0.49</w:t>
      </w:r>
      <w:r w:rsidRPr="00742C9A">
        <w:rPr>
          <w:sz w:val="24"/>
        </w:rPr>
        <w:t>，必需氨基酸和非必需氨基酸总量的平均值为</w:t>
      </w:r>
      <w:r w:rsidRPr="00742C9A">
        <w:rPr>
          <w:sz w:val="24"/>
        </w:rPr>
        <w:t>0.95</w:t>
      </w:r>
      <w:r w:rsidRPr="00742C9A">
        <w:rPr>
          <w:sz w:val="24"/>
        </w:rPr>
        <w:t>，符合联合国粮农组织（</w:t>
      </w:r>
      <w:r w:rsidRPr="00742C9A">
        <w:rPr>
          <w:sz w:val="24"/>
        </w:rPr>
        <w:t>FAO</w:t>
      </w:r>
      <w:r w:rsidRPr="00742C9A">
        <w:rPr>
          <w:sz w:val="24"/>
        </w:rPr>
        <w:t>）和世界卫生组织</w:t>
      </w:r>
      <w:r w:rsidRPr="00742C9A">
        <w:rPr>
          <w:rFonts w:hint="eastAsia"/>
          <w:sz w:val="24"/>
        </w:rPr>
        <w:t>（</w:t>
      </w:r>
      <w:r w:rsidRPr="00742C9A">
        <w:rPr>
          <w:sz w:val="24"/>
        </w:rPr>
        <w:t>WHO</w:t>
      </w:r>
      <w:r w:rsidRPr="00742C9A">
        <w:rPr>
          <w:sz w:val="24"/>
        </w:rPr>
        <w:t>）对优质蛋白质</w:t>
      </w:r>
      <w:r w:rsidRPr="00742C9A">
        <w:rPr>
          <w:sz w:val="24"/>
        </w:rPr>
        <w:lastRenderedPageBreak/>
        <w:t>原料的判定标准要求，属于饲料原料中的优质蛋白源</w:t>
      </w:r>
      <w:r w:rsidRPr="00C64610">
        <w:rPr>
          <w:sz w:val="24"/>
          <w:vertAlign w:val="superscript"/>
        </w:rPr>
        <w:t>[12]</w:t>
      </w:r>
      <w:r w:rsidRPr="00742C9A">
        <w:rPr>
          <w:sz w:val="24"/>
        </w:rPr>
        <w:t>。</w:t>
      </w:r>
    </w:p>
    <w:p w14:paraId="21C2A484" w14:textId="77777777" w:rsidR="00400E98" w:rsidRPr="00742C9A" w:rsidRDefault="00400E98" w:rsidP="00400E98">
      <w:pPr>
        <w:spacing w:line="360" w:lineRule="auto"/>
        <w:rPr>
          <w:sz w:val="24"/>
        </w:rPr>
      </w:pPr>
      <w:r w:rsidRPr="00742C9A">
        <w:rPr>
          <w:sz w:val="24"/>
        </w:rPr>
        <w:t>1.2</w:t>
      </w:r>
      <w:r w:rsidRPr="00742C9A">
        <w:rPr>
          <w:sz w:val="24"/>
        </w:rPr>
        <w:t>南极磷虾粉的脂肪（脂肪酸）组成</w:t>
      </w:r>
    </w:p>
    <w:p w14:paraId="432E1A85" w14:textId="77777777" w:rsidR="00400E98" w:rsidRPr="00742C9A" w:rsidRDefault="00400E98" w:rsidP="00400E98">
      <w:pPr>
        <w:spacing w:line="360" w:lineRule="auto"/>
        <w:ind w:firstLineChars="200" w:firstLine="480"/>
        <w:rPr>
          <w:sz w:val="24"/>
        </w:rPr>
      </w:pPr>
      <w:r w:rsidRPr="00742C9A">
        <w:rPr>
          <w:rFonts w:hint="eastAsia"/>
          <w:sz w:val="24"/>
        </w:rPr>
        <w:t>脂肪是水产动物能量和必需脂肪酸的来源，优质脂肪源能够提高机体生长和蛋白质的利用效率，具有蛋白质节约效应</w:t>
      </w:r>
      <w:r w:rsidRPr="00C64610">
        <w:rPr>
          <w:sz w:val="24"/>
          <w:vertAlign w:val="superscript"/>
        </w:rPr>
        <w:t>[13]</w:t>
      </w:r>
      <w:r w:rsidRPr="00742C9A">
        <w:rPr>
          <w:sz w:val="24"/>
        </w:rPr>
        <w:t>。但在饲料中添加过量的脂肪源则会导致机体脂肪代谢紊乱、免疫和抗氧化功能下</w:t>
      </w:r>
      <w:r w:rsidRPr="00742C9A">
        <w:rPr>
          <w:rFonts w:hint="eastAsia"/>
          <w:sz w:val="24"/>
        </w:rPr>
        <w:t>降，抑制水产动物生长</w:t>
      </w:r>
      <w:r w:rsidRPr="00C64610">
        <w:rPr>
          <w:sz w:val="24"/>
          <w:vertAlign w:val="superscript"/>
        </w:rPr>
        <w:t>[14]</w:t>
      </w:r>
      <w:r w:rsidRPr="00742C9A">
        <w:rPr>
          <w:sz w:val="24"/>
        </w:rPr>
        <w:t>。研究表明，南极磷虾粉含粗脂肪</w:t>
      </w:r>
      <w:r w:rsidRPr="00742C9A">
        <w:rPr>
          <w:sz w:val="24"/>
        </w:rPr>
        <w:t>10.40%~23.60%</w:t>
      </w:r>
      <w:r w:rsidRPr="00C64610">
        <w:rPr>
          <w:sz w:val="24"/>
          <w:vertAlign w:val="superscript"/>
        </w:rPr>
        <w:t>[15]</w:t>
      </w:r>
      <w:r w:rsidRPr="00742C9A">
        <w:rPr>
          <w:sz w:val="24"/>
        </w:rPr>
        <w:t>，富含多种高不饱和脂</w:t>
      </w:r>
      <w:r w:rsidRPr="00742C9A">
        <w:rPr>
          <w:rFonts w:hint="eastAsia"/>
          <w:sz w:val="24"/>
        </w:rPr>
        <w:t>肪酸，其中二十碳五烯酸（</w:t>
      </w:r>
      <w:r w:rsidRPr="00742C9A">
        <w:rPr>
          <w:sz w:val="24"/>
        </w:rPr>
        <w:t>EPA</w:t>
      </w:r>
      <w:r w:rsidRPr="00742C9A">
        <w:rPr>
          <w:sz w:val="24"/>
        </w:rPr>
        <w:t>）和二十二碳六烯酸（</w:t>
      </w:r>
      <w:r w:rsidRPr="00742C9A">
        <w:rPr>
          <w:sz w:val="24"/>
        </w:rPr>
        <w:t>DHA</w:t>
      </w:r>
      <w:r w:rsidRPr="00742C9A">
        <w:rPr>
          <w:sz w:val="24"/>
        </w:rPr>
        <w:t>）占总脂肪酸的</w:t>
      </w:r>
      <w:r w:rsidRPr="00742C9A">
        <w:rPr>
          <w:sz w:val="24"/>
        </w:rPr>
        <w:t>37.87%~39.60%</w:t>
      </w:r>
      <w:r w:rsidRPr="00C64610">
        <w:rPr>
          <w:sz w:val="24"/>
          <w:vertAlign w:val="superscript"/>
        </w:rPr>
        <w:t>[12]</w:t>
      </w:r>
      <w:r w:rsidRPr="00742C9A">
        <w:rPr>
          <w:sz w:val="24"/>
        </w:rPr>
        <w:t>。研究</w:t>
      </w:r>
      <w:r w:rsidRPr="00742C9A">
        <w:rPr>
          <w:rFonts w:hint="eastAsia"/>
          <w:sz w:val="24"/>
        </w:rPr>
        <w:t>发现，南极磷虾一般在每年的</w:t>
      </w:r>
      <w:r w:rsidRPr="00742C9A">
        <w:rPr>
          <w:sz w:val="24"/>
        </w:rPr>
        <w:t>3-6</w:t>
      </w:r>
      <w:r w:rsidRPr="00742C9A">
        <w:rPr>
          <w:sz w:val="24"/>
        </w:rPr>
        <w:t>月出现脂类形成期，南极磷虾脂质含量会随着年龄而增长，但雌性南</w:t>
      </w:r>
      <w:r w:rsidRPr="00742C9A">
        <w:rPr>
          <w:rFonts w:hint="eastAsia"/>
          <w:sz w:val="24"/>
        </w:rPr>
        <w:t>极磷虾会在产卵后迅速减少</w:t>
      </w:r>
      <w:r w:rsidRPr="00C64610">
        <w:rPr>
          <w:sz w:val="24"/>
          <w:vertAlign w:val="superscript"/>
        </w:rPr>
        <w:t>[16]</w:t>
      </w:r>
      <w:r w:rsidRPr="00742C9A">
        <w:rPr>
          <w:sz w:val="24"/>
        </w:rPr>
        <w:t>。因此，南极磷虾的捕获时间、雌雄性别和生长阶段等因素的变化均会对</w:t>
      </w:r>
      <w:r w:rsidRPr="00742C9A">
        <w:rPr>
          <w:rFonts w:hint="eastAsia"/>
          <w:sz w:val="24"/>
        </w:rPr>
        <w:t>其体内的脂类物质含量产生影响。</w:t>
      </w:r>
    </w:p>
    <w:p w14:paraId="5ABC2D7E" w14:textId="77777777" w:rsidR="00400E98" w:rsidRPr="00742C9A" w:rsidRDefault="00400E98" w:rsidP="00400E98">
      <w:pPr>
        <w:spacing w:line="360" w:lineRule="auto"/>
        <w:rPr>
          <w:sz w:val="24"/>
        </w:rPr>
      </w:pPr>
      <w:r w:rsidRPr="00742C9A">
        <w:rPr>
          <w:sz w:val="24"/>
        </w:rPr>
        <w:t>1.3</w:t>
      </w:r>
      <w:r w:rsidRPr="00742C9A">
        <w:rPr>
          <w:sz w:val="24"/>
        </w:rPr>
        <w:t>南极磷虾粉的矿物质组成</w:t>
      </w:r>
    </w:p>
    <w:p w14:paraId="002A1810" w14:textId="77777777" w:rsidR="00400E98" w:rsidRPr="00742C9A" w:rsidRDefault="00400E98" w:rsidP="00400E98">
      <w:pPr>
        <w:spacing w:line="360" w:lineRule="auto"/>
        <w:ind w:firstLineChars="200" w:firstLine="480"/>
        <w:rPr>
          <w:sz w:val="24"/>
        </w:rPr>
      </w:pPr>
      <w:r w:rsidRPr="00742C9A">
        <w:rPr>
          <w:rFonts w:hint="eastAsia"/>
          <w:sz w:val="24"/>
        </w:rPr>
        <w:t>矿物质和微量元素是水产动物的六大营养素质之一，具有维持机体渗透压、酶的合成及酸碱平衡等作用。水产动物所需的常量矿物质元素包括钙、镁、磷等，微量矿物质元素包括铁、锌、锰、铜、碘、钴、氟、硒、镍等</w:t>
      </w:r>
      <w:r w:rsidRPr="00742C9A">
        <w:rPr>
          <w:sz w:val="24"/>
        </w:rPr>
        <w:t>14</w:t>
      </w:r>
      <w:r w:rsidRPr="00742C9A">
        <w:rPr>
          <w:sz w:val="24"/>
        </w:rPr>
        <w:t>种</w:t>
      </w:r>
      <w:r w:rsidRPr="00C64610">
        <w:rPr>
          <w:sz w:val="24"/>
          <w:vertAlign w:val="superscript"/>
        </w:rPr>
        <w:t>[17]</w:t>
      </w:r>
      <w:r w:rsidRPr="00742C9A">
        <w:rPr>
          <w:sz w:val="24"/>
        </w:rPr>
        <w:t>。锌在水产动物的生长、能量产生、基因调控、细胞膜和骨骼维持等健康方</w:t>
      </w:r>
      <w:r w:rsidRPr="00742C9A">
        <w:rPr>
          <w:rFonts w:hint="eastAsia"/>
          <w:sz w:val="24"/>
        </w:rPr>
        <w:t>面发挥重要作用</w:t>
      </w:r>
      <w:r w:rsidRPr="00C64610">
        <w:rPr>
          <w:sz w:val="24"/>
          <w:vertAlign w:val="superscript"/>
        </w:rPr>
        <w:t>[18]</w:t>
      </w:r>
      <w:r w:rsidRPr="00742C9A">
        <w:rPr>
          <w:sz w:val="24"/>
        </w:rPr>
        <w:t>。同样，铁和铜亦为水产动物所需的重要微量元素，分别是鱼类和虾蟹类血液中的重</w:t>
      </w:r>
      <w:r w:rsidRPr="00742C9A">
        <w:rPr>
          <w:rFonts w:hint="eastAsia"/>
          <w:sz w:val="24"/>
        </w:rPr>
        <w:t>要组成成分，两者均参与氧气的运输并在生物酶功能发挥中起着重要作用</w:t>
      </w:r>
      <w:r w:rsidRPr="00C64610">
        <w:rPr>
          <w:sz w:val="24"/>
          <w:vertAlign w:val="superscript"/>
        </w:rPr>
        <w:t>[17]</w:t>
      </w:r>
      <w:r w:rsidRPr="00742C9A">
        <w:rPr>
          <w:sz w:val="24"/>
        </w:rPr>
        <w:t>。南极磷虾富含多种矿物质</w:t>
      </w:r>
      <w:r w:rsidRPr="00742C9A">
        <w:rPr>
          <w:rFonts w:hint="eastAsia"/>
          <w:sz w:val="24"/>
        </w:rPr>
        <w:t>及微量元素，全虾中的矿物质含量为</w:t>
      </w:r>
      <w:r w:rsidRPr="00742C9A">
        <w:rPr>
          <w:sz w:val="24"/>
        </w:rPr>
        <w:t>3%</w:t>
      </w:r>
      <w:r w:rsidRPr="00C64610">
        <w:rPr>
          <w:sz w:val="24"/>
          <w:vertAlign w:val="superscript"/>
        </w:rPr>
        <w:t>[4]</w:t>
      </w:r>
      <w:r w:rsidRPr="00742C9A">
        <w:rPr>
          <w:sz w:val="24"/>
        </w:rPr>
        <w:t>。有关研究表明，南极磷虾粉的钙、镁、锌、铁、铜、锰等元</w:t>
      </w:r>
      <w:r w:rsidRPr="00742C9A">
        <w:rPr>
          <w:rFonts w:hint="eastAsia"/>
          <w:sz w:val="24"/>
        </w:rPr>
        <w:t>素含量较高，而镉、铅等重金属含量则很低，钙含量为</w:t>
      </w:r>
      <w:r w:rsidRPr="00742C9A">
        <w:rPr>
          <w:sz w:val="24"/>
        </w:rPr>
        <w:t>32500 mg/kg</w:t>
      </w:r>
      <w:r w:rsidRPr="00742C9A">
        <w:rPr>
          <w:sz w:val="24"/>
        </w:rPr>
        <w:t>，铁含量为</w:t>
      </w:r>
      <w:r w:rsidRPr="00742C9A">
        <w:rPr>
          <w:sz w:val="24"/>
        </w:rPr>
        <w:t>145 mg/kg</w:t>
      </w:r>
      <w:r w:rsidRPr="00742C9A">
        <w:rPr>
          <w:sz w:val="24"/>
        </w:rPr>
        <w:t>，铜含量</w:t>
      </w:r>
      <w:r w:rsidRPr="00742C9A">
        <w:rPr>
          <w:rFonts w:hint="eastAsia"/>
          <w:sz w:val="24"/>
        </w:rPr>
        <w:t>为</w:t>
      </w:r>
      <w:r w:rsidRPr="00742C9A">
        <w:rPr>
          <w:sz w:val="24"/>
        </w:rPr>
        <w:t>37 mg/kg</w:t>
      </w:r>
      <w:r w:rsidRPr="00742C9A">
        <w:rPr>
          <w:sz w:val="24"/>
        </w:rPr>
        <w:t>，锌含量为</w:t>
      </w:r>
      <w:r w:rsidRPr="00742C9A">
        <w:rPr>
          <w:sz w:val="24"/>
        </w:rPr>
        <w:t>28 mg/kg</w:t>
      </w:r>
      <w:r w:rsidRPr="00742C9A">
        <w:rPr>
          <w:sz w:val="24"/>
        </w:rPr>
        <w:t>，镉含量为</w:t>
      </w:r>
      <w:r w:rsidRPr="00742C9A">
        <w:rPr>
          <w:sz w:val="24"/>
        </w:rPr>
        <w:t>0.2 mg/kg</w:t>
      </w:r>
      <w:r w:rsidRPr="00742C9A">
        <w:rPr>
          <w:sz w:val="24"/>
        </w:rPr>
        <w:t>，铅含量则低于</w:t>
      </w:r>
      <w:r w:rsidRPr="00742C9A">
        <w:rPr>
          <w:sz w:val="24"/>
        </w:rPr>
        <w:t>0.1 mg/kg</w:t>
      </w:r>
      <w:r w:rsidRPr="00C64610">
        <w:rPr>
          <w:sz w:val="24"/>
          <w:vertAlign w:val="superscript"/>
        </w:rPr>
        <w:t>[16]</w:t>
      </w:r>
      <w:r w:rsidRPr="00742C9A">
        <w:rPr>
          <w:sz w:val="24"/>
        </w:rPr>
        <w:t>。南极磷虾粉</w:t>
      </w:r>
      <w:r w:rsidRPr="00742C9A">
        <w:rPr>
          <w:rFonts w:hint="eastAsia"/>
          <w:sz w:val="24"/>
        </w:rPr>
        <w:t>中锌铜比为</w:t>
      </w:r>
      <w:r w:rsidRPr="00742C9A">
        <w:rPr>
          <w:sz w:val="24"/>
        </w:rPr>
        <w:t>0.76</w:t>
      </w:r>
      <w:r w:rsidRPr="00742C9A">
        <w:rPr>
          <w:sz w:val="24"/>
        </w:rPr>
        <w:t>，而锌铁比仅为</w:t>
      </w:r>
      <w:r w:rsidRPr="00742C9A">
        <w:rPr>
          <w:sz w:val="24"/>
        </w:rPr>
        <w:t>0.19</w:t>
      </w:r>
      <w:r w:rsidRPr="00742C9A">
        <w:rPr>
          <w:sz w:val="24"/>
        </w:rPr>
        <w:t>。</w:t>
      </w:r>
      <w:r w:rsidRPr="00742C9A">
        <w:rPr>
          <w:sz w:val="24"/>
        </w:rPr>
        <w:t>Solomons</w:t>
      </w:r>
      <w:r w:rsidRPr="00742C9A">
        <w:rPr>
          <w:sz w:val="24"/>
        </w:rPr>
        <w:t>和</w:t>
      </w:r>
      <w:r w:rsidRPr="00742C9A">
        <w:rPr>
          <w:sz w:val="24"/>
        </w:rPr>
        <w:t>Mills</w:t>
      </w:r>
      <w:r w:rsidRPr="00742C9A">
        <w:rPr>
          <w:sz w:val="24"/>
        </w:rPr>
        <w:t>认为，理化性质相似的元素具有颉颃作用，</w:t>
      </w:r>
      <w:r w:rsidRPr="00742C9A">
        <w:rPr>
          <w:rFonts w:hint="eastAsia"/>
          <w:sz w:val="24"/>
        </w:rPr>
        <w:t>因此在锌铜比</w:t>
      </w:r>
      <w:r w:rsidRPr="00742C9A">
        <w:rPr>
          <w:sz w:val="24"/>
        </w:rPr>
        <w:t>&gt;10</w:t>
      </w:r>
      <w:r w:rsidRPr="00742C9A">
        <w:rPr>
          <w:sz w:val="24"/>
        </w:rPr>
        <w:t>及锌铁比</w:t>
      </w:r>
      <w:r w:rsidRPr="00742C9A">
        <w:rPr>
          <w:sz w:val="24"/>
        </w:rPr>
        <w:t>&gt;1</w:t>
      </w:r>
      <w:r w:rsidRPr="00742C9A">
        <w:rPr>
          <w:sz w:val="24"/>
        </w:rPr>
        <w:t>时通常会产生颉颃作用</w:t>
      </w:r>
      <w:r w:rsidRPr="00C64610">
        <w:rPr>
          <w:sz w:val="24"/>
          <w:vertAlign w:val="superscript"/>
        </w:rPr>
        <w:t>[19]</w:t>
      </w:r>
      <w:r w:rsidRPr="00742C9A">
        <w:rPr>
          <w:sz w:val="24"/>
        </w:rPr>
        <w:t>。由此可见，作为饲料原料而言，南极磷虾粉</w:t>
      </w:r>
      <w:r w:rsidRPr="00742C9A">
        <w:rPr>
          <w:rFonts w:hint="eastAsia"/>
          <w:sz w:val="24"/>
        </w:rPr>
        <w:t>的锌、铜、铁比值较为合理。</w:t>
      </w:r>
    </w:p>
    <w:p w14:paraId="69E9D6C1" w14:textId="77777777" w:rsidR="00400E98" w:rsidRPr="00742C9A" w:rsidRDefault="00400E98" w:rsidP="00400E98">
      <w:pPr>
        <w:spacing w:line="360" w:lineRule="auto"/>
        <w:rPr>
          <w:sz w:val="24"/>
        </w:rPr>
      </w:pPr>
      <w:r w:rsidRPr="00742C9A">
        <w:rPr>
          <w:sz w:val="24"/>
        </w:rPr>
        <w:t>1.4</w:t>
      </w:r>
      <w:r w:rsidRPr="00742C9A">
        <w:rPr>
          <w:sz w:val="24"/>
        </w:rPr>
        <w:t>虾青素含量及在水产饲料中应用</w:t>
      </w:r>
    </w:p>
    <w:p w14:paraId="4AE0AC1D" w14:textId="77777777" w:rsidR="00400E98" w:rsidRPr="00742C9A" w:rsidRDefault="00400E98" w:rsidP="00400E98">
      <w:pPr>
        <w:spacing w:line="360" w:lineRule="auto"/>
        <w:ind w:firstLineChars="200" w:firstLine="480"/>
        <w:rPr>
          <w:sz w:val="24"/>
        </w:rPr>
      </w:pPr>
      <w:r w:rsidRPr="00742C9A">
        <w:rPr>
          <w:rFonts w:hint="eastAsia"/>
          <w:sz w:val="24"/>
        </w:rPr>
        <w:t>虾青素作为一种类胡萝卜素，具有良好的着色功能，并能提高水产动物的生长性能，同时亦增强机体的免疫功能</w:t>
      </w:r>
      <w:r w:rsidRPr="00C64610">
        <w:rPr>
          <w:sz w:val="24"/>
          <w:vertAlign w:val="superscript"/>
        </w:rPr>
        <w:t>[20]</w:t>
      </w:r>
      <w:r w:rsidRPr="00742C9A">
        <w:rPr>
          <w:sz w:val="24"/>
        </w:rPr>
        <w:t>。天然虾青素可从藻类</w:t>
      </w:r>
      <w:r w:rsidRPr="00C64610">
        <w:rPr>
          <w:sz w:val="24"/>
          <w:vertAlign w:val="superscript"/>
        </w:rPr>
        <w:t>[21]</w:t>
      </w:r>
      <w:r w:rsidRPr="00742C9A">
        <w:rPr>
          <w:sz w:val="24"/>
        </w:rPr>
        <w:t>、酵母</w:t>
      </w:r>
      <w:r w:rsidRPr="00C64610">
        <w:rPr>
          <w:sz w:val="24"/>
          <w:vertAlign w:val="superscript"/>
        </w:rPr>
        <w:t>[22]</w:t>
      </w:r>
      <w:r w:rsidRPr="00742C9A">
        <w:rPr>
          <w:sz w:val="24"/>
        </w:rPr>
        <w:t>及虾蟹外壳中提取应用。南极磷虾粉的虾青素含量为</w:t>
      </w:r>
      <w:r w:rsidRPr="00742C9A">
        <w:rPr>
          <w:sz w:val="24"/>
        </w:rPr>
        <w:t>98.71~242.67 mg/kg</w:t>
      </w:r>
      <w:r w:rsidRPr="00C64610">
        <w:rPr>
          <w:sz w:val="24"/>
          <w:vertAlign w:val="superscript"/>
        </w:rPr>
        <w:t>[15]</w:t>
      </w:r>
      <w:r w:rsidRPr="00742C9A">
        <w:rPr>
          <w:sz w:val="24"/>
        </w:rPr>
        <w:t>。研究发现，在饲料中添加虾青素，可显著提高鞍带石斑鱼</w:t>
      </w:r>
      <w:r w:rsidRPr="00742C9A">
        <w:rPr>
          <w:sz w:val="24"/>
        </w:rPr>
        <w:t>(</w:t>
      </w:r>
      <w:r w:rsidRPr="00902749">
        <w:rPr>
          <w:i/>
          <w:iCs/>
          <w:sz w:val="24"/>
        </w:rPr>
        <w:t>Epinephelus lanceolatus</w:t>
      </w:r>
      <w:r w:rsidRPr="00742C9A">
        <w:rPr>
          <w:sz w:val="24"/>
        </w:rPr>
        <w:t>)</w:t>
      </w:r>
      <w:r w:rsidRPr="00742C9A">
        <w:rPr>
          <w:sz w:val="24"/>
        </w:rPr>
        <w:t>鱼鳍的红度、黄度、色度和色相值</w:t>
      </w:r>
      <w:r w:rsidRPr="00C64610">
        <w:rPr>
          <w:sz w:val="24"/>
          <w:vertAlign w:val="superscript"/>
        </w:rPr>
        <w:t>[23]</w:t>
      </w:r>
      <w:r w:rsidRPr="00742C9A">
        <w:rPr>
          <w:sz w:val="24"/>
        </w:rPr>
        <w:t>。与此类似，在饲料中添加</w:t>
      </w:r>
      <w:r w:rsidRPr="00742C9A">
        <w:rPr>
          <w:sz w:val="24"/>
        </w:rPr>
        <w:t>60 mg/kg</w:t>
      </w:r>
      <w:r w:rsidRPr="00742C9A">
        <w:rPr>
          <w:sz w:val="24"/>
        </w:rPr>
        <w:t>虾青素，使中</w:t>
      </w:r>
      <w:r w:rsidRPr="00742C9A">
        <w:rPr>
          <w:rFonts w:hint="eastAsia"/>
          <w:sz w:val="24"/>
        </w:rPr>
        <w:t>华绒螯蟹（</w:t>
      </w:r>
      <w:proofErr w:type="spellStart"/>
      <w:r w:rsidRPr="00902749">
        <w:rPr>
          <w:i/>
          <w:iCs/>
          <w:sz w:val="24"/>
        </w:rPr>
        <w:t>Eriocheir</w:t>
      </w:r>
      <w:proofErr w:type="spellEnd"/>
      <w:r>
        <w:rPr>
          <w:i/>
          <w:iCs/>
          <w:sz w:val="24"/>
        </w:rPr>
        <w:t xml:space="preserve"> </w:t>
      </w:r>
      <w:r w:rsidRPr="00902749">
        <w:rPr>
          <w:i/>
          <w:iCs/>
          <w:sz w:val="24"/>
        </w:rPr>
        <w:t>sinensis</w:t>
      </w:r>
      <w:r w:rsidRPr="00742C9A">
        <w:rPr>
          <w:sz w:val="24"/>
        </w:rPr>
        <w:t>）幼蟹的生长性能及免疫</w:t>
      </w:r>
      <w:r w:rsidRPr="00742C9A">
        <w:rPr>
          <w:sz w:val="24"/>
        </w:rPr>
        <w:lastRenderedPageBreak/>
        <w:t>能力显著提高</w:t>
      </w:r>
      <w:r w:rsidRPr="00C64610">
        <w:rPr>
          <w:sz w:val="24"/>
          <w:vertAlign w:val="superscript"/>
        </w:rPr>
        <w:t>[24]</w:t>
      </w:r>
      <w:r w:rsidRPr="00742C9A">
        <w:rPr>
          <w:sz w:val="24"/>
        </w:rPr>
        <w:t>。由此说明，南极磷虾粉中的虾</w:t>
      </w:r>
      <w:r w:rsidRPr="00742C9A">
        <w:rPr>
          <w:rFonts w:hint="eastAsia"/>
          <w:sz w:val="24"/>
        </w:rPr>
        <w:t>青素具有较好的开发应用潜力。</w:t>
      </w:r>
    </w:p>
    <w:p w14:paraId="2837C262" w14:textId="77777777" w:rsidR="00400E98" w:rsidRPr="00742C9A" w:rsidRDefault="00400E98" w:rsidP="00400E98">
      <w:pPr>
        <w:spacing w:line="360" w:lineRule="auto"/>
        <w:rPr>
          <w:sz w:val="24"/>
        </w:rPr>
      </w:pPr>
      <w:r w:rsidRPr="00742C9A">
        <w:rPr>
          <w:sz w:val="24"/>
        </w:rPr>
        <w:t>1.5</w:t>
      </w:r>
      <w:r w:rsidRPr="00742C9A">
        <w:rPr>
          <w:sz w:val="24"/>
        </w:rPr>
        <w:t>牛磺酸含量及在水产饲料中应用</w:t>
      </w:r>
    </w:p>
    <w:p w14:paraId="7E28E803" w14:textId="77777777" w:rsidR="00400E98" w:rsidRPr="00742C9A" w:rsidRDefault="00400E98" w:rsidP="00400E98">
      <w:pPr>
        <w:spacing w:line="360" w:lineRule="auto"/>
        <w:ind w:firstLineChars="200" w:firstLine="480"/>
        <w:rPr>
          <w:sz w:val="24"/>
        </w:rPr>
      </w:pPr>
      <w:r w:rsidRPr="00742C9A">
        <w:rPr>
          <w:rFonts w:hint="eastAsia"/>
          <w:sz w:val="24"/>
        </w:rPr>
        <w:t>牛磺酸作为一种水产饲料营养性添加剂，在水产动物生长发育、代谢、繁殖及渗透调节等方面发挥着重要作用</w:t>
      </w:r>
      <w:r w:rsidRPr="00C64610">
        <w:rPr>
          <w:sz w:val="24"/>
          <w:vertAlign w:val="superscript"/>
        </w:rPr>
        <w:t>[25]</w:t>
      </w:r>
      <w:r w:rsidRPr="00742C9A">
        <w:rPr>
          <w:sz w:val="24"/>
        </w:rPr>
        <w:t>。南极磷虾粉中含有牛磺酸</w:t>
      </w:r>
      <w:r w:rsidRPr="00742C9A">
        <w:rPr>
          <w:sz w:val="24"/>
        </w:rPr>
        <w:t>0.61%~0.76%</w:t>
      </w:r>
      <w:r w:rsidRPr="00C64610">
        <w:rPr>
          <w:sz w:val="24"/>
          <w:vertAlign w:val="superscript"/>
        </w:rPr>
        <w:t>[26]</w:t>
      </w:r>
      <w:r w:rsidRPr="00742C9A">
        <w:rPr>
          <w:sz w:val="24"/>
        </w:rPr>
        <w:t>。</w:t>
      </w:r>
      <w:r w:rsidRPr="00742C9A">
        <w:rPr>
          <w:sz w:val="24"/>
        </w:rPr>
        <w:t>Sun</w:t>
      </w:r>
      <w:r w:rsidRPr="00742C9A">
        <w:rPr>
          <w:sz w:val="24"/>
        </w:rPr>
        <w:t>等</w:t>
      </w:r>
      <w:r w:rsidRPr="00C64610">
        <w:rPr>
          <w:sz w:val="24"/>
          <w:vertAlign w:val="superscript"/>
        </w:rPr>
        <w:t>[25]</w:t>
      </w:r>
      <w:r w:rsidRPr="00742C9A">
        <w:rPr>
          <w:sz w:val="24"/>
        </w:rPr>
        <w:t>研究发现，添加</w:t>
      </w:r>
      <w:r w:rsidRPr="00742C9A">
        <w:rPr>
          <w:sz w:val="24"/>
        </w:rPr>
        <w:t>1.5%~2.0%</w:t>
      </w:r>
      <w:r w:rsidRPr="00742C9A">
        <w:rPr>
          <w:sz w:val="24"/>
        </w:rPr>
        <w:t>牛</w:t>
      </w:r>
      <w:r w:rsidRPr="00742C9A">
        <w:rPr>
          <w:rFonts w:hint="eastAsia"/>
          <w:sz w:val="24"/>
        </w:rPr>
        <w:t>磺酸，可显著提高方斑东风螺（</w:t>
      </w:r>
      <w:r w:rsidRPr="00902749">
        <w:rPr>
          <w:i/>
          <w:iCs/>
          <w:sz w:val="24"/>
        </w:rPr>
        <w:t xml:space="preserve">Babylonia </w:t>
      </w:r>
      <w:proofErr w:type="spellStart"/>
      <w:r w:rsidRPr="00902749">
        <w:rPr>
          <w:i/>
          <w:iCs/>
          <w:sz w:val="24"/>
        </w:rPr>
        <w:t>areolata</w:t>
      </w:r>
      <w:proofErr w:type="spellEnd"/>
      <w:r w:rsidRPr="00742C9A">
        <w:rPr>
          <w:sz w:val="24"/>
        </w:rPr>
        <w:t>）的生长性能及抗氧能力。在饲料中添加</w:t>
      </w:r>
      <w:r w:rsidRPr="00742C9A">
        <w:rPr>
          <w:sz w:val="24"/>
        </w:rPr>
        <w:t>20g/kg</w:t>
      </w:r>
      <w:r w:rsidRPr="00742C9A">
        <w:rPr>
          <w:rFonts w:hint="eastAsia"/>
          <w:sz w:val="24"/>
        </w:rPr>
        <w:t>牛磺酸，革胡子鲇</w:t>
      </w:r>
      <w:r w:rsidRPr="00742C9A">
        <w:rPr>
          <w:sz w:val="24"/>
        </w:rPr>
        <w:t>(</w:t>
      </w:r>
      <w:r w:rsidRPr="00902749">
        <w:rPr>
          <w:i/>
          <w:iCs/>
          <w:sz w:val="24"/>
        </w:rPr>
        <w:t xml:space="preserve">Clarias </w:t>
      </w:r>
      <w:proofErr w:type="spellStart"/>
      <w:r w:rsidRPr="00902749">
        <w:rPr>
          <w:i/>
          <w:iCs/>
          <w:sz w:val="24"/>
        </w:rPr>
        <w:t>gariepinus</w:t>
      </w:r>
      <w:proofErr w:type="spellEnd"/>
      <w:r w:rsidRPr="00742C9A">
        <w:rPr>
          <w:sz w:val="24"/>
        </w:rPr>
        <w:t>)</w:t>
      </w:r>
      <w:r w:rsidRPr="00742C9A">
        <w:rPr>
          <w:sz w:val="24"/>
        </w:rPr>
        <w:t>的抗氧化和免疫能力得到改善</w:t>
      </w:r>
      <w:r w:rsidRPr="00C64610">
        <w:rPr>
          <w:sz w:val="24"/>
          <w:vertAlign w:val="superscript"/>
        </w:rPr>
        <w:t>[27]</w:t>
      </w:r>
      <w:r w:rsidRPr="00742C9A">
        <w:rPr>
          <w:sz w:val="24"/>
        </w:rPr>
        <w:t>。另有学者研究发现，在氧化脂</w:t>
      </w:r>
      <w:r w:rsidRPr="00742C9A">
        <w:rPr>
          <w:rFonts w:hint="eastAsia"/>
          <w:sz w:val="24"/>
        </w:rPr>
        <w:t>质的饲料中添加</w:t>
      </w:r>
      <w:r w:rsidRPr="00742C9A">
        <w:rPr>
          <w:sz w:val="24"/>
        </w:rPr>
        <w:t>0.4%~0.8%</w:t>
      </w:r>
      <w:r w:rsidRPr="00742C9A">
        <w:rPr>
          <w:sz w:val="24"/>
        </w:rPr>
        <w:t>牛磺酸，能够缓解黄河鲤（</w:t>
      </w:r>
      <w:r w:rsidRPr="00902749">
        <w:rPr>
          <w:i/>
          <w:iCs/>
          <w:sz w:val="24"/>
        </w:rPr>
        <w:t>Cyprinus carpio</w:t>
      </w:r>
      <w:r w:rsidRPr="00742C9A">
        <w:rPr>
          <w:sz w:val="24"/>
        </w:rPr>
        <w:t>）采食氧化脂质饲料造成的生</w:t>
      </w:r>
      <w:r w:rsidRPr="00742C9A">
        <w:rPr>
          <w:rFonts w:hint="eastAsia"/>
          <w:sz w:val="24"/>
        </w:rPr>
        <w:t>长性能抑制、肠道组织损伤及消化能力下降等不良影响</w:t>
      </w:r>
      <w:r w:rsidRPr="00C64610">
        <w:rPr>
          <w:sz w:val="24"/>
          <w:vertAlign w:val="superscript"/>
        </w:rPr>
        <w:t>[28]</w:t>
      </w:r>
      <w:r w:rsidRPr="00742C9A">
        <w:rPr>
          <w:sz w:val="24"/>
        </w:rPr>
        <w:t>。</w:t>
      </w:r>
    </w:p>
    <w:p w14:paraId="0259C70F" w14:textId="77777777" w:rsidR="00400E98" w:rsidRPr="00742C9A" w:rsidRDefault="00400E98" w:rsidP="00400E98">
      <w:pPr>
        <w:spacing w:line="360" w:lineRule="auto"/>
        <w:rPr>
          <w:sz w:val="24"/>
        </w:rPr>
      </w:pPr>
      <w:r w:rsidRPr="00742C9A">
        <w:rPr>
          <w:sz w:val="24"/>
        </w:rPr>
        <w:t>1.6</w:t>
      </w:r>
      <w:r w:rsidRPr="00742C9A">
        <w:rPr>
          <w:sz w:val="24"/>
        </w:rPr>
        <w:t>南极磷虾粉的安全卫生影响</w:t>
      </w:r>
    </w:p>
    <w:p w14:paraId="4936499D" w14:textId="77777777" w:rsidR="00400E98" w:rsidRPr="00742C9A" w:rsidRDefault="00400E98" w:rsidP="00400E98">
      <w:pPr>
        <w:spacing w:line="360" w:lineRule="auto"/>
        <w:ind w:firstLineChars="200" w:firstLine="480"/>
        <w:rPr>
          <w:sz w:val="24"/>
        </w:rPr>
      </w:pPr>
      <w:r w:rsidRPr="00742C9A">
        <w:rPr>
          <w:rFonts w:hint="eastAsia"/>
          <w:sz w:val="24"/>
        </w:rPr>
        <w:t>南极磷虾粉主要产自南极海域附近，受污染程度较低，所含的重金属及有毒有害物质含量平均值均低于相关饲料及食品卫生标准限量</w:t>
      </w:r>
      <w:r w:rsidRPr="00C64610">
        <w:rPr>
          <w:sz w:val="24"/>
          <w:vertAlign w:val="superscript"/>
        </w:rPr>
        <w:t>[29]</w:t>
      </w:r>
      <w:r w:rsidRPr="00742C9A">
        <w:rPr>
          <w:sz w:val="24"/>
        </w:rPr>
        <w:t>。南极磷虾生存于富氟环境，极易导致其体内氟含量较高。</w:t>
      </w:r>
      <w:r w:rsidRPr="00742C9A">
        <w:rPr>
          <w:sz w:val="24"/>
        </w:rPr>
        <w:t>Yoshitomi</w:t>
      </w:r>
      <w:r w:rsidRPr="00742C9A">
        <w:rPr>
          <w:sz w:val="24"/>
        </w:rPr>
        <w:t>等</w:t>
      </w:r>
      <w:r w:rsidRPr="00C64610">
        <w:rPr>
          <w:sz w:val="24"/>
          <w:vertAlign w:val="superscript"/>
        </w:rPr>
        <w:t>[30]</w:t>
      </w:r>
      <w:r w:rsidRPr="00742C9A">
        <w:rPr>
          <w:sz w:val="24"/>
        </w:rPr>
        <w:t>研究发现，磷虾粉的氟含量超</w:t>
      </w:r>
      <w:r w:rsidRPr="00742C9A">
        <w:rPr>
          <w:sz w:val="24"/>
        </w:rPr>
        <w:t>870mg/kg</w:t>
      </w:r>
      <w:r w:rsidRPr="00742C9A">
        <w:rPr>
          <w:sz w:val="24"/>
        </w:rPr>
        <w:t>，低于我国《饲料卫生标准》要求</w:t>
      </w:r>
      <w:r w:rsidRPr="00742C9A">
        <w:rPr>
          <w:sz w:val="24"/>
        </w:rPr>
        <w:t>3000 mg/kg</w:t>
      </w:r>
      <w:r w:rsidRPr="00742C9A">
        <w:rPr>
          <w:sz w:val="24"/>
        </w:rPr>
        <w:t>。近年来，欧盟委员会关于动物饲料不良物质指令，准备将动物源饲料中最大氟含量调高至</w:t>
      </w:r>
      <w:r w:rsidRPr="00742C9A">
        <w:rPr>
          <w:sz w:val="24"/>
        </w:rPr>
        <w:t>2000 mg/kg</w:t>
      </w:r>
      <w:r w:rsidRPr="00742C9A">
        <w:rPr>
          <w:sz w:val="24"/>
        </w:rPr>
        <w:t>（干重），包括磷虾粉。</w:t>
      </w:r>
      <w:r w:rsidRPr="00742C9A">
        <w:rPr>
          <w:sz w:val="24"/>
        </w:rPr>
        <w:t>Wei</w:t>
      </w:r>
      <w:r w:rsidRPr="00742C9A">
        <w:rPr>
          <w:sz w:val="24"/>
        </w:rPr>
        <w:t>等</w:t>
      </w:r>
      <w:r w:rsidRPr="00C64610">
        <w:rPr>
          <w:sz w:val="24"/>
          <w:vertAlign w:val="superscript"/>
        </w:rPr>
        <w:t>[31]</w:t>
      </w:r>
      <w:r w:rsidRPr="00742C9A">
        <w:rPr>
          <w:sz w:val="24"/>
        </w:rPr>
        <w:t>研究发现，将南极磷虾粉替代凡纳滨对虾饲料中</w:t>
      </w:r>
      <w:r w:rsidRPr="00742C9A">
        <w:rPr>
          <w:sz w:val="24"/>
        </w:rPr>
        <w:t>25%</w:t>
      </w:r>
      <w:r w:rsidRPr="00742C9A">
        <w:rPr>
          <w:sz w:val="24"/>
        </w:rPr>
        <w:t>的鱼</w:t>
      </w:r>
      <w:r w:rsidRPr="00742C9A">
        <w:rPr>
          <w:rFonts w:hint="eastAsia"/>
          <w:sz w:val="24"/>
        </w:rPr>
        <w:t>粉，饲养</w:t>
      </w:r>
      <w:r w:rsidRPr="00742C9A">
        <w:rPr>
          <w:sz w:val="24"/>
        </w:rPr>
        <w:t>52d</w:t>
      </w:r>
      <w:r w:rsidRPr="00742C9A">
        <w:rPr>
          <w:sz w:val="24"/>
        </w:rPr>
        <w:t>后，凡纳滨对虾肌肉中氟含量为</w:t>
      </w:r>
      <w:r w:rsidRPr="00742C9A">
        <w:rPr>
          <w:sz w:val="24"/>
        </w:rPr>
        <w:t>0.66mg/kg</w:t>
      </w:r>
      <w:r w:rsidRPr="00742C9A">
        <w:rPr>
          <w:sz w:val="24"/>
        </w:rPr>
        <w:t>。同样，大西洋鲑饲料中添加</w:t>
      </w:r>
      <w:r w:rsidRPr="00742C9A">
        <w:rPr>
          <w:sz w:val="24"/>
        </w:rPr>
        <w:t>30%</w:t>
      </w:r>
      <w:r w:rsidRPr="00742C9A">
        <w:rPr>
          <w:sz w:val="24"/>
        </w:rPr>
        <w:t>南极磷虾</w:t>
      </w:r>
      <w:r w:rsidRPr="00742C9A">
        <w:rPr>
          <w:rFonts w:hint="eastAsia"/>
          <w:sz w:val="24"/>
        </w:rPr>
        <w:t>粉替代鱼粉，结果发现饲喂</w:t>
      </w:r>
      <w:r w:rsidRPr="00742C9A">
        <w:rPr>
          <w:sz w:val="24"/>
        </w:rPr>
        <w:t>12</w:t>
      </w:r>
      <w:r w:rsidRPr="00742C9A">
        <w:rPr>
          <w:sz w:val="24"/>
        </w:rPr>
        <w:t>周后大西洋鲑肌肉氟含量为</w:t>
      </w:r>
      <w:r w:rsidRPr="00742C9A">
        <w:rPr>
          <w:sz w:val="24"/>
        </w:rPr>
        <w:t>0.90 mg/kg</w:t>
      </w:r>
      <w:r w:rsidRPr="00C64610">
        <w:rPr>
          <w:sz w:val="24"/>
          <w:vertAlign w:val="superscript"/>
        </w:rPr>
        <w:t>[32]</w:t>
      </w:r>
      <w:r w:rsidRPr="00742C9A">
        <w:rPr>
          <w:sz w:val="24"/>
        </w:rPr>
        <w:t>。由此可见，南极磷虾粉原料</w:t>
      </w:r>
      <w:r w:rsidRPr="00742C9A">
        <w:rPr>
          <w:rFonts w:hint="eastAsia"/>
          <w:sz w:val="24"/>
        </w:rPr>
        <w:t>或饲料及饲喂动物产品氟含量，符合世界卫生组织所提出人类氟摄入量不超过</w:t>
      </w:r>
      <w:r w:rsidRPr="00742C9A">
        <w:rPr>
          <w:sz w:val="24"/>
        </w:rPr>
        <w:t>6mg/d</w:t>
      </w:r>
      <w:r w:rsidRPr="00742C9A">
        <w:rPr>
          <w:sz w:val="24"/>
        </w:rPr>
        <w:t>要求。</w:t>
      </w:r>
    </w:p>
    <w:p w14:paraId="42B2EA99" w14:textId="77777777" w:rsidR="00400E98" w:rsidRPr="00742C9A" w:rsidRDefault="00400E98" w:rsidP="00400E98">
      <w:pPr>
        <w:spacing w:line="360" w:lineRule="auto"/>
        <w:rPr>
          <w:sz w:val="24"/>
        </w:rPr>
      </w:pPr>
      <w:r w:rsidRPr="00742C9A">
        <w:rPr>
          <w:sz w:val="24"/>
        </w:rPr>
        <w:t>2</w:t>
      </w:r>
      <w:r w:rsidRPr="00742C9A">
        <w:rPr>
          <w:sz w:val="24"/>
        </w:rPr>
        <w:t>南极磷虾粉水产动物饲料化后的生物学功能</w:t>
      </w:r>
    </w:p>
    <w:p w14:paraId="64DEC2E6" w14:textId="77777777" w:rsidR="00400E98" w:rsidRPr="00742C9A" w:rsidRDefault="00400E98" w:rsidP="00400E98">
      <w:pPr>
        <w:spacing w:line="360" w:lineRule="auto"/>
        <w:rPr>
          <w:sz w:val="24"/>
        </w:rPr>
      </w:pPr>
      <w:r w:rsidRPr="00742C9A">
        <w:rPr>
          <w:sz w:val="24"/>
        </w:rPr>
        <w:t>2.1</w:t>
      </w:r>
      <w:r w:rsidRPr="00742C9A">
        <w:rPr>
          <w:sz w:val="24"/>
        </w:rPr>
        <w:t>对鱼虾类诱食性的影响</w:t>
      </w:r>
    </w:p>
    <w:p w14:paraId="50E7F128" w14:textId="77777777" w:rsidR="00400E98" w:rsidRPr="00742C9A" w:rsidRDefault="00400E98" w:rsidP="00400E98">
      <w:pPr>
        <w:spacing w:line="360" w:lineRule="auto"/>
        <w:ind w:firstLineChars="200" w:firstLine="480"/>
        <w:rPr>
          <w:sz w:val="24"/>
        </w:rPr>
      </w:pPr>
      <w:r w:rsidRPr="00742C9A">
        <w:rPr>
          <w:rFonts w:hint="eastAsia"/>
          <w:sz w:val="24"/>
        </w:rPr>
        <w:t>南极磷虾粉中的核苷酸、谷氨酸、脯氨酸、甘氨酸、精氨酸和低分子量氨基葡萄糖等化合物含量相对较高，以上物质均具诱食和调味效果，公认为水产动物配合饲料中极好的诱食剂</w:t>
      </w:r>
      <w:r w:rsidRPr="00C64610">
        <w:rPr>
          <w:sz w:val="24"/>
          <w:vertAlign w:val="superscript"/>
        </w:rPr>
        <w:t>[33]</w:t>
      </w:r>
      <w:r w:rsidRPr="00742C9A">
        <w:rPr>
          <w:sz w:val="24"/>
        </w:rPr>
        <w:t>。</w:t>
      </w:r>
      <w:r w:rsidRPr="00742C9A">
        <w:rPr>
          <w:sz w:val="24"/>
        </w:rPr>
        <w:t>Gaber</w:t>
      </w:r>
      <w:r w:rsidRPr="00742C9A">
        <w:rPr>
          <w:sz w:val="24"/>
        </w:rPr>
        <w:t>等</w:t>
      </w:r>
      <w:r w:rsidRPr="00C64610">
        <w:rPr>
          <w:sz w:val="24"/>
          <w:vertAlign w:val="superscript"/>
        </w:rPr>
        <w:t>[34]</w:t>
      </w:r>
      <w:r w:rsidRPr="00742C9A">
        <w:rPr>
          <w:sz w:val="24"/>
        </w:rPr>
        <w:t>研究</w:t>
      </w:r>
      <w:r w:rsidRPr="00742C9A">
        <w:rPr>
          <w:rFonts w:hint="eastAsia"/>
          <w:sz w:val="24"/>
        </w:rPr>
        <w:t>发现，在尼罗罗非鱼（</w:t>
      </w:r>
      <w:r w:rsidRPr="00902749">
        <w:rPr>
          <w:i/>
          <w:iCs/>
          <w:sz w:val="24"/>
        </w:rPr>
        <w:t>Oreochromis niloticus</w:t>
      </w:r>
      <w:r w:rsidRPr="00742C9A">
        <w:rPr>
          <w:sz w:val="24"/>
        </w:rPr>
        <w:t>）饲料中添加</w:t>
      </w:r>
      <w:r w:rsidRPr="00742C9A">
        <w:rPr>
          <w:sz w:val="24"/>
        </w:rPr>
        <w:t>1.5%</w:t>
      </w:r>
      <w:r w:rsidRPr="00742C9A">
        <w:rPr>
          <w:sz w:val="24"/>
        </w:rPr>
        <w:t>磷虾粉，能够促进尼罗罗非鱼幼鱼的</w:t>
      </w:r>
      <w:r w:rsidRPr="00742C9A">
        <w:rPr>
          <w:rFonts w:hint="eastAsia"/>
          <w:sz w:val="24"/>
        </w:rPr>
        <w:t>摄食率、生长性能和饲料利用率显著提高。同样，磷虾粉作为饲料诱食剂对蓝虾（</w:t>
      </w:r>
      <w:proofErr w:type="spellStart"/>
      <w:r w:rsidRPr="00902749">
        <w:rPr>
          <w:i/>
          <w:iCs/>
          <w:sz w:val="24"/>
        </w:rPr>
        <w:t>Litopenaeus</w:t>
      </w:r>
      <w:proofErr w:type="spellEnd"/>
      <w:r w:rsidRPr="00902749">
        <w:rPr>
          <w:i/>
          <w:iCs/>
          <w:sz w:val="24"/>
        </w:rPr>
        <w:t xml:space="preserve"> </w:t>
      </w:r>
      <w:proofErr w:type="spellStart"/>
      <w:r w:rsidRPr="00902749">
        <w:rPr>
          <w:i/>
          <w:iCs/>
          <w:sz w:val="24"/>
        </w:rPr>
        <w:t>stylirostris</w:t>
      </w:r>
      <w:proofErr w:type="spellEnd"/>
      <w:r w:rsidRPr="00742C9A">
        <w:rPr>
          <w:sz w:val="24"/>
        </w:rPr>
        <w:t>）具有良好的诱食性和适口性，并提高生长性能的效果</w:t>
      </w:r>
      <w:r w:rsidRPr="00C64610">
        <w:rPr>
          <w:sz w:val="24"/>
          <w:vertAlign w:val="superscript"/>
        </w:rPr>
        <w:t>[35]</w:t>
      </w:r>
      <w:r w:rsidRPr="00742C9A">
        <w:rPr>
          <w:sz w:val="24"/>
        </w:rPr>
        <w:t>。日本学者</w:t>
      </w:r>
      <w:r w:rsidRPr="00742C9A">
        <w:rPr>
          <w:sz w:val="24"/>
        </w:rPr>
        <w:t>Shimizu</w:t>
      </w:r>
      <w:r w:rsidRPr="00742C9A">
        <w:rPr>
          <w:sz w:val="24"/>
        </w:rPr>
        <w:t>等</w:t>
      </w:r>
      <w:r w:rsidRPr="00C64610">
        <w:rPr>
          <w:sz w:val="24"/>
          <w:vertAlign w:val="superscript"/>
        </w:rPr>
        <w:t>[36]</w:t>
      </w:r>
      <w:r w:rsidRPr="00742C9A">
        <w:rPr>
          <w:sz w:val="24"/>
        </w:rPr>
        <w:t>和</w:t>
      </w:r>
      <w:r w:rsidRPr="00742C9A">
        <w:rPr>
          <w:sz w:val="24"/>
        </w:rPr>
        <w:t>Ibrahim</w:t>
      </w:r>
      <w:r w:rsidRPr="00742C9A">
        <w:rPr>
          <w:sz w:val="24"/>
        </w:rPr>
        <w:t>等</w:t>
      </w:r>
      <w:r w:rsidRPr="00C64610">
        <w:rPr>
          <w:sz w:val="24"/>
          <w:vertAlign w:val="superscript"/>
        </w:rPr>
        <w:t>[37]</w:t>
      </w:r>
      <w:r w:rsidRPr="00742C9A">
        <w:rPr>
          <w:sz w:val="24"/>
        </w:rPr>
        <w:t>研究也发现，南极磷虾粉会刺激许多鱼类的摄食行为，如对真鲷</w:t>
      </w:r>
      <w:r w:rsidRPr="00742C9A">
        <w:rPr>
          <w:sz w:val="24"/>
        </w:rPr>
        <w:t>(</w:t>
      </w:r>
      <w:proofErr w:type="spellStart"/>
      <w:r w:rsidRPr="00902749">
        <w:rPr>
          <w:i/>
          <w:iCs/>
          <w:sz w:val="24"/>
        </w:rPr>
        <w:t>Pagrosomus</w:t>
      </w:r>
      <w:proofErr w:type="spellEnd"/>
      <w:r w:rsidRPr="00902749">
        <w:rPr>
          <w:i/>
          <w:iCs/>
          <w:sz w:val="24"/>
        </w:rPr>
        <w:t xml:space="preserve"> major</w:t>
      </w:r>
      <w:r w:rsidRPr="00742C9A">
        <w:rPr>
          <w:sz w:val="24"/>
        </w:rPr>
        <w:t>)</w:t>
      </w:r>
      <w:r w:rsidRPr="00742C9A">
        <w:rPr>
          <w:sz w:val="24"/>
        </w:rPr>
        <w:t>、</w:t>
      </w:r>
      <w:r w:rsidRPr="00742C9A">
        <w:rPr>
          <w:rFonts w:hint="eastAsia"/>
          <w:sz w:val="24"/>
        </w:rPr>
        <w:t>黑鲷</w:t>
      </w:r>
      <w:r w:rsidRPr="00742C9A">
        <w:rPr>
          <w:sz w:val="24"/>
        </w:rPr>
        <w:t>(</w:t>
      </w:r>
      <w:proofErr w:type="spellStart"/>
      <w:r w:rsidRPr="00902749">
        <w:rPr>
          <w:i/>
          <w:iCs/>
          <w:sz w:val="24"/>
        </w:rPr>
        <w:t>Acanthopagrus</w:t>
      </w:r>
      <w:proofErr w:type="spellEnd"/>
      <w:r w:rsidRPr="00902749">
        <w:rPr>
          <w:i/>
          <w:iCs/>
          <w:sz w:val="24"/>
        </w:rPr>
        <w:t xml:space="preserve"> schlegelii)</w:t>
      </w:r>
      <w:r w:rsidRPr="00742C9A">
        <w:rPr>
          <w:sz w:val="24"/>
        </w:rPr>
        <w:t>、日本鳗鲡（</w:t>
      </w:r>
      <w:r w:rsidRPr="00902749">
        <w:rPr>
          <w:i/>
          <w:iCs/>
          <w:sz w:val="24"/>
        </w:rPr>
        <w:t>Anguilla japonicus</w:t>
      </w:r>
      <w:r w:rsidRPr="00742C9A">
        <w:rPr>
          <w:sz w:val="24"/>
        </w:rPr>
        <w:t>）均有明显的诱食效果。</w:t>
      </w:r>
    </w:p>
    <w:p w14:paraId="6D1B722E" w14:textId="77777777" w:rsidR="00400E98" w:rsidRPr="00742C9A" w:rsidRDefault="00400E98" w:rsidP="00400E98">
      <w:pPr>
        <w:spacing w:line="360" w:lineRule="auto"/>
        <w:rPr>
          <w:sz w:val="24"/>
        </w:rPr>
      </w:pPr>
      <w:r w:rsidRPr="00742C9A">
        <w:rPr>
          <w:sz w:val="24"/>
        </w:rPr>
        <w:lastRenderedPageBreak/>
        <w:t>2.2</w:t>
      </w:r>
      <w:r w:rsidRPr="00742C9A">
        <w:rPr>
          <w:sz w:val="24"/>
        </w:rPr>
        <w:t>对鱼虾类体色调节的影响</w:t>
      </w:r>
    </w:p>
    <w:p w14:paraId="50F84911" w14:textId="77777777" w:rsidR="00400E98" w:rsidRPr="00742C9A" w:rsidRDefault="00400E98" w:rsidP="00400E98">
      <w:pPr>
        <w:spacing w:line="360" w:lineRule="auto"/>
        <w:ind w:firstLineChars="200" w:firstLine="480"/>
        <w:rPr>
          <w:sz w:val="24"/>
        </w:rPr>
      </w:pPr>
      <w:r w:rsidRPr="00742C9A">
        <w:rPr>
          <w:rFonts w:hint="eastAsia"/>
          <w:sz w:val="24"/>
        </w:rPr>
        <w:t>鱼类自身不能合成色素，但可从外界获取虾青素为机体所利用以改变自身体色</w:t>
      </w:r>
      <w:r w:rsidRPr="00C64610">
        <w:rPr>
          <w:sz w:val="24"/>
          <w:vertAlign w:val="superscript"/>
        </w:rPr>
        <w:t>[38]</w:t>
      </w:r>
      <w:r w:rsidRPr="00742C9A">
        <w:rPr>
          <w:sz w:val="24"/>
        </w:rPr>
        <w:t>。南极磷虾粉富含</w:t>
      </w:r>
      <w:r w:rsidRPr="00742C9A">
        <w:rPr>
          <w:rFonts w:hint="eastAsia"/>
          <w:sz w:val="24"/>
        </w:rPr>
        <w:t>天然色素，如类胡萝卜素、虾青素等，常被用于增强大西洋鳕（</w:t>
      </w:r>
      <w:r w:rsidRPr="00902749">
        <w:rPr>
          <w:i/>
          <w:iCs/>
          <w:sz w:val="24"/>
        </w:rPr>
        <w:t xml:space="preserve">Gadus </w:t>
      </w:r>
      <w:proofErr w:type="spellStart"/>
      <w:r w:rsidRPr="00902749">
        <w:rPr>
          <w:i/>
          <w:iCs/>
          <w:sz w:val="24"/>
        </w:rPr>
        <w:t>morhua</w:t>
      </w:r>
      <w:proofErr w:type="spellEnd"/>
      <w:r w:rsidRPr="00742C9A">
        <w:rPr>
          <w:sz w:val="24"/>
        </w:rPr>
        <w:t>）、虹鳟</w:t>
      </w:r>
      <w:r w:rsidRPr="00742C9A">
        <w:rPr>
          <w:rFonts w:hint="eastAsia"/>
          <w:sz w:val="24"/>
        </w:rPr>
        <w:t>（</w:t>
      </w:r>
      <w:r w:rsidRPr="00902749">
        <w:rPr>
          <w:i/>
          <w:iCs/>
          <w:sz w:val="24"/>
        </w:rPr>
        <w:t>Oncorhynchus mykiss</w:t>
      </w:r>
      <w:r w:rsidRPr="00742C9A">
        <w:rPr>
          <w:sz w:val="24"/>
        </w:rPr>
        <w:t>）及其他养殖动物的体色。有学者研究发现，用南极磷虾粉替代鱼粉能使大西</w:t>
      </w:r>
      <w:r w:rsidRPr="00742C9A">
        <w:rPr>
          <w:rFonts w:hint="eastAsia"/>
          <w:sz w:val="24"/>
        </w:rPr>
        <w:t>洋鳕侧线上下的皮肤颜色变得更红，同时随着饲料中的南极磷虾粉添加比例升高，大西洋鳕肌肉白度和黄色表现出显著变化</w:t>
      </w:r>
      <w:r w:rsidRPr="00C64610">
        <w:rPr>
          <w:sz w:val="24"/>
          <w:vertAlign w:val="superscript"/>
        </w:rPr>
        <w:t>[39]</w:t>
      </w:r>
      <w:r w:rsidRPr="00742C9A">
        <w:rPr>
          <w:sz w:val="24"/>
        </w:rPr>
        <w:t>。同时在饲料添加</w:t>
      </w:r>
      <w:r w:rsidRPr="00742C9A">
        <w:rPr>
          <w:sz w:val="24"/>
        </w:rPr>
        <w:t>6.59%~32.93%</w:t>
      </w:r>
      <w:r w:rsidRPr="00742C9A">
        <w:rPr>
          <w:sz w:val="24"/>
        </w:rPr>
        <w:t>的磷虾粉可改善大黄鱼</w:t>
      </w:r>
      <w:r w:rsidRPr="00742C9A">
        <w:rPr>
          <w:sz w:val="24"/>
        </w:rPr>
        <w:t>(</w:t>
      </w:r>
      <w:proofErr w:type="spellStart"/>
      <w:r w:rsidRPr="00902749">
        <w:rPr>
          <w:i/>
          <w:iCs/>
          <w:sz w:val="24"/>
        </w:rPr>
        <w:t>Larimichthys</w:t>
      </w:r>
      <w:proofErr w:type="spellEnd"/>
      <w:r w:rsidRPr="00902749">
        <w:rPr>
          <w:i/>
          <w:iCs/>
          <w:sz w:val="24"/>
        </w:rPr>
        <w:t xml:space="preserve"> </w:t>
      </w:r>
      <w:proofErr w:type="spellStart"/>
      <w:r w:rsidRPr="00902749">
        <w:rPr>
          <w:i/>
          <w:iCs/>
          <w:sz w:val="24"/>
        </w:rPr>
        <w:t>crocea</w:t>
      </w:r>
      <w:proofErr w:type="spellEnd"/>
      <w:r w:rsidRPr="00742C9A">
        <w:rPr>
          <w:sz w:val="24"/>
        </w:rPr>
        <w:t>)</w:t>
      </w:r>
      <w:r w:rsidRPr="00742C9A">
        <w:rPr>
          <w:rFonts w:hint="eastAsia"/>
          <w:sz w:val="24"/>
        </w:rPr>
        <w:t>的体色，且不会对其生长性能产生负面影响</w:t>
      </w:r>
      <w:r w:rsidRPr="00C64610">
        <w:rPr>
          <w:sz w:val="24"/>
          <w:vertAlign w:val="superscript"/>
        </w:rPr>
        <w:t>[40]</w:t>
      </w:r>
      <w:r w:rsidRPr="00742C9A">
        <w:rPr>
          <w:sz w:val="24"/>
        </w:rPr>
        <w:t>。梁艺馨等</w:t>
      </w:r>
      <w:r w:rsidRPr="00C64610">
        <w:rPr>
          <w:sz w:val="24"/>
          <w:vertAlign w:val="superscript"/>
        </w:rPr>
        <w:t>[41]</w:t>
      </w:r>
      <w:r w:rsidRPr="00742C9A">
        <w:rPr>
          <w:sz w:val="24"/>
        </w:rPr>
        <w:t>在锦鲤饲料中，分别用全脂南极磷虾粉替代</w:t>
      </w:r>
      <w:r w:rsidRPr="00742C9A">
        <w:rPr>
          <w:rFonts w:hint="eastAsia"/>
          <w:sz w:val="24"/>
        </w:rPr>
        <w:t>鱼粉</w:t>
      </w:r>
      <w:r w:rsidRPr="00742C9A">
        <w:rPr>
          <w:sz w:val="24"/>
        </w:rPr>
        <w:t>20%~30%</w:t>
      </w:r>
      <w:r w:rsidRPr="00742C9A">
        <w:rPr>
          <w:sz w:val="24"/>
        </w:rPr>
        <w:t>，脱脂南极磷虾粉替代鱼粉</w:t>
      </w:r>
      <w:r w:rsidRPr="00742C9A">
        <w:rPr>
          <w:sz w:val="24"/>
        </w:rPr>
        <w:t>10%~20%</w:t>
      </w:r>
      <w:r w:rsidRPr="00742C9A">
        <w:rPr>
          <w:sz w:val="24"/>
        </w:rPr>
        <w:t>，结果发现，两种南极磷虾粉均可增强红白锦鲤</w:t>
      </w:r>
      <w:r w:rsidRPr="00742C9A">
        <w:rPr>
          <w:rFonts w:hint="eastAsia"/>
          <w:sz w:val="24"/>
        </w:rPr>
        <w:t>的色彩饱满度。李汶恒等</w:t>
      </w:r>
      <w:r w:rsidRPr="00C64610">
        <w:rPr>
          <w:sz w:val="24"/>
          <w:vertAlign w:val="superscript"/>
        </w:rPr>
        <w:t>[42]</w:t>
      </w:r>
      <w:r w:rsidRPr="00742C9A">
        <w:rPr>
          <w:sz w:val="24"/>
        </w:rPr>
        <w:t>在饲料中添加</w:t>
      </w:r>
      <w:r w:rsidRPr="00742C9A">
        <w:rPr>
          <w:sz w:val="24"/>
        </w:rPr>
        <w:t>5%~20%</w:t>
      </w:r>
      <w:r w:rsidRPr="00742C9A">
        <w:rPr>
          <w:sz w:val="24"/>
        </w:rPr>
        <w:t>南极磷虾粉替代鱼粉，结果发现，随着南极磷虾粉添</w:t>
      </w:r>
      <w:r w:rsidRPr="00742C9A">
        <w:rPr>
          <w:rFonts w:hint="eastAsia"/>
          <w:sz w:val="24"/>
        </w:rPr>
        <w:t>加比例的不断提高，蒸煮后对虾的红色值逐渐增大，体色红色加深。</w:t>
      </w:r>
      <w:r w:rsidRPr="00742C9A">
        <w:rPr>
          <w:sz w:val="24"/>
        </w:rPr>
        <w:t>Wei</w:t>
      </w:r>
      <w:r w:rsidRPr="00742C9A">
        <w:rPr>
          <w:sz w:val="24"/>
        </w:rPr>
        <w:t>等</w:t>
      </w:r>
      <w:r w:rsidRPr="00C64610">
        <w:rPr>
          <w:sz w:val="24"/>
          <w:vertAlign w:val="superscript"/>
        </w:rPr>
        <w:t>[31]</w:t>
      </w:r>
      <w:r w:rsidRPr="00742C9A">
        <w:rPr>
          <w:sz w:val="24"/>
        </w:rPr>
        <w:t>用南极磷虾粉替代凡纳滨</w:t>
      </w:r>
      <w:r w:rsidRPr="00742C9A">
        <w:rPr>
          <w:rFonts w:hint="eastAsia"/>
          <w:sz w:val="24"/>
        </w:rPr>
        <w:t>对虾饲料中</w:t>
      </w:r>
      <w:r w:rsidRPr="00742C9A">
        <w:rPr>
          <w:sz w:val="24"/>
        </w:rPr>
        <w:t>0~100%</w:t>
      </w:r>
      <w:r w:rsidRPr="00742C9A">
        <w:rPr>
          <w:sz w:val="24"/>
        </w:rPr>
        <w:t>鱼粉，发现凡纳滨对虾外骨骼中类胡萝卜素含量随磷虾粉水平的增加呈线性提高，</w:t>
      </w:r>
      <w:r w:rsidRPr="00742C9A">
        <w:rPr>
          <w:rFonts w:hint="eastAsia"/>
          <w:sz w:val="24"/>
        </w:rPr>
        <w:t>发挥了体色改善作用。在史氏鲟（</w:t>
      </w:r>
      <w:r w:rsidRPr="00902749">
        <w:rPr>
          <w:i/>
          <w:iCs/>
          <w:sz w:val="24"/>
        </w:rPr>
        <w:t xml:space="preserve">Acipenser </w:t>
      </w:r>
      <w:proofErr w:type="spellStart"/>
      <w:r w:rsidRPr="00902749">
        <w:rPr>
          <w:i/>
          <w:iCs/>
          <w:sz w:val="24"/>
        </w:rPr>
        <w:t>schrencki</w:t>
      </w:r>
      <w:proofErr w:type="spellEnd"/>
      <w:r w:rsidRPr="00742C9A">
        <w:rPr>
          <w:sz w:val="24"/>
        </w:rPr>
        <w:t>）饲料中添加南极磷虾粉，则会对史氏鲟鱼子酱</w:t>
      </w:r>
      <w:r w:rsidRPr="00742C9A">
        <w:rPr>
          <w:rFonts w:hint="eastAsia"/>
          <w:sz w:val="24"/>
        </w:rPr>
        <w:t>的品质及感官评价值均有明显改善</w:t>
      </w:r>
      <w:r w:rsidRPr="00C64610">
        <w:rPr>
          <w:sz w:val="24"/>
          <w:vertAlign w:val="superscript"/>
        </w:rPr>
        <w:t>[43]</w:t>
      </w:r>
      <w:r w:rsidRPr="00742C9A">
        <w:rPr>
          <w:sz w:val="24"/>
        </w:rPr>
        <w:t>。</w:t>
      </w:r>
    </w:p>
    <w:p w14:paraId="601802D7" w14:textId="77777777" w:rsidR="00400E98" w:rsidRPr="00742C9A" w:rsidRDefault="00400E98" w:rsidP="00400E98">
      <w:pPr>
        <w:spacing w:line="360" w:lineRule="auto"/>
        <w:rPr>
          <w:sz w:val="24"/>
        </w:rPr>
      </w:pPr>
      <w:r w:rsidRPr="00742C9A">
        <w:rPr>
          <w:sz w:val="24"/>
        </w:rPr>
        <w:t>2.3</w:t>
      </w:r>
      <w:r w:rsidRPr="00742C9A">
        <w:rPr>
          <w:sz w:val="24"/>
        </w:rPr>
        <w:t>对鱼虾类免疫与健康的影响</w:t>
      </w:r>
    </w:p>
    <w:p w14:paraId="1431E101" w14:textId="77777777" w:rsidR="00400E98" w:rsidRPr="00742C9A" w:rsidRDefault="00400E98" w:rsidP="00400E98">
      <w:pPr>
        <w:spacing w:line="360" w:lineRule="auto"/>
        <w:ind w:firstLineChars="200" w:firstLine="480"/>
        <w:rPr>
          <w:sz w:val="24"/>
        </w:rPr>
      </w:pPr>
      <w:r w:rsidRPr="00742C9A">
        <w:rPr>
          <w:rFonts w:hint="eastAsia"/>
          <w:sz w:val="24"/>
        </w:rPr>
        <w:t>大多水生动物特异性免疫和非特异性免疫并存，但因其特异性免疫系统发育及运行机制还不完善，因此非特异性免疫在水生动物的免疫防御过程中尤显重要。南极磷虾粉中富含虾青素、牛磺酸以及甲壳素，在水产饲料中添加适量南极磷虾粉可防止活性氧的损伤，增强机体免疫力</w:t>
      </w:r>
      <w:r w:rsidRPr="00C64610">
        <w:rPr>
          <w:sz w:val="24"/>
          <w:vertAlign w:val="superscript"/>
        </w:rPr>
        <w:t>[44]</w:t>
      </w:r>
      <w:r w:rsidRPr="00742C9A">
        <w:rPr>
          <w:sz w:val="24"/>
        </w:rPr>
        <w:t>。已有研究表明，用南</w:t>
      </w:r>
      <w:r w:rsidRPr="00742C9A">
        <w:rPr>
          <w:rFonts w:hint="eastAsia"/>
          <w:sz w:val="24"/>
        </w:rPr>
        <w:t>极磷虾粉替代部分鱼粉可提高黄颡鱼（</w:t>
      </w:r>
      <w:proofErr w:type="spellStart"/>
      <w:r w:rsidRPr="00902749">
        <w:rPr>
          <w:i/>
          <w:iCs/>
          <w:sz w:val="24"/>
        </w:rPr>
        <w:t>Pelteobagrus</w:t>
      </w:r>
      <w:proofErr w:type="spellEnd"/>
      <w:r w:rsidRPr="00902749">
        <w:rPr>
          <w:i/>
          <w:iCs/>
          <w:sz w:val="24"/>
        </w:rPr>
        <w:t xml:space="preserve"> </w:t>
      </w:r>
      <w:proofErr w:type="spellStart"/>
      <w:r w:rsidRPr="00902749">
        <w:rPr>
          <w:i/>
          <w:iCs/>
          <w:sz w:val="24"/>
        </w:rPr>
        <w:t>fulvidraco</w:t>
      </w:r>
      <w:proofErr w:type="spellEnd"/>
      <w:r w:rsidRPr="00742C9A">
        <w:rPr>
          <w:sz w:val="24"/>
        </w:rPr>
        <w:t>）的抗氧化能力</w:t>
      </w:r>
      <w:r w:rsidRPr="00C64610">
        <w:rPr>
          <w:sz w:val="24"/>
          <w:vertAlign w:val="superscript"/>
        </w:rPr>
        <w:t>[45]</w:t>
      </w:r>
      <w:r w:rsidRPr="00742C9A">
        <w:rPr>
          <w:sz w:val="24"/>
        </w:rPr>
        <w:t>。</w:t>
      </w:r>
      <w:r w:rsidRPr="00742C9A">
        <w:rPr>
          <w:sz w:val="24"/>
        </w:rPr>
        <w:t>Khosravi</w:t>
      </w:r>
      <w:r w:rsidRPr="00742C9A">
        <w:rPr>
          <w:sz w:val="24"/>
        </w:rPr>
        <w:t>等</w:t>
      </w:r>
      <w:r w:rsidRPr="00C64610">
        <w:rPr>
          <w:sz w:val="24"/>
          <w:vertAlign w:val="superscript"/>
        </w:rPr>
        <w:t>[46]</w:t>
      </w:r>
      <w:r w:rsidRPr="00742C9A">
        <w:rPr>
          <w:sz w:val="24"/>
        </w:rPr>
        <w:t>研</w:t>
      </w:r>
      <w:r w:rsidRPr="00742C9A">
        <w:rPr>
          <w:rFonts w:hint="eastAsia"/>
          <w:sz w:val="24"/>
        </w:rPr>
        <w:t>究发现，真鲷摄食含南极磷虾蛋白质水解产物饲料后，其机体非特异性免疫能力要明显高于低鱼粉饲料。与此类似，在饲料中添加</w:t>
      </w:r>
      <w:r w:rsidRPr="00742C9A">
        <w:rPr>
          <w:sz w:val="24"/>
        </w:rPr>
        <w:t>10%~15%</w:t>
      </w:r>
      <w:r w:rsidRPr="00742C9A">
        <w:rPr>
          <w:sz w:val="24"/>
        </w:rPr>
        <w:t>南极磷虾粉可显著提高日本沼虾（</w:t>
      </w:r>
      <w:r w:rsidRPr="00902749">
        <w:rPr>
          <w:i/>
          <w:iCs/>
          <w:sz w:val="24"/>
        </w:rPr>
        <w:t xml:space="preserve">Macrobrachium </w:t>
      </w:r>
      <w:proofErr w:type="spellStart"/>
      <w:r w:rsidRPr="00902749">
        <w:rPr>
          <w:i/>
          <w:iCs/>
          <w:sz w:val="24"/>
        </w:rPr>
        <w:t>nipponense</w:t>
      </w:r>
      <w:proofErr w:type="spellEnd"/>
      <w:r w:rsidRPr="00742C9A">
        <w:rPr>
          <w:sz w:val="24"/>
        </w:rPr>
        <w:t>）</w:t>
      </w:r>
      <w:r w:rsidRPr="00742C9A">
        <w:rPr>
          <w:rFonts w:hint="eastAsia"/>
          <w:sz w:val="24"/>
        </w:rPr>
        <w:t>肝胰脏谷胱甘肽过氧化酶浓度，能够降低丙二醛浓度，改善日本沼虾的肝胰脏健康</w:t>
      </w:r>
      <w:r w:rsidRPr="00C64610">
        <w:rPr>
          <w:sz w:val="24"/>
          <w:vertAlign w:val="superscript"/>
        </w:rPr>
        <w:t>[47]</w:t>
      </w:r>
      <w:r w:rsidRPr="00742C9A">
        <w:rPr>
          <w:sz w:val="24"/>
        </w:rPr>
        <w:t>。在饲料中添加</w:t>
      </w:r>
      <w:r w:rsidRPr="00742C9A">
        <w:rPr>
          <w:sz w:val="24"/>
        </w:rPr>
        <w:t>200</w:t>
      </w:r>
      <w:r w:rsidRPr="00742C9A">
        <w:rPr>
          <w:sz w:val="24"/>
        </w:rPr>
        <w:t>、</w:t>
      </w:r>
      <w:r w:rsidRPr="00742C9A">
        <w:rPr>
          <w:sz w:val="24"/>
        </w:rPr>
        <w:t>400</w:t>
      </w:r>
      <w:r w:rsidRPr="00742C9A">
        <w:rPr>
          <w:sz w:val="24"/>
        </w:rPr>
        <w:t>、</w:t>
      </w:r>
      <w:r w:rsidRPr="00742C9A">
        <w:rPr>
          <w:sz w:val="24"/>
        </w:rPr>
        <w:t>800mg/kg</w:t>
      </w:r>
      <w:r w:rsidRPr="00742C9A">
        <w:rPr>
          <w:sz w:val="24"/>
        </w:rPr>
        <w:t>虾青素饲喂克氏原螯虾</w:t>
      </w:r>
      <w:r w:rsidRPr="00742C9A">
        <w:rPr>
          <w:sz w:val="24"/>
        </w:rPr>
        <w:t>(</w:t>
      </w:r>
      <w:r w:rsidRPr="00902749">
        <w:rPr>
          <w:i/>
          <w:iCs/>
          <w:sz w:val="24"/>
        </w:rPr>
        <w:t>Procambarus clarkii</w:t>
      </w:r>
      <w:r w:rsidRPr="00742C9A">
        <w:rPr>
          <w:sz w:val="24"/>
        </w:rPr>
        <w:t>)8</w:t>
      </w:r>
      <w:r w:rsidRPr="00742C9A">
        <w:rPr>
          <w:sz w:val="24"/>
        </w:rPr>
        <w:t>周，可提高血清溶菌酶活性、</w:t>
      </w:r>
      <w:r w:rsidRPr="00742C9A">
        <w:rPr>
          <w:rFonts w:hint="eastAsia"/>
          <w:sz w:val="24"/>
        </w:rPr>
        <w:t>碱性磷酸酶活性、谷胱甘肽过氧化物酶活性及增强对嗜水气单胞菌的抵抗力</w:t>
      </w:r>
      <w:r w:rsidRPr="00C64610">
        <w:rPr>
          <w:sz w:val="24"/>
          <w:vertAlign w:val="superscript"/>
        </w:rPr>
        <w:t>[48]</w:t>
      </w:r>
      <w:r w:rsidRPr="00742C9A">
        <w:rPr>
          <w:sz w:val="24"/>
        </w:rPr>
        <w:t>。</w:t>
      </w:r>
      <w:r w:rsidRPr="00742C9A">
        <w:rPr>
          <w:sz w:val="24"/>
        </w:rPr>
        <w:t>Li</w:t>
      </w:r>
      <w:r w:rsidRPr="00742C9A">
        <w:rPr>
          <w:sz w:val="24"/>
        </w:rPr>
        <w:t>等</w:t>
      </w:r>
      <w:r w:rsidRPr="00C64610">
        <w:rPr>
          <w:sz w:val="24"/>
          <w:vertAlign w:val="superscript"/>
        </w:rPr>
        <w:t>[49]</w:t>
      </w:r>
      <w:r w:rsidRPr="00742C9A">
        <w:rPr>
          <w:sz w:val="24"/>
        </w:rPr>
        <w:t>研究发现，在饲</w:t>
      </w:r>
      <w:r w:rsidRPr="00742C9A">
        <w:rPr>
          <w:rFonts w:hint="eastAsia"/>
          <w:sz w:val="24"/>
        </w:rPr>
        <w:t>料中添加</w:t>
      </w:r>
      <w:r w:rsidRPr="00742C9A">
        <w:rPr>
          <w:sz w:val="24"/>
        </w:rPr>
        <w:t>1.09%</w:t>
      </w:r>
      <w:r w:rsidRPr="00742C9A">
        <w:rPr>
          <w:sz w:val="24"/>
        </w:rPr>
        <w:t>牛磺酸可提高黄颡鱼血清中溶菌酶活性。</w:t>
      </w:r>
    </w:p>
    <w:p w14:paraId="5891903F" w14:textId="77777777" w:rsidR="00400E98" w:rsidRPr="00742C9A" w:rsidRDefault="00400E98" w:rsidP="00400E98">
      <w:pPr>
        <w:spacing w:line="360" w:lineRule="auto"/>
        <w:rPr>
          <w:sz w:val="24"/>
        </w:rPr>
      </w:pPr>
      <w:r w:rsidRPr="00742C9A">
        <w:rPr>
          <w:sz w:val="24"/>
        </w:rPr>
        <w:t>2.4</w:t>
      </w:r>
      <w:r w:rsidRPr="00742C9A">
        <w:rPr>
          <w:sz w:val="24"/>
        </w:rPr>
        <w:t>对鱼类的肌肉品质调控</w:t>
      </w:r>
    </w:p>
    <w:p w14:paraId="63579328" w14:textId="77777777" w:rsidR="00400E98" w:rsidRPr="00742C9A" w:rsidRDefault="00400E98" w:rsidP="00400E98">
      <w:pPr>
        <w:spacing w:line="360" w:lineRule="auto"/>
        <w:ind w:firstLineChars="200" w:firstLine="480"/>
        <w:rPr>
          <w:sz w:val="24"/>
        </w:rPr>
      </w:pPr>
      <w:r w:rsidRPr="00742C9A">
        <w:rPr>
          <w:rFonts w:hint="eastAsia"/>
          <w:sz w:val="24"/>
        </w:rPr>
        <w:t>南极磷虾粉可在水产饲料中广泛应用，主要作用表现在其具改善或者不降低水产养殖动物品质的效果。谢凯等</w:t>
      </w:r>
      <w:r w:rsidRPr="00C64610">
        <w:rPr>
          <w:sz w:val="24"/>
          <w:vertAlign w:val="superscript"/>
        </w:rPr>
        <w:t>[45]</w:t>
      </w:r>
      <w:r w:rsidRPr="00742C9A">
        <w:rPr>
          <w:sz w:val="24"/>
        </w:rPr>
        <w:t>研究表明，南极磷虾粉适量替代鱼粉可改善黄颡鱼鱼肉的黏附</w:t>
      </w:r>
      <w:r w:rsidRPr="00742C9A">
        <w:rPr>
          <w:sz w:val="24"/>
        </w:rPr>
        <w:lastRenderedPageBreak/>
        <w:t>性、硬度和咀嚼性等质构特</w:t>
      </w:r>
      <w:r w:rsidRPr="00742C9A">
        <w:rPr>
          <w:rFonts w:hint="eastAsia"/>
          <w:sz w:val="24"/>
        </w:rPr>
        <w:t>征，促进机体肌肉品质提升。而不同研究表明，饲料中使用</w:t>
      </w:r>
      <w:r w:rsidRPr="00742C9A">
        <w:rPr>
          <w:sz w:val="24"/>
        </w:rPr>
        <w:t>20%</w:t>
      </w:r>
      <w:r w:rsidRPr="00742C9A">
        <w:rPr>
          <w:sz w:val="24"/>
        </w:rPr>
        <w:t>、</w:t>
      </w:r>
      <w:r w:rsidRPr="00742C9A">
        <w:rPr>
          <w:sz w:val="24"/>
        </w:rPr>
        <w:t>40%</w:t>
      </w:r>
      <w:r w:rsidRPr="00742C9A">
        <w:rPr>
          <w:sz w:val="24"/>
        </w:rPr>
        <w:t>、</w:t>
      </w:r>
      <w:r w:rsidRPr="00742C9A">
        <w:rPr>
          <w:sz w:val="24"/>
        </w:rPr>
        <w:t>60%</w:t>
      </w:r>
      <w:r w:rsidRPr="00742C9A">
        <w:rPr>
          <w:sz w:val="24"/>
        </w:rPr>
        <w:t>南极磷虾粉替代鱼粉投喂</w:t>
      </w:r>
      <w:r w:rsidRPr="00742C9A">
        <w:rPr>
          <w:rFonts w:hint="eastAsia"/>
          <w:sz w:val="24"/>
        </w:rPr>
        <w:t>大西洋鲑（</w:t>
      </w:r>
      <w:r w:rsidRPr="00902749">
        <w:rPr>
          <w:i/>
          <w:iCs/>
          <w:sz w:val="24"/>
        </w:rPr>
        <w:t xml:space="preserve">Salmo </w:t>
      </w:r>
      <w:proofErr w:type="spellStart"/>
      <w:r w:rsidRPr="00902749">
        <w:rPr>
          <w:i/>
          <w:iCs/>
          <w:sz w:val="24"/>
        </w:rPr>
        <w:t>salar</w:t>
      </w:r>
      <w:proofErr w:type="spellEnd"/>
      <w:r w:rsidRPr="00742C9A">
        <w:rPr>
          <w:sz w:val="24"/>
        </w:rPr>
        <w:t>）均不会导致大西洋鲑肌肉物理特性和感官质量的下降</w:t>
      </w:r>
      <w:r w:rsidRPr="00C64610">
        <w:rPr>
          <w:sz w:val="24"/>
          <w:vertAlign w:val="superscript"/>
        </w:rPr>
        <w:t>[50]</w:t>
      </w:r>
      <w:r w:rsidRPr="00742C9A">
        <w:rPr>
          <w:sz w:val="24"/>
        </w:rPr>
        <w:t>。</w:t>
      </w:r>
      <w:r w:rsidRPr="00742C9A">
        <w:rPr>
          <w:sz w:val="24"/>
        </w:rPr>
        <w:t>Karlsen</w:t>
      </w:r>
      <w:r w:rsidRPr="00742C9A">
        <w:rPr>
          <w:sz w:val="24"/>
        </w:rPr>
        <w:t>等</w:t>
      </w:r>
      <w:r w:rsidRPr="00C64610">
        <w:rPr>
          <w:sz w:val="24"/>
          <w:vertAlign w:val="superscript"/>
        </w:rPr>
        <w:t>[39]</w:t>
      </w:r>
      <w:r w:rsidRPr="00742C9A">
        <w:rPr>
          <w:sz w:val="24"/>
        </w:rPr>
        <w:t>用南极</w:t>
      </w:r>
      <w:r w:rsidRPr="00742C9A">
        <w:rPr>
          <w:rFonts w:hint="eastAsia"/>
          <w:sz w:val="24"/>
        </w:rPr>
        <w:t>磷虾粉完全替代饲料中鱼粉，结果发现，与对照组相比，大西洋鳕的肌肉物理特性和感官质量无显著差异。南极磷虾粉对养殖动物肌肉品质影响需要更多研究数据支撑。</w:t>
      </w:r>
    </w:p>
    <w:p w14:paraId="31B5504E" w14:textId="77777777" w:rsidR="00400E98" w:rsidRPr="00742C9A" w:rsidRDefault="00400E98" w:rsidP="00400E98">
      <w:pPr>
        <w:spacing w:line="360" w:lineRule="auto"/>
        <w:rPr>
          <w:sz w:val="24"/>
        </w:rPr>
      </w:pPr>
      <w:r w:rsidRPr="00742C9A">
        <w:rPr>
          <w:sz w:val="24"/>
        </w:rPr>
        <w:t>2.5</w:t>
      </w:r>
      <w:r w:rsidRPr="00742C9A">
        <w:rPr>
          <w:sz w:val="24"/>
        </w:rPr>
        <w:t>对鱼虾类的性腺发育和繁殖性能的影响</w:t>
      </w:r>
    </w:p>
    <w:p w14:paraId="13D693F5" w14:textId="77777777" w:rsidR="00400E98" w:rsidRPr="00742C9A" w:rsidRDefault="00400E98" w:rsidP="00400E98">
      <w:pPr>
        <w:spacing w:line="360" w:lineRule="auto"/>
        <w:ind w:firstLineChars="200" w:firstLine="480"/>
        <w:rPr>
          <w:sz w:val="24"/>
        </w:rPr>
      </w:pPr>
      <w:r w:rsidRPr="00742C9A">
        <w:rPr>
          <w:rFonts w:hint="eastAsia"/>
          <w:sz w:val="24"/>
        </w:rPr>
        <w:t>作为一种饲料原料，南极磷虾粉对鱼类性腺发育和繁殖性能能产生积极作用</w:t>
      </w:r>
      <w:r w:rsidRPr="00C64610">
        <w:rPr>
          <w:sz w:val="24"/>
          <w:vertAlign w:val="superscript"/>
        </w:rPr>
        <w:t>[44]</w:t>
      </w:r>
      <w:r w:rsidRPr="00742C9A">
        <w:rPr>
          <w:sz w:val="24"/>
        </w:rPr>
        <w:t>。赵敏</w:t>
      </w:r>
      <w:r w:rsidRPr="00C64610">
        <w:rPr>
          <w:sz w:val="24"/>
          <w:vertAlign w:val="superscript"/>
        </w:rPr>
        <w:t>[51]</w:t>
      </w:r>
      <w:r w:rsidRPr="00742C9A">
        <w:rPr>
          <w:sz w:val="24"/>
        </w:rPr>
        <w:t>研究发现，</w:t>
      </w:r>
      <w:r w:rsidRPr="00742C9A">
        <w:rPr>
          <w:rFonts w:hint="eastAsia"/>
          <w:sz w:val="24"/>
        </w:rPr>
        <w:t>饲料中添加</w:t>
      </w:r>
      <w:r w:rsidRPr="00742C9A">
        <w:rPr>
          <w:sz w:val="24"/>
        </w:rPr>
        <w:t>10%</w:t>
      </w:r>
      <w:r w:rsidRPr="00742C9A">
        <w:rPr>
          <w:sz w:val="24"/>
        </w:rPr>
        <w:t>南极磷虾粉可促进半滑舌鳎（</w:t>
      </w:r>
      <w:proofErr w:type="spellStart"/>
      <w:r w:rsidRPr="00902749">
        <w:rPr>
          <w:i/>
          <w:iCs/>
          <w:sz w:val="24"/>
        </w:rPr>
        <w:t>Cynoglossus</w:t>
      </w:r>
      <w:proofErr w:type="spellEnd"/>
      <w:r w:rsidRPr="00902749">
        <w:rPr>
          <w:i/>
          <w:iCs/>
          <w:sz w:val="24"/>
        </w:rPr>
        <w:t xml:space="preserve"> </w:t>
      </w:r>
      <w:proofErr w:type="spellStart"/>
      <w:r w:rsidRPr="00902749">
        <w:rPr>
          <w:i/>
          <w:iCs/>
          <w:sz w:val="24"/>
        </w:rPr>
        <w:t>semilaevis</w:t>
      </w:r>
      <w:proofErr w:type="spellEnd"/>
      <w:r w:rsidRPr="00742C9A">
        <w:rPr>
          <w:sz w:val="24"/>
        </w:rPr>
        <w:t>）亲鱼雌二醇的分泌，相对产卵</w:t>
      </w:r>
      <w:r w:rsidRPr="00742C9A">
        <w:rPr>
          <w:rFonts w:hint="eastAsia"/>
          <w:sz w:val="24"/>
        </w:rPr>
        <w:t>量、受精率及孵化率等繁殖性能改善明显。张玉玲等</w:t>
      </w:r>
      <w:r w:rsidRPr="00C64610">
        <w:rPr>
          <w:sz w:val="24"/>
          <w:vertAlign w:val="superscript"/>
        </w:rPr>
        <w:t>[52]</w:t>
      </w:r>
      <w:r w:rsidRPr="00742C9A">
        <w:rPr>
          <w:sz w:val="24"/>
        </w:rPr>
        <w:t>研究表明，添加</w:t>
      </w:r>
      <w:r w:rsidRPr="00742C9A">
        <w:rPr>
          <w:sz w:val="24"/>
        </w:rPr>
        <w:t>10%~20%</w:t>
      </w:r>
      <w:r w:rsidRPr="00742C9A">
        <w:rPr>
          <w:sz w:val="24"/>
        </w:rPr>
        <w:t>南极磷虾粉饲料的凡</w:t>
      </w:r>
      <w:r w:rsidRPr="00742C9A">
        <w:rPr>
          <w:rFonts w:hint="eastAsia"/>
          <w:sz w:val="24"/>
        </w:rPr>
        <w:t>纳滨对虾性腺指数与沙蚕组（对照组）相比无明显差异，认为南极磷虾粉有可能可成为凡纳滨对虾亲本营养强化阶段的优质原料。</w:t>
      </w:r>
      <w:r w:rsidRPr="00742C9A">
        <w:rPr>
          <w:sz w:val="24"/>
        </w:rPr>
        <w:t>Huang</w:t>
      </w:r>
      <w:r w:rsidRPr="00742C9A">
        <w:rPr>
          <w:sz w:val="24"/>
        </w:rPr>
        <w:t>等</w:t>
      </w:r>
      <w:r w:rsidRPr="00C64610">
        <w:rPr>
          <w:sz w:val="24"/>
          <w:vertAlign w:val="superscript"/>
        </w:rPr>
        <w:t>[53]</w:t>
      </w:r>
      <w:r w:rsidRPr="00742C9A">
        <w:rPr>
          <w:sz w:val="24"/>
        </w:rPr>
        <w:t>设计配制含</w:t>
      </w:r>
      <w:r w:rsidRPr="00742C9A">
        <w:rPr>
          <w:sz w:val="24"/>
        </w:rPr>
        <w:t>0</w:t>
      </w:r>
      <w:r w:rsidRPr="00742C9A">
        <w:rPr>
          <w:sz w:val="24"/>
        </w:rPr>
        <w:t>、</w:t>
      </w:r>
      <w:r w:rsidRPr="00742C9A">
        <w:rPr>
          <w:sz w:val="24"/>
        </w:rPr>
        <w:t>10%</w:t>
      </w:r>
      <w:r w:rsidRPr="00742C9A">
        <w:rPr>
          <w:sz w:val="24"/>
        </w:rPr>
        <w:t>和</w:t>
      </w:r>
      <w:r w:rsidRPr="00742C9A">
        <w:rPr>
          <w:sz w:val="24"/>
        </w:rPr>
        <w:t>20%</w:t>
      </w:r>
      <w:r w:rsidRPr="00742C9A">
        <w:rPr>
          <w:sz w:val="24"/>
        </w:rPr>
        <w:t>南极磷虾粉的</w:t>
      </w:r>
      <w:r w:rsidRPr="00742C9A">
        <w:rPr>
          <w:sz w:val="24"/>
        </w:rPr>
        <w:t>3</w:t>
      </w:r>
      <w:r w:rsidRPr="00742C9A">
        <w:rPr>
          <w:sz w:val="24"/>
        </w:rPr>
        <w:t>种试验饲料，饲喂</w:t>
      </w:r>
      <w:r w:rsidRPr="00742C9A">
        <w:rPr>
          <w:rFonts w:hint="eastAsia"/>
          <w:sz w:val="24"/>
        </w:rPr>
        <w:t>中华绒螯蟹亲蟹</w:t>
      </w:r>
      <w:r w:rsidRPr="00742C9A">
        <w:rPr>
          <w:sz w:val="24"/>
        </w:rPr>
        <w:t>60d</w:t>
      </w:r>
      <w:r w:rsidRPr="00742C9A">
        <w:rPr>
          <w:sz w:val="24"/>
        </w:rPr>
        <w:t>后，结果表明，添加</w:t>
      </w:r>
      <w:r w:rsidRPr="00742C9A">
        <w:rPr>
          <w:sz w:val="24"/>
        </w:rPr>
        <w:t>20%</w:t>
      </w:r>
      <w:r w:rsidRPr="00742C9A">
        <w:rPr>
          <w:sz w:val="24"/>
        </w:rPr>
        <w:t>南极磷虾粉的亲蟹性腺重量和性腺指数均显著高于其他</w:t>
      </w:r>
      <w:r w:rsidRPr="00742C9A">
        <w:rPr>
          <w:rFonts w:hint="eastAsia"/>
          <w:sz w:val="24"/>
        </w:rPr>
        <w:t>组，且雌蟹的产卵量和繁殖力也均显著高于其他组。南极磷虾粉中含有丰富的磷脂和虾青素，可提高真鲷卵子品质</w:t>
      </w:r>
      <w:r w:rsidRPr="00C64610">
        <w:rPr>
          <w:sz w:val="24"/>
          <w:vertAlign w:val="superscript"/>
        </w:rPr>
        <w:t>[54]</w:t>
      </w:r>
      <w:r w:rsidRPr="00742C9A">
        <w:rPr>
          <w:sz w:val="24"/>
        </w:rPr>
        <w:t>。吴亚顺等</w:t>
      </w:r>
      <w:r w:rsidRPr="00C64610">
        <w:rPr>
          <w:sz w:val="24"/>
          <w:vertAlign w:val="superscript"/>
        </w:rPr>
        <w:t>[55]</w:t>
      </w:r>
      <w:r w:rsidRPr="00742C9A">
        <w:rPr>
          <w:sz w:val="24"/>
        </w:rPr>
        <w:t>，在凡纳滨对虾雌虾饲料中添加</w:t>
      </w:r>
      <w:r w:rsidRPr="00742C9A">
        <w:rPr>
          <w:sz w:val="24"/>
        </w:rPr>
        <w:t>80 mg/kg</w:t>
      </w:r>
      <w:r w:rsidRPr="00742C9A">
        <w:rPr>
          <w:sz w:val="24"/>
        </w:rPr>
        <w:t>虾青素，结果表明，虾青素能够</w:t>
      </w:r>
      <w:r w:rsidRPr="00742C9A">
        <w:rPr>
          <w:rFonts w:hint="eastAsia"/>
          <w:sz w:val="24"/>
        </w:rPr>
        <w:t>促进雌虾性腺发育及相关基因表达，提高雌虾繁殖性能。此外，磷虾粉中的牛磺酸也具有改善水产动物性腺发育的效果。现有研究表明，用牛磺酸含量为</w:t>
      </w:r>
      <w:r w:rsidRPr="00742C9A">
        <w:rPr>
          <w:sz w:val="24"/>
        </w:rPr>
        <w:t>0.5%</w:t>
      </w:r>
      <w:r w:rsidRPr="00742C9A">
        <w:rPr>
          <w:sz w:val="24"/>
        </w:rPr>
        <w:t>饲料投喂半滑舌鳎，可提高半滑舌鳎亲鱼繁殖性</w:t>
      </w:r>
      <w:r w:rsidRPr="00742C9A">
        <w:rPr>
          <w:rFonts w:hint="eastAsia"/>
          <w:sz w:val="24"/>
        </w:rPr>
        <w:t>能及促进亲鱼体内睾酮和雌二醇的分泌</w:t>
      </w:r>
      <w:r w:rsidRPr="00C64610">
        <w:rPr>
          <w:sz w:val="24"/>
          <w:vertAlign w:val="superscript"/>
        </w:rPr>
        <w:t>[51]</w:t>
      </w:r>
      <w:r w:rsidRPr="00742C9A">
        <w:rPr>
          <w:sz w:val="24"/>
        </w:rPr>
        <w:t>。</w:t>
      </w:r>
    </w:p>
    <w:p w14:paraId="29F6ECC1" w14:textId="77777777" w:rsidR="00400E98" w:rsidRPr="00742C9A" w:rsidRDefault="00400E98" w:rsidP="00400E98">
      <w:pPr>
        <w:spacing w:line="360" w:lineRule="auto"/>
        <w:rPr>
          <w:sz w:val="24"/>
        </w:rPr>
      </w:pPr>
      <w:r w:rsidRPr="00742C9A">
        <w:rPr>
          <w:sz w:val="24"/>
        </w:rPr>
        <w:t>3</w:t>
      </w:r>
      <w:r w:rsidRPr="00742C9A">
        <w:rPr>
          <w:sz w:val="24"/>
        </w:rPr>
        <w:t>南极磷虾粉在水产饲料中的应用研究</w:t>
      </w:r>
    </w:p>
    <w:p w14:paraId="00E57E49" w14:textId="77777777" w:rsidR="00400E98" w:rsidRPr="00742C9A" w:rsidRDefault="00400E98" w:rsidP="00400E98">
      <w:pPr>
        <w:spacing w:line="360" w:lineRule="auto"/>
        <w:rPr>
          <w:sz w:val="24"/>
        </w:rPr>
      </w:pPr>
      <w:r w:rsidRPr="00742C9A">
        <w:rPr>
          <w:sz w:val="24"/>
        </w:rPr>
        <w:t>3.1</w:t>
      </w:r>
      <w:r w:rsidRPr="00742C9A">
        <w:rPr>
          <w:sz w:val="24"/>
        </w:rPr>
        <w:t>在养殖鱼类中的应用</w:t>
      </w:r>
    </w:p>
    <w:p w14:paraId="7F2A65A5" w14:textId="77777777" w:rsidR="00400E98" w:rsidRDefault="00400E98" w:rsidP="00400E98">
      <w:pPr>
        <w:spacing w:line="360" w:lineRule="auto"/>
        <w:ind w:firstLineChars="200" w:firstLine="480"/>
        <w:rPr>
          <w:sz w:val="24"/>
        </w:rPr>
      </w:pPr>
      <w:r w:rsidRPr="00742C9A">
        <w:rPr>
          <w:rFonts w:hint="eastAsia"/>
          <w:sz w:val="24"/>
        </w:rPr>
        <w:t>南极磷虾粉的营养价值丰富，是优质的蛋白原料，同时也被认为是水产动物配合饲料中极好的诱食剂</w:t>
      </w:r>
      <w:r w:rsidRPr="00C64610">
        <w:rPr>
          <w:sz w:val="24"/>
          <w:vertAlign w:val="superscript"/>
        </w:rPr>
        <w:t>[56]</w:t>
      </w:r>
      <w:r w:rsidRPr="00742C9A">
        <w:rPr>
          <w:sz w:val="24"/>
        </w:rPr>
        <w:t>。关于优化水产动物生长性能方面，诸多前期研究发现南极磷虾粉具很好效果。据已有研究报道，</w:t>
      </w:r>
      <w:r w:rsidRPr="00742C9A">
        <w:rPr>
          <w:rFonts w:hint="eastAsia"/>
          <w:sz w:val="24"/>
        </w:rPr>
        <w:t>当南极磷虾粉替代鱼粉比例为</w:t>
      </w:r>
      <w:r w:rsidRPr="00742C9A">
        <w:rPr>
          <w:sz w:val="24"/>
        </w:rPr>
        <w:t>30%~40%</w:t>
      </w:r>
      <w:r w:rsidRPr="00742C9A">
        <w:rPr>
          <w:sz w:val="24"/>
        </w:rPr>
        <w:t>时，斑点大比目鱼（</w:t>
      </w:r>
      <w:proofErr w:type="spellStart"/>
      <w:r w:rsidRPr="00902749">
        <w:rPr>
          <w:i/>
          <w:iCs/>
          <w:sz w:val="24"/>
        </w:rPr>
        <w:t>Verasper</w:t>
      </w:r>
      <w:proofErr w:type="spellEnd"/>
      <w:r w:rsidRPr="00902749">
        <w:rPr>
          <w:i/>
          <w:iCs/>
          <w:sz w:val="24"/>
        </w:rPr>
        <w:t xml:space="preserve"> variegatus</w:t>
      </w:r>
      <w:r w:rsidRPr="00742C9A">
        <w:rPr>
          <w:sz w:val="24"/>
        </w:rPr>
        <w:t>）幼鱼的特定生长率</w:t>
      </w:r>
      <w:r w:rsidRPr="00742C9A">
        <w:rPr>
          <w:rFonts w:hint="eastAsia"/>
          <w:sz w:val="24"/>
        </w:rPr>
        <w:t>和采食量较对照组明显提高</w:t>
      </w:r>
      <w:r w:rsidRPr="00C64610">
        <w:rPr>
          <w:sz w:val="24"/>
          <w:vertAlign w:val="superscript"/>
        </w:rPr>
        <w:t>[57]</w:t>
      </w:r>
      <w:r w:rsidRPr="00742C9A">
        <w:rPr>
          <w:sz w:val="24"/>
        </w:rPr>
        <w:t>。与此类似，研究发现饲料中添加适量的南极磷虾粉时，欧洲鲈</w:t>
      </w:r>
      <w:r w:rsidRPr="00742C9A">
        <w:rPr>
          <w:rFonts w:hint="eastAsia"/>
          <w:sz w:val="24"/>
        </w:rPr>
        <w:t>（</w:t>
      </w:r>
      <w:proofErr w:type="spellStart"/>
      <w:r w:rsidRPr="00902749">
        <w:rPr>
          <w:i/>
          <w:iCs/>
          <w:sz w:val="24"/>
        </w:rPr>
        <w:t>Dicentrarchus</w:t>
      </w:r>
      <w:proofErr w:type="spellEnd"/>
      <w:r w:rsidRPr="00902749">
        <w:rPr>
          <w:i/>
          <w:iCs/>
          <w:sz w:val="24"/>
        </w:rPr>
        <w:t xml:space="preserve"> </w:t>
      </w:r>
      <w:proofErr w:type="spellStart"/>
      <w:r w:rsidRPr="00902749">
        <w:rPr>
          <w:i/>
          <w:iCs/>
          <w:sz w:val="24"/>
        </w:rPr>
        <w:t>labrax</w:t>
      </w:r>
      <w:proofErr w:type="spellEnd"/>
      <w:r w:rsidRPr="00742C9A">
        <w:rPr>
          <w:sz w:val="24"/>
        </w:rPr>
        <w:t>）的生长性能显著提高</w:t>
      </w:r>
      <w:r w:rsidRPr="00C64610">
        <w:rPr>
          <w:sz w:val="24"/>
          <w:vertAlign w:val="superscript"/>
        </w:rPr>
        <w:t>[58]</w:t>
      </w:r>
      <w:r w:rsidRPr="00742C9A">
        <w:rPr>
          <w:sz w:val="24"/>
        </w:rPr>
        <w:t>。用</w:t>
      </w:r>
      <w:r w:rsidRPr="00742C9A">
        <w:rPr>
          <w:sz w:val="24"/>
        </w:rPr>
        <w:t>2.5%</w:t>
      </w:r>
      <w:r w:rsidRPr="00742C9A">
        <w:rPr>
          <w:sz w:val="24"/>
        </w:rPr>
        <w:t>南极磷虾粉替代饲料中部分鱼粉，可提高黄</w:t>
      </w:r>
      <w:r w:rsidRPr="00742C9A">
        <w:rPr>
          <w:rFonts w:hint="eastAsia"/>
          <w:sz w:val="24"/>
        </w:rPr>
        <w:t>颡鱼脏体比以及增重率</w:t>
      </w:r>
      <w:r w:rsidRPr="00C64610">
        <w:rPr>
          <w:sz w:val="24"/>
          <w:vertAlign w:val="superscript"/>
        </w:rPr>
        <w:t>[45]</w:t>
      </w:r>
      <w:r w:rsidRPr="00742C9A">
        <w:rPr>
          <w:sz w:val="24"/>
        </w:rPr>
        <w:t>。上述研究表明，南极磷虾粉作为一种优质饲料原料，适宜添加或替代饲料部</w:t>
      </w:r>
      <w:r w:rsidRPr="00742C9A">
        <w:rPr>
          <w:rFonts w:hint="eastAsia"/>
          <w:sz w:val="24"/>
        </w:rPr>
        <w:t>分鱼粉对水产动物有良好的诱食效果，从而改善水产动物的生长性能。</w:t>
      </w:r>
    </w:p>
    <w:p w14:paraId="188A74D0" w14:textId="77777777" w:rsidR="00400E98" w:rsidRPr="00742C9A" w:rsidRDefault="00400E98" w:rsidP="00400E98">
      <w:pPr>
        <w:spacing w:line="360" w:lineRule="auto"/>
        <w:ind w:firstLineChars="200" w:firstLine="480"/>
        <w:rPr>
          <w:sz w:val="24"/>
        </w:rPr>
      </w:pPr>
      <w:r w:rsidRPr="00742C9A">
        <w:rPr>
          <w:rFonts w:hint="eastAsia"/>
          <w:sz w:val="24"/>
        </w:rPr>
        <w:t>此外，研究发现南极磷虾粉具增强水产动物免疫和抗氧化机能，改善肌肉品质、提升</w:t>
      </w:r>
      <w:r w:rsidRPr="00742C9A">
        <w:rPr>
          <w:rFonts w:hint="eastAsia"/>
          <w:sz w:val="24"/>
        </w:rPr>
        <w:lastRenderedPageBreak/>
        <w:t>繁殖性能等效果。杨程等</w:t>
      </w:r>
      <w:r w:rsidRPr="00C64610">
        <w:rPr>
          <w:sz w:val="24"/>
          <w:vertAlign w:val="superscript"/>
        </w:rPr>
        <w:t>[59]</w:t>
      </w:r>
      <w:r w:rsidRPr="00742C9A">
        <w:rPr>
          <w:sz w:val="24"/>
        </w:rPr>
        <w:t>研究表明，南极磷虾粉替代饲料中鱼粉能够提高银鲳（</w:t>
      </w:r>
      <w:proofErr w:type="spellStart"/>
      <w:r w:rsidRPr="00902749">
        <w:rPr>
          <w:i/>
          <w:iCs/>
          <w:sz w:val="24"/>
        </w:rPr>
        <w:t>Pampus</w:t>
      </w:r>
      <w:proofErr w:type="spellEnd"/>
      <w:r w:rsidRPr="00902749">
        <w:rPr>
          <w:i/>
          <w:iCs/>
          <w:sz w:val="24"/>
        </w:rPr>
        <w:t xml:space="preserve"> argenteus</w:t>
      </w:r>
      <w:r w:rsidRPr="00742C9A">
        <w:rPr>
          <w:sz w:val="24"/>
        </w:rPr>
        <w:t>）性腺指数，</w:t>
      </w:r>
      <w:r w:rsidRPr="00742C9A">
        <w:rPr>
          <w:rFonts w:hint="eastAsia"/>
          <w:sz w:val="24"/>
        </w:rPr>
        <w:t>南极磷虾粉替代</w:t>
      </w:r>
      <w:r w:rsidRPr="00742C9A">
        <w:rPr>
          <w:sz w:val="24"/>
        </w:rPr>
        <w:t>20%</w:t>
      </w:r>
      <w:r w:rsidRPr="00742C9A">
        <w:rPr>
          <w:sz w:val="24"/>
        </w:rPr>
        <w:t>鱼粉后银鲳性腺卵黄原蛋白（</w:t>
      </w:r>
      <w:r w:rsidRPr="00742C9A">
        <w:rPr>
          <w:sz w:val="24"/>
        </w:rPr>
        <w:t>Vg</w:t>
      </w:r>
      <w:r w:rsidRPr="00742C9A">
        <w:rPr>
          <w:sz w:val="24"/>
        </w:rPr>
        <w:t>）含量显著提高。在亲鱼强化料中添加南极磷虾，</w:t>
      </w:r>
      <w:r w:rsidRPr="00742C9A">
        <w:rPr>
          <w:rFonts w:hint="eastAsia"/>
          <w:sz w:val="24"/>
        </w:rPr>
        <w:t>可有效提高真鲷亲鱼产卵后上浮卵的比例和正常鱼苗的数量</w:t>
      </w:r>
      <w:r w:rsidRPr="00C64610">
        <w:rPr>
          <w:sz w:val="24"/>
          <w:vertAlign w:val="superscript"/>
        </w:rPr>
        <w:t>[60]</w:t>
      </w:r>
      <w:r w:rsidRPr="00742C9A">
        <w:rPr>
          <w:sz w:val="24"/>
        </w:rPr>
        <w:t>。符鹏等</w:t>
      </w:r>
      <w:r w:rsidRPr="00C64610">
        <w:rPr>
          <w:sz w:val="24"/>
          <w:vertAlign w:val="superscript"/>
        </w:rPr>
        <w:t>[61]</w:t>
      </w:r>
      <w:r w:rsidRPr="00742C9A">
        <w:rPr>
          <w:sz w:val="24"/>
        </w:rPr>
        <w:t>研究表明，在南极磷虾粉替代</w:t>
      </w:r>
      <w:r w:rsidRPr="00742C9A">
        <w:rPr>
          <w:sz w:val="24"/>
        </w:rPr>
        <w:t>20%</w:t>
      </w:r>
      <w:r w:rsidRPr="00742C9A">
        <w:rPr>
          <w:sz w:val="24"/>
        </w:rPr>
        <w:t>鱼粉的黄鳝饲料试验中，雌性黄鳝（</w:t>
      </w:r>
      <w:proofErr w:type="spellStart"/>
      <w:r w:rsidRPr="00902749">
        <w:rPr>
          <w:i/>
          <w:iCs/>
          <w:sz w:val="24"/>
        </w:rPr>
        <w:t>Monopterus</w:t>
      </w:r>
      <w:proofErr w:type="spellEnd"/>
      <w:r w:rsidRPr="00902749">
        <w:rPr>
          <w:i/>
          <w:iCs/>
          <w:sz w:val="24"/>
        </w:rPr>
        <w:t xml:space="preserve"> albus</w:t>
      </w:r>
      <w:r w:rsidRPr="00742C9A">
        <w:rPr>
          <w:sz w:val="24"/>
        </w:rPr>
        <w:t>）的性腺发育、繁殖性能及抗氧化能力均不</w:t>
      </w:r>
      <w:r w:rsidRPr="00742C9A">
        <w:rPr>
          <w:rFonts w:hint="eastAsia"/>
          <w:sz w:val="24"/>
        </w:rPr>
        <w:t>受影响。由此表明，南极磷虾粉部分替代饲料鱼粉可能会对大多数水产动物性腺发育产生明显影响，这可能与其为亲本提供充足营养素，从而提高其繁殖能力有关，但也有少部分种类对南极磷虾粉反应的效果不明显。这可能是由于南极磷虾粉替代水平下饲料中的几丁质和氟含量较多所致。南极磷虾粉对水产动物作用效果还有待进一步丰富。</w:t>
      </w:r>
    </w:p>
    <w:p w14:paraId="12B016F9" w14:textId="77777777" w:rsidR="00400E98" w:rsidRPr="00742C9A" w:rsidRDefault="00400E98" w:rsidP="00400E98">
      <w:pPr>
        <w:spacing w:line="360" w:lineRule="auto"/>
        <w:rPr>
          <w:sz w:val="24"/>
        </w:rPr>
      </w:pPr>
      <w:r w:rsidRPr="00742C9A">
        <w:rPr>
          <w:sz w:val="24"/>
        </w:rPr>
        <w:t>3.2</w:t>
      </w:r>
      <w:r w:rsidRPr="00742C9A">
        <w:rPr>
          <w:sz w:val="24"/>
        </w:rPr>
        <w:t>在虾蟹类中的应用</w:t>
      </w:r>
    </w:p>
    <w:p w14:paraId="086E05E8" w14:textId="77777777" w:rsidR="00400E98" w:rsidRPr="00742C9A" w:rsidRDefault="00400E98" w:rsidP="00400E98">
      <w:pPr>
        <w:spacing w:line="360" w:lineRule="auto"/>
        <w:ind w:firstLineChars="200" w:firstLine="480"/>
        <w:rPr>
          <w:sz w:val="24"/>
        </w:rPr>
      </w:pPr>
      <w:r w:rsidRPr="00742C9A">
        <w:rPr>
          <w:rFonts w:hint="eastAsia"/>
          <w:sz w:val="24"/>
        </w:rPr>
        <w:t>南极磷虾粉不仅对鱼类生长性能有着积极效果，同时对甲壳类的生长发育有着积极的促进作用。王馨悦</w:t>
      </w:r>
      <w:r w:rsidRPr="00C64610">
        <w:rPr>
          <w:sz w:val="24"/>
          <w:vertAlign w:val="superscript"/>
        </w:rPr>
        <w:t>[62]</w:t>
      </w:r>
      <w:r w:rsidRPr="00742C9A">
        <w:rPr>
          <w:sz w:val="24"/>
        </w:rPr>
        <w:t>研究发现，饲料中</w:t>
      </w:r>
      <w:r w:rsidRPr="00742C9A">
        <w:rPr>
          <w:sz w:val="24"/>
        </w:rPr>
        <w:t>100%</w:t>
      </w:r>
      <w:r w:rsidRPr="00742C9A">
        <w:rPr>
          <w:sz w:val="24"/>
        </w:rPr>
        <w:t>南极磷虾粉替代鱼粉可显著提高中华绒螯蟹幼蟹饲料利用率、蜕皮频率</w:t>
      </w:r>
      <w:r w:rsidRPr="00742C9A">
        <w:rPr>
          <w:rFonts w:hint="eastAsia"/>
          <w:sz w:val="24"/>
        </w:rPr>
        <w:t>及抗氧化能力，且不对其生长性能产生负面影响。</w:t>
      </w:r>
      <w:r w:rsidRPr="00742C9A">
        <w:rPr>
          <w:sz w:val="24"/>
        </w:rPr>
        <w:t>Shan</w:t>
      </w:r>
      <w:r w:rsidRPr="00742C9A">
        <w:rPr>
          <w:sz w:val="24"/>
        </w:rPr>
        <w:t>等</w:t>
      </w:r>
      <w:r w:rsidRPr="00C64610">
        <w:rPr>
          <w:sz w:val="24"/>
          <w:vertAlign w:val="superscript"/>
        </w:rPr>
        <w:t>[63]</w:t>
      </w:r>
      <w:r w:rsidRPr="00742C9A">
        <w:rPr>
          <w:sz w:val="24"/>
        </w:rPr>
        <w:t>研究发现，饲料中添加</w:t>
      </w:r>
      <w:r w:rsidRPr="00742C9A">
        <w:rPr>
          <w:sz w:val="24"/>
        </w:rPr>
        <w:t>10%~30%</w:t>
      </w:r>
      <w:r w:rsidRPr="00742C9A">
        <w:rPr>
          <w:sz w:val="24"/>
        </w:rPr>
        <w:t>南极磷</w:t>
      </w:r>
      <w:r w:rsidRPr="00742C9A">
        <w:rPr>
          <w:rFonts w:hint="eastAsia"/>
          <w:sz w:val="24"/>
        </w:rPr>
        <w:t>虾粉替代鱼粉可显著提高凡纳滨对虾生长性能。研究表明，从饲料利用角度分析，凡纳滨对虾饲料中南极磷虾粉替代鱼粉适宜水平分别为</w:t>
      </w:r>
      <w:r w:rsidRPr="00742C9A">
        <w:rPr>
          <w:sz w:val="24"/>
        </w:rPr>
        <w:t>52.78%</w:t>
      </w:r>
      <w:r w:rsidRPr="00742C9A">
        <w:rPr>
          <w:sz w:val="24"/>
        </w:rPr>
        <w:t>、</w:t>
      </w:r>
      <w:r w:rsidRPr="00742C9A">
        <w:rPr>
          <w:sz w:val="24"/>
        </w:rPr>
        <w:t>68.50%</w:t>
      </w:r>
      <w:r w:rsidRPr="00742C9A">
        <w:rPr>
          <w:sz w:val="24"/>
        </w:rPr>
        <w:t>和</w:t>
      </w:r>
      <w:r w:rsidRPr="00742C9A">
        <w:rPr>
          <w:sz w:val="24"/>
        </w:rPr>
        <w:t>47.41%</w:t>
      </w:r>
      <w:r w:rsidRPr="00C64610">
        <w:rPr>
          <w:sz w:val="24"/>
          <w:vertAlign w:val="superscript"/>
        </w:rPr>
        <w:t>[31]</w:t>
      </w:r>
      <w:r w:rsidRPr="00742C9A">
        <w:rPr>
          <w:sz w:val="24"/>
        </w:rPr>
        <w:t>。同时有研究者基于克氏原螯虾生长</w:t>
      </w:r>
      <w:r w:rsidRPr="00742C9A">
        <w:rPr>
          <w:rFonts w:hint="eastAsia"/>
          <w:sz w:val="24"/>
        </w:rPr>
        <w:t>性能和非特异性免疫能力的提高效果，认为南极磷虾粉替代鱼粉的最佳比例为</w:t>
      </w:r>
      <w:r w:rsidRPr="00742C9A">
        <w:rPr>
          <w:sz w:val="24"/>
        </w:rPr>
        <w:t>50%</w:t>
      </w:r>
      <w:r w:rsidRPr="00C64610">
        <w:rPr>
          <w:sz w:val="24"/>
          <w:vertAlign w:val="superscript"/>
        </w:rPr>
        <w:t>[64]</w:t>
      </w:r>
      <w:r w:rsidRPr="00742C9A">
        <w:rPr>
          <w:sz w:val="24"/>
        </w:rPr>
        <w:t>。用</w:t>
      </w:r>
      <w:r w:rsidRPr="00742C9A">
        <w:rPr>
          <w:sz w:val="24"/>
        </w:rPr>
        <w:t>3%</w:t>
      </w:r>
      <w:r w:rsidRPr="00742C9A">
        <w:rPr>
          <w:sz w:val="24"/>
        </w:rPr>
        <w:t>南极磷虾</w:t>
      </w:r>
      <w:r w:rsidRPr="00742C9A">
        <w:rPr>
          <w:rFonts w:hint="eastAsia"/>
          <w:sz w:val="24"/>
        </w:rPr>
        <w:t>粉替代凡纳滨对虾饲料中的鱼粉，结果发现，试验组饲料成本（</w:t>
      </w:r>
      <w:r w:rsidRPr="00742C9A">
        <w:rPr>
          <w:sz w:val="24"/>
        </w:rPr>
        <w:t>1.01</w:t>
      </w:r>
      <w:r w:rsidRPr="00742C9A">
        <w:rPr>
          <w:sz w:val="24"/>
        </w:rPr>
        <w:t>美元</w:t>
      </w:r>
      <w:r w:rsidRPr="00742C9A">
        <w:rPr>
          <w:sz w:val="24"/>
        </w:rPr>
        <w:t>/kg</w:t>
      </w:r>
      <w:r w:rsidRPr="00742C9A">
        <w:rPr>
          <w:sz w:val="24"/>
        </w:rPr>
        <w:t>对虾）显著低于对照组</w:t>
      </w:r>
      <w:r w:rsidRPr="00742C9A">
        <w:rPr>
          <w:rFonts w:hint="eastAsia"/>
          <w:sz w:val="24"/>
        </w:rPr>
        <w:t>（</w:t>
      </w:r>
      <w:r w:rsidRPr="00742C9A">
        <w:rPr>
          <w:sz w:val="24"/>
        </w:rPr>
        <w:t>1.11</w:t>
      </w:r>
      <w:r w:rsidRPr="00742C9A">
        <w:rPr>
          <w:sz w:val="24"/>
        </w:rPr>
        <w:t>美元</w:t>
      </w:r>
      <w:r w:rsidRPr="00742C9A">
        <w:rPr>
          <w:sz w:val="24"/>
        </w:rPr>
        <w:t>/kg</w:t>
      </w:r>
      <w:r w:rsidRPr="00742C9A">
        <w:rPr>
          <w:sz w:val="24"/>
        </w:rPr>
        <w:t>对虾）</w:t>
      </w:r>
      <w:r w:rsidRPr="00C64610">
        <w:rPr>
          <w:sz w:val="24"/>
          <w:vertAlign w:val="superscript"/>
        </w:rPr>
        <w:t>[65]</w:t>
      </w:r>
      <w:r w:rsidRPr="00742C9A">
        <w:rPr>
          <w:sz w:val="24"/>
        </w:rPr>
        <w:t>。南极磷虾粉在甲壳动物中研究的相关报道与鱼类相比明显要少，其在甲壳动</w:t>
      </w:r>
      <w:r w:rsidRPr="00742C9A">
        <w:rPr>
          <w:rFonts w:hint="eastAsia"/>
          <w:sz w:val="24"/>
        </w:rPr>
        <w:t>物中的应用参数及作用机制亟需完善。</w:t>
      </w:r>
    </w:p>
    <w:p w14:paraId="7FE558A3" w14:textId="77777777" w:rsidR="00400E98" w:rsidRPr="00742C9A" w:rsidRDefault="00400E98" w:rsidP="00400E98">
      <w:pPr>
        <w:spacing w:line="360" w:lineRule="auto"/>
        <w:rPr>
          <w:sz w:val="24"/>
        </w:rPr>
      </w:pPr>
      <w:r w:rsidRPr="00742C9A">
        <w:rPr>
          <w:sz w:val="24"/>
        </w:rPr>
        <w:t>4</w:t>
      </w:r>
      <w:r w:rsidRPr="00742C9A">
        <w:rPr>
          <w:sz w:val="24"/>
        </w:rPr>
        <w:t>南极磷虾粉在水产动物饲料中应用的限制性问题</w:t>
      </w:r>
    </w:p>
    <w:p w14:paraId="1C8670BC" w14:textId="77777777" w:rsidR="00400E98" w:rsidRPr="00742C9A" w:rsidRDefault="00400E98" w:rsidP="00400E98">
      <w:pPr>
        <w:spacing w:line="360" w:lineRule="auto"/>
        <w:rPr>
          <w:sz w:val="24"/>
        </w:rPr>
      </w:pPr>
      <w:r w:rsidRPr="00742C9A">
        <w:rPr>
          <w:sz w:val="24"/>
        </w:rPr>
        <w:t>4.1</w:t>
      </w:r>
      <w:r w:rsidRPr="00742C9A">
        <w:rPr>
          <w:sz w:val="24"/>
        </w:rPr>
        <w:t>氟元素对鱼虾类的影响</w:t>
      </w:r>
    </w:p>
    <w:p w14:paraId="6C9F982A" w14:textId="77777777" w:rsidR="00400E98" w:rsidRPr="00902749" w:rsidRDefault="00400E98" w:rsidP="00400E98">
      <w:pPr>
        <w:spacing w:line="360" w:lineRule="auto"/>
        <w:ind w:firstLineChars="200" w:firstLine="480"/>
        <w:rPr>
          <w:sz w:val="24"/>
        </w:rPr>
      </w:pPr>
      <w:r w:rsidRPr="00742C9A">
        <w:rPr>
          <w:rFonts w:hint="eastAsia"/>
          <w:sz w:val="24"/>
        </w:rPr>
        <w:t>南极磷虾的氟含量较高，并主要富集于甲壳中，这是限制其作为饲料原料的一个关键因素。</w:t>
      </w:r>
      <w:r w:rsidRPr="00742C9A">
        <w:rPr>
          <w:sz w:val="24"/>
        </w:rPr>
        <w:t>Yoshitomi</w:t>
      </w:r>
      <w:r w:rsidRPr="00742C9A">
        <w:rPr>
          <w:sz w:val="24"/>
        </w:rPr>
        <w:t>等</w:t>
      </w:r>
      <w:r w:rsidRPr="00C64610">
        <w:rPr>
          <w:sz w:val="24"/>
          <w:vertAlign w:val="superscript"/>
        </w:rPr>
        <w:t>[30]</w:t>
      </w:r>
      <w:r w:rsidRPr="00742C9A">
        <w:rPr>
          <w:sz w:val="24"/>
        </w:rPr>
        <w:t>研究发现，南极磷虾全虾磷虾粉的氟含量为</w:t>
      </w:r>
      <w:r w:rsidRPr="00742C9A">
        <w:rPr>
          <w:sz w:val="24"/>
        </w:rPr>
        <w:t>870 mg/kg</w:t>
      </w:r>
      <w:r w:rsidRPr="00742C9A">
        <w:rPr>
          <w:sz w:val="24"/>
        </w:rPr>
        <w:t>，脱壳磷虾粉的氟含量为</w:t>
      </w:r>
      <w:r w:rsidRPr="00742C9A">
        <w:rPr>
          <w:sz w:val="24"/>
        </w:rPr>
        <w:t>230 mg/kg</w:t>
      </w:r>
      <w:r w:rsidRPr="00742C9A">
        <w:rPr>
          <w:sz w:val="24"/>
        </w:rPr>
        <w:t>，而使用全虾磷虾粉和脱壳磷虾粉替代黄尾鰤饲料中鱼粉，结果发现，全虾磷虾粉替代鱼粉会抑</w:t>
      </w:r>
      <w:r w:rsidRPr="00742C9A">
        <w:rPr>
          <w:rFonts w:hint="eastAsia"/>
          <w:sz w:val="24"/>
        </w:rPr>
        <w:t>制黄尾鰤的生长发育，而用脱壳磷虾粉替代鱼粉则没发现对黄尾鰤生长产生不良影响。而将南极磷虾进行脱壳处理后，制成低氟南极磷虾粉（氟含量为</w:t>
      </w:r>
      <w:r w:rsidRPr="00742C9A">
        <w:rPr>
          <w:sz w:val="24"/>
        </w:rPr>
        <w:t>230mg/kg</w:t>
      </w:r>
      <w:r w:rsidRPr="00742C9A">
        <w:rPr>
          <w:sz w:val="24"/>
        </w:rPr>
        <w:t>），完全替代饲料中的鱼粉，淡水养殖虹鳟</w:t>
      </w:r>
      <w:r w:rsidRPr="00742C9A">
        <w:rPr>
          <w:rFonts w:hint="eastAsia"/>
          <w:sz w:val="24"/>
        </w:rPr>
        <w:t>鱼的采食量、饲料效率、特定生长率和肝体指数与鱼粉组相比无显著差异。</w:t>
      </w:r>
      <w:r w:rsidRPr="00742C9A">
        <w:rPr>
          <w:sz w:val="24"/>
        </w:rPr>
        <w:t>Hansen</w:t>
      </w:r>
      <w:r w:rsidRPr="00742C9A">
        <w:rPr>
          <w:sz w:val="24"/>
        </w:rPr>
        <w:t>等</w:t>
      </w:r>
      <w:r w:rsidRPr="00C64610">
        <w:rPr>
          <w:sz w:val="24"/>
          <w:vertAlign w:val="superscript"/>
        </w:rPr>
        <w:t>[8]</w:t>
      </w:r>
      <w:r w:rsidRPr="00742C9A">
        <w:rPr>
          <w:sz w:val="24"/>
        </w:rPr>
        <w:t>研究发现，用去</w:t>
      </w:r>
      <w:r w:rsidRPr="00742C9A">
        <w:rPr>
          <w:rFonts w:hint="eastAsia"/>
          <w:sz w:val="24"/>
        </w:rPr>
        <w:t>壳磷虾粉替代饲料中的</w:t>
      </w:r>
      <w:r w:rsidRPr="00742C9A">
        <w:rPr>
          <w:rFonts w:hint="eastAsia"/>
          <w:sz w:val="24"/>
        </w:rPr>
        <w:lastRenderedPageBreak/>
        <w:t>鱼粉，大西洋鲑生长速度和脂肪消化率均高于全磷虾粉替代鱼粉组。因此，脱壳处理将有利于南极磷虾氟含量减少，改善南极磷虾粉在水产饲料中的实际利用效果，从而减轻水产动物对氟的过量摄入造成生长抑制。氟通常沉积在水产养殖动物的骨骼、鳍条和鳃等组织器官中。研究发现，大西洋鲑饲料中添加</w:t>
      </w:r>
      <w:r w:rsidRPr="00742C9A">
        <w:rPr>
          <w:sz w:val="24"/>
        </w:rPr>
        <w:t>30%</w:t>
      </w:r>
      <w:r w:rsidRPr="00742C9A">
        <w:rPr>
          <w:sz w:val="24"/>
        </w:rPr>
        <w:t>南极磷虾粉替代鱼粉</w:t>
      </w:r>
      <w:r w:rsidRPr="00742C9A">
        <w:rPr>
          <w:sz w:val="24"/>
        </w:rPr>
        <w:t>(</w:t>
      </w:r>
      <w:r w:rsidRPr="00742C9A">
        <w:rPr>
          <w:sz w:val="24"/>
        </w:rPr>
        <w:t>饲料中氟含量为</w:t>
      </w:r>
      <w:r w:rsidRPr="00742C9A">
        <w:rPr>
          <w:sz w:val="24"/>
        </w:rPr>
        <w:t>358mg/kg)</w:t>
      </w:r>
      <w:r w:rsidRPr="00742C9A">
        <w:rPr>
          <w:sz w:val="24"/>
        </w:rPr>
        <w:t>，结果表明，饲喂</w:t>
      </w:r>
      <w:r w:rsidRPr="00742C9A">
        <w:rPr>
          <w:sz w:val="24"/>
        </w:rPr>
        <w:t>12</w:t>
      </w:r>
      <w:r w:rsidRPr="00742C9A">
        <w:rPr>
          <w:sz w:val="24"/>
        </w:rPr>
        <w:t>周后</w:t>
      </w:r>
      <w:r w:rsidRPr="00742C9A">
        <w:rPr>
          <w:rFonts w:hint="eastAsia"/>
          <w:sz w:val="24"/>
        </w:rPr>
        <w:t>大西洋鲑肌肉和骨骼中的氟含量分别仅为</w:t>
      </w:r>
      <w:r w:rsidRPr="00742C9A">
        <w:rPr>
          <w:sz w:val="24"/>
        </w:rPr>
        <w:t>0.90</w:t>
      </w:r>
      <w:r w:rsidRPr="00742C9A">
        <w:rPr>
          <w:sz w:val="24"/>
        </w:rPr>
        <w:t>、</w:t>
      </w:r>
      <w:r w:rsidRPr="00742C9A">
        <w:rPr>
          <w:sz w:val="24"/>
        </w:rPr>
        <w:t>6.90 mg/kg</w:t>
      </w:r>
      <w:r w:rsidRPr="00C64610">
        <w:rPr>
          <w:sz w:val="24"/>
          <w:vertAlign w:val="superscript"/>
        </w:rPr>
        <w:t>[32]</w:t>
      </w:r>
      <w:r w:rsidRPr="00742C9A">
        <w:rPr>
          <w:sz w:val="24"/>
        </w:rPr>
        <w:t>。</w:t>
      </w:r>
      <w:r w:rsidRPr="00742C9A">
        <w:rPr>
          <w:sz w:val="24"/>
        </w:rPr>
        <w:t>Yoshitomi</w:t>
      </w:r>
      <w:r w:rsidRPr="00742C9A">
        <w:rPr>
          <w:sz w:val="24"/>
        </w:rPr>
        <w:t>等</w:t>
      </w:r>
      <w:r w:rsidRPr="00C64610">
        <w:rPr>
          <w:sz w:val="24"/>
          <w:vertAlign w:val="superscript"/>
        </w:rPr>
        <w:t>[66]</w:t>
      </w:r>
      <w:r w:rsidRPr="00742C9A">
        <w:rPr>
          <w:sz w:val="24"/>
        </w:rPr>
        <w:t>使用去壳磷虾粉</w:t>
      </w:r>
      <w:r w:rsidRPr="00742C9A">
        <w:rPr>
          <w:sz w:val="24"/>
        </w:rPr>
        <w:t>(</w:t>
      </w:r>
      <w:r w:rsidRPr="00742C9A">
        <w:rPr>
          <w:sz w:val="24"/>
        </w:rPr>
        <w:t>氟含</w:t>
      </w:r>
      <w:r w:rsidRPr="00742C9A">
        <w:rPr>
          <w:rFonts w:hint="eastAsia"/>
          <w:sz w:val="24"/>
        </w:rPr>
        <w:t>量为</w:t>
      </w:r>
      <w:r w:rsidRPr="00742C9A">
        <w:rPr>
          <w:sz w:val="24"/>
        </w:rPr>
        <w:t>230mg/kg)</w:t>
      </w:r>
      <w:r w:rsidRPr="00742C9A">
        <w:rPr>
          <w:sz w:val="24"/>
        </w:rPr>
        <w:t>替代鱼粉饲喂淡水中的虹鳟</w:t>
      </w:r>
      <w:r w:rsidRPr="00742C9A">
        <w:rPr>
          <w:sz w:val="24"/>
        </w:rPr>
        <w:t>95d</w:t>
      </w:r>
      <w:r w:rsidRPr="00742C9A">
        <w:rPr>
          <w:sz w:val="24"/>
        </w:rPr>
        <w:t>后，其肌肉组织氟含量均低于</w:t>
      </w:r>
      <w:r w:rsidRPr="00742C9A">
        <w:rPr>
          <w:sz w:val="24"/>
        </w:rPr>
        <w:t>1mg/kg</w:t>
      </w:r>
      <w:r w:rsidRPr="00742C9A">
        <w:rPr>
          <w:sz w:val="24"/>
        </w:rPr>
        <w:t>，骨骼的氟含</w:t>
      </w:r>
      <w:r w:rsidRPr="00742C9A">
        <w:rPr>
          <w:rFonts w:hint="eastAsia"/>
          <w:sz w:val="24"/>
        </w:rPr>
        <w:t>量为</w:t>
      </w:r>
      <w:r w:rsidRPr="00742C9A">
        <w:rPr>
          <w:sz w:val="24"/>
        </w:rPr>
        <w:t>220~420mg/kg</w:t>
      </w:r>
      <w:r w:rsidRPr="00742C9A">
        <w:rPr>
          <w:sz w:val="24"/>
        </w:rPr>
        <w:t>，由此表明，氟主要沉积在鱼类骨骼中。有研究者认为，海水鱼所摄入的氟能够</w:t>
      </w:r>
      <w:r w:rsidRPr="00742C9A">
        <w:rPr>
          <w:rFonts w:hint="eastAsia"/>
          <w:sz w:val="24"/>
        </w:rPr>
        <w:t>与海水中的钙、镁离子在肠道中结合，降低氟的生物利用性，而淡水鱼则相反，因此氟离子更容易沉积在淡水鱼类中。因此，在淡水养殖的虹鳟鱼中，添加钙离子是减少氟摄入量的有效途径之一，可通过提高钙摄入而降低鱼体血清中的氟离子浓度及减少氟在各组织的累积</w:t>
      </w:r>
      <w:r w:rsidRPr="00C64610">
        <w:rPr>
          <w:sz w:val="24"/>
          <w:vertAlign w:val="superscript"/>
        </w:rPr>
        <w:t>[67]</w:t>
      </w:r>
      <w:r w:rsidRPr="00742C9A">
        <w:rPr>
          <w:sz w:val="24"/>
        </w:rPr>
        <w:t>。氟化物的作用机理主要在于氟离</w:t>
      </w:r>
      <w:r w:rsidRPr="00902749">
        <w:rPr>
          <w:rFonts w:hint="eastAsia"/>
          <w:sz w:val="24"/>
        </w:rPr>
        <w:t>子作为酶毒素，能够抑制生物体内的酶活性，并最终中断糖酵解和蛋白质合成等代谢过程</w:t>
      </w:r>
      <w:r w:rsidRPr="00C64610">
        <w:rPr>
          <w:sz w:val="24"/>
          <w:vertAlign w:val="superscript"/>
        </w:rPr>
        <w:t>[68]</w:t>
      </w:r>
      <w:r w:rsidRPr="00902749">
        <w:rPr>
          <w:sz w:val="24"/>
        </w:rPr>
        <w:t>。</w:t>
      </w:r>
      <w:r w:rsidRPr="00902749">
        <w:rPr>
          <w:sz w:val="24"/>
        </w:rPr>
        <w:t>Okamura</w:t>
      </w:r>
      <w:r w:rsidRPr="00902749">
        <w:rPr>
          <w:rFonts w:hint="eastAsia"/>
          <w:sz w:val="24"/>
        </w:rPr>
        <w:t>等</w:t>
      </w:r>
      <w:r w:rsidRPr="00C64610">
        <w:rPr>
          <w:sz w:val="24"/>
          <w:vertAlign w:val="superscript"/>
        </w:rPr>
        <w:t>[69]</w:t>
      </w:r>
      <w:r w:rsidRPr="00902749">
        <w:rPr>
          <w:sz w:val="24"/>
        </w:rPr>
        <w:t>在日本鳗鲡的幼体柳叶鳗饲粮中投喂全磷虾</w:t>
      </w:r>
      <w:r w:rsidRPr="00902749">
        <w:rPr>
          <w:sz w:val="24"/>
        </w:rPr>
        <w:t>(</w:t>
      </w:r>
      <w:r w:rsidRPr="00902749">
        <w:rPr>
          <w:sz w:val="24"/>
        </w:rPr>
        <w:t>氟含量</w:t>
      </w:r>
      <w:r w:rsidRPr="00902749">
        <w:rPr>
          <w:sz w:val="24"/>
        </w:rPr>
        <w:t>37.89 mg/kg)</w:t>
      </w:r>
      <w:r w:rsidRPr="00902749">
        <w:rPr>
          <w:sz w:val="24"/>
        </w:rPr>
        <w:t>，导致日本鳗鲡发生急性中毒。</w:t>
      </w:r>
      <w:r w:rsidRPr="00902749">
        <w:rPr>
          <w:rFonts w:hint="eastAsia"/>
          <w:sz w:val="24"/>
        </w:rPr>
        <w:t>因此，南极磷虾粉的高氟含量会对部分水产动物的生长、发育造成影响，但这也因水产动物种类不同而所造成的影响程度亦不同</w:t>
      </w:r>
      <w:r w:rsidRPr="00C64610">
        <w:rPr>
          <w:sz w:val="24"/>
          <w:vertAlign w:val="superscript"/>
        </w:rPr>
        <w:t>[70]</w:t>
      </w:r>
      <w:r w:rsidRPr="00902749">
        <w:rPr>
          <w:sz w:val="24"/>
        </w:rPr>
        <w:t>。</w:t>
      </w:r>
    </w:p>
    <w:p w14:paraId="419D621E" w14:textId="77777777" w:rsidR="00400E98" w:rsidRPr="00902749" w:rsidRDefault="00400E98" w:rsidP="00400E98">
      <w:pPr>
        <w:spacing w:line="360" w:lineRule="auto"/>
        <w:rPr>
          <w:sz w:val="24"/>
        </w:rPr>
      </w:pPr>
      <w:r w:rsidRPr="00902749">
        <w:rPr>
          <w:sz w:val="24"/>
        </w:rPr>
        <w:t>4.2</w:t>
      </w:r>
      <w:r w:rsidRPr="00902749">
        <w:rPr>
          <w:sz w:val="24"/>
        </w:rPr>
        <w:t>甲壳素对鱼虾类的影响</w:t>
      </w:r>
    </w:p>
    <w:p w14:paraId="4DC9F13D" w14:textId="77777777" w:rsidR="00400E98" w:rsidRPr="00902749" w:rsidRDefault="00400E98" w:rsidP="00400E98">
      <w:pPr>
        <w:spacing w:line="360" w:lineRule="auto"/>
        <w:ind w:firstLineChars="200" w:firstLine="480"/>
        <w:rPr>
          <w:sz w:val="24"/>
        </w:rPr>
      </w:pPr>
      <w:r w:rsidRPr="00902749">
        <w:rPr>
          <w:rFonts w:hint="eastAsia"/>
          <w:sz w:val="24"/>
        </w:rPr>
        <w:t>甲壳素在水产动物体内的几丁质酶及溶菌酶等生物酶的作用下可少量分解，但其吸收率极低</w:t>
      </w:r>
      <w:r w:rsidRPr="00C64610">
        <w:rPr>
          <w:sz w:val="24"/>
          <w:vertAlign w:val="superscript"/>
        </w:rPr>
        <w:t>[44]</w:t>
      </w:r>
      <w:r w:rsidRPr="00902749">
        <w:rPr>
          <w:sz w:val="24"/>
        </w:rPr>
        <w:t>。因</w:t>
      </w:r>
      <w:r w:rsidRPr="00902749">
        <w:rPr>
          <w:rFonts w:hint="eastAsia"/>
          <w:sz w:val="24"/>
        </w:rPr>
        <w:t>此，南极磷虾粉中含有大量的甲壳素，严重阻碍蛋白质、脂肪等营养物质消化和吸收，导致鱼类生长受到影响</w:t>
      </w:r>
      <w:r w:rsidRPr="00C64610">
        <w:rPr>
          <w:sz w:val="24"/>
          <w:vertAlign w:val="superscript"/>
        </w:rPr>
        <w:t>[9]</w:t>
      </w:r>
      <w:r w:rsidRPr="00902749">
        <w:rPr>
          <w:sz w:val="24"/>
        </w:rPr>
        <w:t>。</w:t>
      </w:r>
      <w:r w:rsidRPr="00902749">
        <w:rPr>
          <w:sz w:val="24"/>
        </w:rPr>
        <w:t>Hansen</w:t>
      </w:r>
      <w:r w:rsidRPr="00902749">
        <w:rPr>
          <w:sz w:val="24"/>
        </w:rPr>
        <w:t>等</w:t>
      </w:r>
      <w:r w:rsidRPr="00C64610">
        <w:rPr>
          <w:sz w:val="24"/>
          <w:vertAlign w:val="superscript"/>
        </w:rPr>
        <w:t>[8]</w:t>
      </w:r>
      <w:r w:rsidRPr="00902749">
        <w:rPr>
          <w:sz w:val="24"/>
        </w:rPr>
        <w:t>研究发现，去壳磷虾粉甲壳素含量为</w:t>
      </w:r>
      <w:r w:rsidRPr="00902749">
        <w:rPr>
          <w:sz w:val="24"/>
        </w:rPr>
        <w:t>8.5g/kg</w:t>
      </w:r>
      <w:r w:rsidRPr="00902749">
        <w:rPr>
          <w:sz w:val="24"/>
        </w:rPr>
        <w:t>，全虾南极磷虾粉甲壳素含量为</w:t>
      </w:r>
      <w:r w:rsidRPr="00902749">
        <w:rPr>
          <w:sz w:val="24"/>
        </w:rPr>
        <w:t>20.9g/kg</w:t>
      </w:r>
      <w:r w:rsidRPr="00902749">
        <w:rPr>
          <w:sz w:val="24"/>
        </w:rPr>
        <w:t>。饲料中添加去壳磷虾粉的脂肪表观消化率显著高于全虾南极磷虾粉。而用南极磷虾粉完全替</w:t>
      </w:r>
      <w:r w:rsidRPr="00902749">
        <w:rPr>
          <w:rFonts w:hint="eastAsia"/>
          <w:sz w:val="24"/>
        </w:rPr>
        <w:t>代大西洋鲑鱼饲料中的鱼粉时，脂质消化率呈下降趋势，且大西洋鲑粪便中的含水量显著升高，这表明甲壳素不仅影响脂肪代谢，还可能在胃肠道中产生了类似腹泻的作用</w:t>
      </w:r>
      <w:r w:rsidRPr="00C64610">
        <w:rPr>
          <w:sz w:val="24"/>
          <w:vertAlign w:val="superscript"/>
        </w:rPr>
        <w:t>[9]</w:t>
      </w:r>
      <w:r w:rsidRPr="00902749">
        <w:rPr>
          <w:sz w:val="24"/>
        </w:rPr>
        <w:t>。因此，水产饲料原料中高含量的</w:t>
      </w:r>
      <w:r w:rsidRPr="00902749">
        <w:rPr>
          <w:rFonts w:hint="eastAsia"/>
          <w:sz w:val="24"/>
        </w:rPr>
        <w:t>甲壳素会降低水产动物对能量物质的潜在利用率，同时水产动物肠道中未消化的甲壳素也可能影响营养物质的利用。</w:t>
      </w:r>
    </w:p>
    <w:p w14:paraId="573890EB" w14:textId="77777777" w:rsidR="00400E98" w:rsidRPr="00902749" w:rsidRDefault="00400E98" w:rsidP="00400E98">
      <w:pPr>
        <w:spacing w:line="360" w:lineRule="auto"/>
        <w:rPr>
          <w:sz w:val="24"/>
        </w:rPr>
      </w:pPr>
      <w:r w:rsidRPr="00902749">
        <w:rPr>
          <w:sz w:val="24"/>
        </w:rPr>
        <w:t>4.3</w:t>
      </w:r>
      <w:r w:rsidRPr="00902749">
        <w:rPr>
          <w:sz w:val="24"/>
        </w:rPr>
        <w:t>南极磷虾加工工艺及贮藏的影响</w:t>
      </w:r>
    </w:p>
    <w:p w14:paraId="301C6675" w14:textId="77777777" w:rsidR="00400E98" w:rsidRPr="00902749" w:rsidRDefault="00400E98" w:rsidP="00400E98">
      <w:pPr>
        <w:spacing w:line="360" w:lineRule="auto"/>
        <w:ind w:firstLineChars="200" w:firstLine="480"/>
        <w:rPr>
          <w:sz w:val="24"/>
        </w:rPr>
      </w:pPr>
      <w:r w:rsidRPr="00902749">
        <w:rPr>
          <w:rFonts w:hint="eastAsia"/>
          <w:sz w:val="24"/>
        </w:rPr>
        <w:t>南极磷虾原料、各环节加工参数、</w:t>
      </w:r>
      <w:r w:rsidRPr="00902749">
        <w:rPr>
          <w:sz w:val="24"/>
        </w:rPr>
        <w:t>贮运条件差异等均会对南极磷虾粉的品质及出粉率产生影响</w:t>
      </w:r>
      <w:r w:rsidRPr="00C64610">
        <w:rPr>
          <w:sz w:val="24"/>
          <w:vertAlign w:val="superscript"/>
        </w:rPr>
        <w:t>[71]</w:t>
      </w:r>
      <w:r w:rsidRPr="00902749">
        <w:rPr>
          <w:sz w:val="24"/>
        </w:rPr>
        <w:t>。</w:t>
      </w:r>
      <w:r w:rsidRPr="00902749">
        <w:rPr>
          <w:rFonts w:hint="eastAsia"/>
          <w:sz w:val="24"/>
        </w:rPr>
        <w:t>此外，南极磷虾被捕捞离水后，其体内的内源消化酶快速降解蛋白质。即使在低温的状态下，南极磷虾体内的蛋白酶也具较高酶活性，因此南极磷虾蛋白低温储存也</w:t>
      </w:r>
      <w:r w:rsidRPr="00902749">
        <w:rPr>
          <w:rFonts w:hint="eastAsia"/>
          <w:sz w:val="24"/>
        </w:rPr>
        <w:lastRenderedPageBreak/>
        <w:t>会发生降解，从而导致蛋白部分因降解而流失</w:t>
      </w:r>
      <w:r w:rsidRPr="00C64610">
        <w:rPr>
          <w:sz w:val="24"/>
          <w:vertAlign w:val="superscript"/>
        </w:rPr>
        <w:t>[72]</w:t>
      </w:r>
      <w:r w:rsidRPr="00902749">
        <w:rPr>
          <w:sz w:val="24"/>
        </w:rPr>
        <w:t>。黄艳青等</w:t>
      </w:r>
      <w:r w:rsidRPr="00C64610">
        <w:rPr>
          <w:sz w:val="24"/>
          <w:vertAlign w:val="superscript"/>
        </w:rPr>
        <w:t>[26]</w:t>
      </w:r>
      <w:r w:rsidRPr="00902749">
        <w:rPr>
          <w:sz w:val="24"/>
        </w:rPr>
        <w:t>研究发现，南极磷虾添加抗氧化剂贮藏，可最大限度保存南极磷虾中丰富的蛋白质、</w:t>
      </w:r>
      <w:r w:rsidRPr="00902749">
        <w:rPr>
          <w:rFonts w:hint="eastAsia"/>
          <w:sz w:val="24"/>
        </w:rPr>
        <w:t>氨基酸及脂肪酸的营养价值，对南极磷虾粉品质具较显著影响。南极磷虾粉的品质受储存条件的影响较大，在真空条件下贮藏南极磷虾粉，可提高其氧化稳定性</w:t>
      </w:r>
      <w:r w:rsidRPr="00C64610">
        <w:rPr>
          <w:sz w:val="24"/>
          <w:vertAlign w:val="superscript"/>
        </w:rPr>
        <w:t>[73]</w:t>
      </w:r>
      <w:r w:rsidRPr="00902749">
        <w:rPr>
          <w:sz w:val="24"/>
        </w:rPr>
        <w:t>。因此南极磷虾粉加工工艺的差异性使其营</w:t>
      </w:r>
      <w:r w:rsidRPr="00902749">
        <w:rPr>
          <w:rFonts w:hint="eastAsia"/>
          <w:sz w:val="24"/>
        </w:rPr>
        <w:t>养成分有所变化，对水产饲料原料的应用产生一定的影响。</w:t>
      </w:r>
    </w:p>
    <w:p w14:paraId="4C935D3C" w14:textId="77777777" w:rsidR="00400E98" w:rsidRPr="00902749" w:rsidRDefault="00400E98" w:rsidP="00400E98">
      <w:pPr>
        <w:spacing w:line="360" w:lineRule="auto"/>
        <w:rPr>
          <w:sz w:val="24"/>
        </w:rPr>
      </w:pPr>
      <w:r w:rsidRPr="00902749">
        <w:rPr>
          <w:sz w:val="24"/>
        </w:rPr>
        <w:t>5</w:t>
      </w:r>
      <w:r w:rsidRPr="00902749">
        <w:rPr>
          <w:sz w:val="24"/>
        </w:rPr>
        <w:t>总结和展望</w:t>
      </w:r>
    </w:p>
    <w:p w14:paraId="4C6CB29E" w14:textId="77777777" w:rsidR="00400E98" w:rsidRDefault="00400E98" w:rsidP="00400E98">
      <w:pPr>
        <w:spacing w:line="360" w:lineRule="auto"/>
        <w:ind w:firstLineChars="200" w:firstLine="480"/>
        <w:rPr>
          <w:sz w:val="24"/>
        </w:rPr>
      </w:pPr>
      <w:r w:rsidRPr="00902749">
        <w:rPr>
          <w:rFonts w:hint="eastAsia"/>
          <w:sz w:val="24"/>
        </w:rPr>
        <w:t>南极磷虾属于寒带海洋生物，资源量大且富含蛋白质、多种氨基酸及不饱和脂肪酸，是一种公认的优质饲料原料。已有大量研究表明，南极磷虾粉含有虾青素、牛磺酸和甲壳素以及衍生物等多种生物活性物质，适用于多种水产动物饲料中使用，并对水产养殖动物发挥提高生长性能，改善水产品品质，增强免疫力以及促进亲鱼性腺发育与提高繁殖性能等功能。目前国内外研究表明，在鱼类养殖应用中，南极磷虾粉替代饲料中的鱼粉以</w:t>
      </w:r>
      <w:r w:rsidRPr="00902749">
        <w:rPr>
          <w:sz w:val="24"/>
        </w:rPr>
        <w:t>10%~30%</w:t>
      </w:r>
      <w:r w:rsidRPr="00902749">
        <w:rPr>
          <w:sz w:val="24"/>
        </w:rPr>
        <w:t>为宜，而甲壳类鱼粉替代水平以不超过</w:t>
      </w:r>
      <w:r w:rsidRPr="00902749">
        <w:rPr>
          <w:sz w:val="24"/>
        </w:rPr>
        <w:t>50%</w:t>
      </w:r>
      <w:r w:rsidRPr="00902749">
        <w:rPr>
          <w:sz w:val="24"/>
        </w:rPr>
        <w:t>较好。尽管南极磷</w:t>
      </w:r>
      <w:r w:rsidRPr="00902749">
        <w:rPr>
          <w:rFonts w:hint="eastAsia"/>
          <w:sz w:val="24"/>
        </w:rPr>
        <w:t>虾粉中含有一定量的氟和甲壳素，但目前研究表明其应用后的相关副作用有限，且二者未来有望通过脱壳、贮藏等工艺途径，减轻负面影响的同时提高南极磷虾粉的有效利用率。因此，提高南极磷虾有效利用的加工工艺及贮藏方法的改进有望成为未来关注的焦点。</w:t>
      </w:r>
    </w:p>
    <w:p w14:paraId="010D3FDA" w14:textId="77777777" w:rsidR="00400E98" w:rsidRDefault="00400E98" w:rsidP="00400E98">
      <w:pPr>
        <w:spacing w:line="360" w:lineRule="auto"/>
        <w:ind w:firstLineChars="200" w:firstLine="480"/>
        <w:rPr>
          <w:sz w:val="24"/>
        </w:rPr>
      </w:pPr>
      <w:r w:rsidRPr="00902749">
        <w:rPr>
          <w:rFonts w:hint="eastAsia"/>
          <w:sz w:val="24"/>
        </w:rPr>
        <w:t>南极磷虾粉作为水产饲料原料的研究应用，目前以鱼类与甲壳类相关的应用为主，鲜有其他水产动物的研究报道。因此，在水产动物品种上应进一步研究，以提高品种丰富度。南极磷虾粉对鱼虾类的生长性能、免疫作用及繁殖性能的影响在不同品种间仍存在差异，其中机理尚不明确，如何使其在水产饲料中广泛应用，仍需深入研究。不同加工工艺及贮藏方法对南极磷虾粉的营养价值产生一定影响，应继续探究操作方便且节约成本的加工工艺及贮藏方法，以促成水产饲料原料降本增效。</w:t>
      </w:r>
    </w:p>
    <w:p w14:paraId="7457499C" w14:textId="77777777" w:rsidR="00400E98" w:rsidRPr="00742C9A" w:rsidRDefault="00400E98" w:rsidP="00400E98">
      <w:pPr>
        <w:spacing w:line="360" w:lineRule="auto"/>
        <w:ind w:firstLineChars="200" w:firstLine="480"/>
        <w:rPr>
          <w:sz w:val="24"/>
        </w:rPr>
      </w:pPr>
      <w:r w:rsidRPr="00902749">
        <w:rPr>
          <w:rFonts w:hint="eastAsia"/>
          <w:sz w:val="24"/>
        </w:rPr>
        <w:t>综上所述，南极磷虾粉可以有效替代鱼粉成为水产饲料优质蛋白源，在水产饲料中应用前景广阔。但因水产动物品种、养殖模式、生长阶段及品质需求的影响，在水产养殖中的有效利用还需要进一步深入研究，以丰富其应用参数及高效利用理论依据，为其生产实践应用提供参考依据。</w:t>
      </w:r>
    </w:p>
    <w:p w14:paraId="53AFE773" w14:textId="77777777" w:rsidR="00400E98" w:rsidRPr="00C133DA" w:rsidRDefault="00400E98" w:rsidP="00400E98">
      <w:pPr>
        <w:spacing w:line="360" w:lineRule="auto"/>
        <w:rPr>
          <w:sz w:val="24"/>
        </w:rPr>
      </w:pPr>
      <w:r w:rsidRPr="00C133DA">
        <w:rPr>
          <w:sz w:val="24"/>
        </w:rPr>
        <w:t>参考文献：略</w:t>
      </w:r>
    </w:p>
    <w:p w14:paraId="0832D4DC" w14:textId="798BF3B5" w:rsidR="00B85B23" w:rsidRDefault="00400E98" w:rsidP="00B85B23">
      <w:pPr>
        <w:wordWrap w:val="0"/>
        <w:spacing w:line="360" w:lineRule="auto"/>
        <w:ind w:firstLineChars="200" w:firstLine="420"/>
        <w:jc w:val="right"/>
        <w:rPr>
          <w:sz w:val="24"/>
        </w:rPr>
      </w:pPr>
      <w:r w:rsidRPr="00C133DA">
        <w:rPr>
          <w:szCs w:val="21"/>
        </w:rPr>
        <w:t>原文刊登在《</w:t>
      </w:r>
      <w:r w:rsidRPr="00CD4FED">
        <w:rPr>
          <w:rFonts w:hint="eastAsia"/>
          <w:szCs w:val="21"/>
        </w:rPr>
        <w:t>饲料</w:t>
      </w:r>
      <w:r>
        <w:rPr>
          <w:rFonts w:hint="eastAsia"/>
          <w:szCs w:val="21"/>
        </w:rPr>
        <w:t>工业</w:t>
      </w:r>
      <w:r>
        <w:rPr>
          <w:szCs w:val="21"/>
        </w:rPr>
        <w:t>》</w:t>
      </w:r>
      <w:bookmarkStart w:id="31" w:name="_Toc208688091"/>
      <w:bookmarkStart w:id="32" w:name="_Toc211339462"/>
      <w:bookmarkStart w:id="33" w:name="_Toc212732407"/>
      <w:bookmarkStart w:id="34" w:name="_Toc214029176"/>
      <w:bookmarkStart w:id="35" w:name="_Toc215334837"/>
      <w:bookmarkStart w:id="36" w:name="_Toc218093321"/>
      <w:bookmarkStart w:id="37" w:name="_Toc219244793"/>
      <w:r w:rsidR="00B85B23" w:rsidRPr="009F0619">
        <w:rPr>
          <w:rFonts w:hint="eastAsia"/>
          <w:sz w:val="24"/>
        </w:rPr>
        <w:t>2025</w:t>
      </w:r>
      <w:r w:rsidR="00B85B23" w:rsidRPr="009F0619">
        <w:rPr>
          <w:rFonts w:hint="eastAsia"/>
          <w:sz w:val="24"/>
        </w:rPr>
        <w:t>年第</w:t>
      </w:r>
      <w:r w:rsidR="00B85B23">
        <w:rPr>
          <w:rFonts w:hint="eastAsia"/>
          <w:sz w:val="24"/>
        </w:rPr>
        <w:t>14</w:t>
      </w:r>
      <w:r w:rsidR="00B85B23" w:rsidRPr="009F0619">
        <w:rPr>
          <w:rFonts w:hint="eastAsia"/>
          <w:sz w:val="24"/>
        </w:rPr>
        <w:t>期</w:t>
      </w:r>
    </w:p>
    <w:p w14:paraId="2B88781B" w14:textId="77777777" w:rsidR="00263AAE" w:rsidRDefault="00263AAE" w:rsidP="00B85B23">
      <w:pPr>
        <w:spacing w:line="360" w:lineRule="auto"/>
        <w:ind w:right="1284"/>
        <w:rPr>
          <w:rFonts w:eastAsia="黑体"/>
          <w:b/>
          <w:bCs/>
          <w:sz w:val="32"/>
          <w:szCs w:val="32"/>
          <w:bdr w:val="single" w:sz="4" w:space="0" w:color="auto"/>
        </w:rPr>
      </w:pPr>
    </w:p>
    <w:p w14:paraId="645950C6" w14:textId="77777777" w:rsidR="00263AAE" w:rsidRDefault="00263AAE" w:rsidP="00B85B23">
      <w:pPr>
        <w:spacing w:line="360" w:lineRule="auto"/>
        <w:ind w:right="1284"/>
        <w:rPr>
          <w:rFonts w:eastAsia="黑体"/>
          <w:b/>
          <w:bCs/>
          <w:sz w:val="32"/>
          <w:szCs w:val="32"/>
          <w:bdr w:val="single" w:sz="4" w:space="0" w:color="auto"/>
        </w:rPr>
      </w:pPr>
    </w:p>
    <w:p w14:paraId="5E8BAA8B" w14:textId="2D745E7B" w:rsidR="00121328" w:rsidRDefault="00121328" w:rsidP="00C116A1">
      <w:pPr>
        <w:spacing w:line="360" w:lineRule="auto"/>
        <w:ind w:right="1281"/>
        <w:outlineLvl w:val="0"/>
        <w:rPr>
          <w:rFonts w:eastAsia="黑体"/>
          <w:b/>
          <w:bCs/>
          <w:sz w:val="32"/>
          <w:szCs w:val="32"/>
          <w:bdr w:val="single" w:sz="4" w:space="0" w:color="auto"/>
        </w:rPr>
      </w:pPr>
      <w:bookmarkStart w:id="38" w:name="_Toc220673114"/>
      <w:r w:rsidRPr="00613669">
        <w:rPr>
          <w:rFonts w:eastAsia="黑体"/>
          <w:b/>
          <w:bCs/>
          <w:sz w:val="32"/>
          <w:szCs w:val="32"/>
          <w:bdr w:val="single" w:sz="4" w:space="0" w:color="auto"/>
        </w:rPr>
        <w:lastRenderedPageBreak/>
        <w:t>科学研究</w:t>
      </w:r>
      <w:bookmarkEnd w:id="31"/>
      <w:bookmarkEnd w:id="32"/>
      <w:bookmarkEnd w:id="33"/>
      <w:bookmarkEnd w:id="34"/>
      <w:bookmarkEnd w:id="35"/>
      <w:bookmarkEnd w:id="36"/>
      <w:bookmarkEnd w:id="37"/>
      <w:bookmarkEnd w:id="38"/>
    </w:p>
    <w:p w14:paraId="31DD9273" w14:textId="77777777" w:rsidR="00400E98" w:rsidRPr="00ED10FF" w:rsidRDefault="00400E98" w:rsidP="00C116A1">
      <w:pPr>
        <w:jc w:val="center"/>
        <w:outlineLvl w:val="1"/>
        <w:rPr>
          <w:rFonts w:ascii="黑体" w:eastAsia="黑体" w:hAnsi="黑体" w:hint="eastAsia"/>
          <w:b/>
          <w:bCs/>
          <w:sz w:val="32"/>
          <w:szCs w:val="32"/>
        </w:rPr>
      </w:pPr>
      <w:bookmarkStart w:id="39" w:name="_Toc220673115"/>
      <w:r w:rsidRPr="00ED10FF">
        <w:rPr>
          <w:rFonts w:ascii="黑体" w:eastAsia="黑体" w:hAnsi="黑体"/>
          <w:b/>
          <w:bCs/>
          <w:sz w:val="32"/>
          <w:szCs w:val="32"/>
        </w:rPr>
        <w:t>蚯蚓及其加工产品在水产养殖业中的应用</w:t>
      </w:r>
      <w:bookmarkEnd w:id="39"/>
    </w:p>
    <w:p w14:paraId="1C4800C0" w14:textId="77777777" w:rsidR="00400E98" w:rsidRPr="00ED10FF" w:rsidRDefault="00400E98" w:rsidP="00400E98">
      <w:pPr>
        <w:jc w:val="center"/>
        <w:rPr>
          <w:szCs w:val="21"/>
        </w:rPr>
      </w:pPr>
      <w:r w:rsidRPr="00ED10FF">
        <w:rPr>
          <w:szCs w:val="21"/>
        </w:rPr>
        <w:t>陈浩铭</w:t>
      </w:r>
      <w:r w:rsidRPr="00ED10FF">
        <w:rPr>
          <w:szCs w:val="21"/>
        </w:rPr>
        <w:t xml:space="preserve"> </w:t>
      </w:r>
      <w:r w:rsidRPr="00ED10FF">
        <w:rPr>
          <w:szCs w:val="21"/>
        </w:rPr>
        <w:t>姜</w:t>
      </w:r>
      <w:r w:rsidRPr="00ED10FF">
        <w:rPr>
          <w:szCs w:val="21"/>
        </w:rPr>
        <w:t xml:space="preserve"> </w:t>
      </w:r>
      <w:r w:rsidRPr="00ED10FF">
        <w:rPr>
          <w:szCs w:val="21"/>
        </w:rPr>
        <w:t>辉</w:t>
      </w:r>
      <w:r w:rsidRPr="00ED10FF">
        <w:rPr>
          <w:szCs w:val="21"/>
          <w:vertAlign w:val="superscript"/>
        </w:rPr>
        <w:t>*</w:t>
      </w:r>
      <w:r w:rsidRPr="00ED10FF">
        <w:rPr>
          <w:szCs w:val="21"/>
        </w:rPr>
        <w:t xml:space="preserve"> </w:t>
      </w:r>
      <w:r w:rsidRPr="00ED10FF">
        <w:rPr>
          <w:szCs w:val="21"/>
        </w:rPr>
        <w:t>刘</w:t>
      </w:r>
      <w:r w:rsidRPr="00ED10FF">
        <w:rPr>
          <w:szCs w:val="21"/>
        </w:rPr>
        <w:t xml:space="preserve"> </w:t>
      </w:r>
      <w:r w:rsidRPr="00ED10FF">
        <w:rPr>
          <w:szCs w:val="21"/>
        </w:rPr>
        <w:t>瑜</w:t>
      </w:r>
      <w:r w:rsidRPr="00ED10FF">
        <w:rPr>
          <w:szCs w:val="21"/>
          <w:vertAlign w:val="superscript"/>
        </w:rPr>
        <w:t>*</w:t>
      </w:r>
    </w:p>
    <w:p w14:paraId="1151775B" w14:textId="77777777" w:rsidR="00400E98" w:rsidRPr="00ED10FF" w:rsidRDefault="00400E98" w:rsidP="00400E98">
      <w:pPr>
        <w:jc w:val="center"/>
        <w:rPr>
          <w:szCs w:val="21"/>
        </w:rPr>
      </w:pPr>
      <w:r w:rsidRPr="00ED10FF">
        <w:rPr>
          <w:szCs w:val="21"/>
        </w:rPr>
        <w:t>(</w:t>
      </w:r>
      <w:r w:rsidRPr="00ED10FF">
        <w:rPr>
          <w:szCs w:val="21"/>
        </w:rPr>
        <w:t>佛山大学动物科技学院</w:t>
      </w:r>
      <w:r w:rsidRPr="00ED10FF">
        <w:rPr>
          <w:szCs w:val="21"/>
        </w:rPr>
        <w:t xml:space="preserve"> </w:t>
      </w:r>
      <w:r w:rsidRPr="00ED10FF">
        <w:rPr>
          <w:szCs w:val="21"/>
        </w:rPr>
        <w:t>广东省动物分子设计与精准育种重点实验室，广东</w:t>
      </w:r>
      <w:r w:rsidRPr="00ED10FF">
        <w:rPr>
          <w:szCs w:val="21"/>
        </w:rPr>
        <w:t xml:space="preserve"> </w:t>
      </w:r>
      <w:r w:rsidRPr="00ED10FF">
        <w:rPr>
          <w:szCs w:val="21"/>
        </w:rPr>
        <w:t>佛山</w:t>
      </w:r>
      <w:r w:rsidRPr="00ED10FF">
        <w:rPr>
          <w:szCs w:val="21"/>
        </w:rPr>
        <w:t xml:space="preserve"> 528225)</w:t>
      </w:r>
    </w:p>
    <w:p w14:paraId="7D5C9AF9" w14:textId="77777777" w:rsidR="00400E98" w:rsidRPr="00ED10FF" w:rsidRDefault="00400E98" w:rsidP="00400E98">
      <w:pPr>
        <w:rPr>
          <w:szCs w:val="21"/>
        </w:rPr>
      </w:pPr>
      <w:r w:rsidRPr="00ED10FF">
        <w:rPr>
          <w:b/>
          <w:bCs/>
          <w:szCs w:val="21"/>
        </w:rPr>
        <w:t>摘要</w:t>
      </w:r>
      <w:r w:rsidRPr="00ED10FF">
        <w:rPr>
          <w:szCs w:val="21"/>
        </w:rPr>
        <w:t>：鱼粉资源日益稀缺且价格高昂，导致水产养殖成本逐年攀升，制约了我国水产养殖业的进一步发展。因此，寻求新型蛋白质饲料替代鱼粉对水产养殖业的可持续发展尤为重要。蚯蚓是一类营土栖腐生生活且分布广泛的陆生环节动物，能够以畜禽粪便及有机废弃物为食。蚯蚓独特的生活习性可以疏松并改良土壤，提高土壤肥力，促进农作物增产。蚯蚓的蛋白质含量高且氨基酸组成与鱼粉相似，可作为优质的鱼粉替代品。文章综述不同品种蚯蚓的营养成分及影响蚯蚓营养成分的相关因素，探讨蚯蚓及其加工产品在水产养殖业中的应用现状、当前存在的局限性及改进策略，为开发并优化蚯蚓及其加工产品作为鱼粉替代品在水产养殖业中的应用提供参考，以期助力我国水产养殖业的可持续发展。</w:t>
      </w:r>
    </w:p>
    <w:p w14:paraId="64B23625" w14:textId="77777777" w:rsidR="00400E98" w:rsidRPr="00ED10FF" w:rsidRDefault="00400E98" w:rsidP="00400E98">
      <w:pPr>
        <w:rPr>
          <w:sz w:val="24"/>
        </w:rPr>
      </w:pPr>
      <w:r w:rsidRPr="00ED10FF">
        <w:rPr>
          <w:b/>
          <w:bCs/>
          <w:szCs w:val="21"/>
        </w:rPr>
        <w:t>关键词</w:t>
      </w:r>
      <w:r w:rsidRPr="00ED10FF">
        <w:rPr>
          <w:szCs w:val="21"/>
        </w:rPr>
        <w:t>：蚯蚓；营养成分；鱼粉替代；水产养殖</w:t>
      </w:r>
    </w:p>
    <w:p w14:paraId="23D414AA" w14:textId="77777777" w:rsidR="00400E98" w:rsidRPr="00ED10FF" w:rsidRDefault="00400E98" w:rsidP="00400E98">
      <w:pPr>
        <w:jc w:val="center"/>
        <w:rPr>
          <w:b/>
          <w:bCs/>
          <w:sz w:val="24"/>
        </w:rPr>
      </w:pPr>
      <w:r w:rsidRPr="00ED10FF">
        <w:rPr>
          <w:b/>
          <w:bCs/>
          <w:sz w:val="24"/>
        </w:rPr>
        <w:t>Application of earthworms and their processed products in aquaculture</w:t>
      </w:r>
    </w:p>
    <w:p w14:paraId="7D6E60CF" w14:textId="030276F7" w:rsidR="00263AAE" w:rsidRPr="00ED10FF" w:rsidRDefault="00400E98" w:rsidP="00263AAE">
      <w:pPr>
        <w:jc w:val="center"/>
        <w:rPr>
          <w:szCs w:val="21"/>
        </w:rPr>
      </w:pPr>
      <w:r w:rsidRPr="00ED10FF">
        <w:rPr>
          <w:szCs w:val="21"/>
        </w:rPr>
        <w:t>CHEN Haoming JIANG Hui LIU Yu</w:t>
      </w:r>
    </w:p>
    <w:p w14:paraId="483F3F0A" w14:textId="77777777" w:rsidR="00400E98" w:rsidRPr="00ED10FF" w:rsidRDefault="00400E98" w:rsidP="00400E98">
      <w:pPr>
        <w:rPr>
          <w:szCs w:val="21"/>
        </w:rPr>
      </w:pPr>
      <w:r w:rsidRPr="00ED10FF">
        <w:rPr>
          <w:b/>
          <w:bCs/>
          <w:szCs w:val="21"/>
        </w:rPr>
        <w:t>Abstract</w:t>
      </w:r>
      <w:r w:rsidRPr="00ED10FF">
        <w:rPr>
          <w:szCs w:val="21"/>
        </w:rPr>
        <w:t>: The increasing scarcity and high cost of fishmeal have led to a continuous rise in aquaculture production costs,</w:t>
      </w:r>
      <w:r w:rsidRPr="00ED10FF">
        <w:rPr>
          <w:rFonts w:hint="eastAsia"/>
          <w:szCs w:val="21"/>
        </w:rPr>
        <w:t xml:space="preserve"> </w:t>
      </w:r>
      <w:r w:rsidRPr="00ED10FF">
        <w:rPr>
          <w:szCs w:val="21"/>
        </w:rPr>
        <w:t>hindering the further development of Chinese aquaculture industry. Therefore, seeking alternative protein sources to replace fishmeal is crucial for the sustainable development of aquaculture. Earthworms are widely distributed terrestrial annelids that thrive in soil and feed on livestock manure and organic waste. Their unique living habits can loosen and improve soil, enhance soil fertility, and promote crop yield. Earthworms are with high protein content and amino acid composition similar to fishmeal, making them a high-quality fishmeal substitute. The article reviews the nutritional components of different earthworm species and the factors influencing their nutritional content, explores the current applications, limitations, and improvement strategies of earthworms and their processed products in aquaculture, and provides insights for the development and optimization of earthworms and their processed products as fishmeal substitutes in aquaculture, aiming to support the sustainable development of Chinese aquaculture industry.</w:t>
      </w:r>
    </w:p>
    <w:p w14:paraId="3D623B0C" w14:textId="77777777" w:rsidR="00400E98" w:rsidRDefault="00400E98" w:rsidP="00400E98">
      <w:pPr>
        <w:rPr>
          <w:szCs w:val="21"/>
        </w:rPr>
      </w:pPr>
      <w:r w:rsidRPr="00ED10FF">
        <w:rPr>
          <w:b/>
          <w:bCs/>
          <w:szCs w:val="21"/>
        </w:rPr>
        <w:t>Key words</w:t>
      </w:r>
      <w:r w:rsidRPr="00ED10FF">
        <w:rPr>
          <w:szCs w:val="21"/>
        </w:rPr>
        <w:t>: earthworm; nutritional composition; fishmeal substitution; aquaculture</w:t>
      </w:r>
    </w:p>
    <w:p w14:paraId="7C802215" w14:textId="77777777" w:rsidR="00400E98" w:rsidRPr="00ED10FF" w:rsidRDefault="00400E98" w:rsidP="00400E98">
      <w:pPr>
        <w:rPr>
          <w:szCs w:val="21"/>
        </w:rPr>
      </w:pPr>
    </w:p>
    <w:p w14:paraId="5AA880F4" w14:textId="77777777" w:rsidR="00400E98" w:rsidRPr="00ED10FF" w:rsidRDefault="00400E98" w:rsidP="00400E98">
      <w:pPr>
        <w:spacing w:line="360" w:lineRule="auto"/>
        <w:ind w:firstLineChars="200" w:firstLine="480"/>
        <w:rPr>
          <w:sz w:val="24"/>
        </w:rPr>
      </w:pPr>
      <w:r w:rsidRPr="00ED10FF">
        <w:rPr>
          <w:sz w:val="24"/>
        </w:rPr>
        <w:t>水产养殖业是世界上增长较快的粮食生产行业，在维持全球粮食安全方面发挥关键作用</w:t>
      </w:r>
      <w:r w:rsidRPr="00ED10FF">
        <w:rPr>
          <w:sz w:val="24"/>
          <w:vertAlign w:val="superscript"/>
        </w:rPr>
        <w:t>[1]</w:t>
      </w:r>
      <w:r w:rsidRPr="00ED10FF">
        <w:rPr>
          <w:sz w:val="24"/>
        </w:rPr>
        <w:t>。然而，水产饲料优质蛋白质原料供需不平衡，限制了全球水产养殖业的可持续发展</w:t>
      </w:r>
      <w:r w:rsidRPr="00ED10FF">
        <w:rPr>
          <w:sz w:val="24"/>
          <w:vertAlign w:val="superscript"/>
        </w:rPr>
        <w:t>[2]</w:t>
      </w:r>
      <w:r w:rsidRPr="00ED10FF">
        <w:rPr>
          <w:sz w:val="24"/>
        </w:rPr>
        <w:t>。开发新型饲料资源、充分利用蛋白质资源对水产养殖业的可持续发展至关重要。蚯蚓营养丰富且均衡，近年来被愈发广泛地用于水产动物饲料生产。蚯蚓含有大量生物活性物质，投饲蚯蚓及其加工产品可以增强动物机体免疫力及抗氧化功能，可以改善动物的生长性能</w:t>
      </w:r>
      <w:r w:rsidRPr="00ED10FF">
        <w:rPr>
          <w:sz w:val="24"/>
          <w:vertAlign w:val="superscript"/>
        </w:rPr>
        <w:t>[3-4]</w:t>
      </w:r>
      <w:r w:rsidRPr="00ED10FF">
        <w:rPr>
          <w:sz w:val="24"/>
        </w:rPr>
        <w:t>。蚯蚓可以有效利用生产废弃物</w:t>
      </w:r>
      <w:r w:rsidRPr="00ED10FF">
        <w:rPr>
          <w:sz w:val="24"/>
        </w:rPr>
        <w:t>(</w:t>
      </w:r>
      <w:r w:rsidRPr="00ED10FF">
        <w:rPr>
          <w:sz w:val="24"/>
        </w:rPr>
        <w:t>如牲畜粪便</w:t>
      </w:r>
      <w:r w:rsidRPr="00ED10FF">
        <w:rPr>
          <w:sz w:val="24"/>
          <w:vertAlign w:val="superscript"/>
        </w:rPr>
        <w:t>[5]</w:t>
      </w:r>
      <w:r w:rsidRPr="00ED10FF">
        <w:rPr>
          <w:sz w:val="24"/>
        </w:rPr>
        <w:t>、农作物加工副产品</w:t>
      </w:r>
      <w:r w:rsidRPr="00ED10FF">
        <w:rPr>
          <w:sz w:val="24"/>
          <w:vertAlign w:val="superscript"/>
        </w:rPr>
        <w:t>[6]</w:t>
      </w:r>
      <w:r w:rsidRPr="00ED10FF">
        <w:rPr>
          <w:sz w:val="24"/>
        </w:rPr>
        <w:t>及厨余垃圾</w:t>
      </w:r>
      <w:r w:rsidRPr="00ED10FF">
        <w:rPr>
          <w:sz w:val="24"/>
          <w:vertAlign w:val="superscript"/>
        </w:rPr>
        <w:t>[7]</w:t>
      </w:r>
      <w:r w:rsidRPr="00ED10FF">
        <w:rPr>
          <w:sz w:val="24"/>
        </w:rPr>
        <w:t>等</w:t>
      </w:r>
      <w:r w:rsidRPr="00ED10FF">
        <w:rPr>
          <w:sz w:val="24"/>
        </w:rPr>
        <w:t>)</w:t>
      </w:r>
      <w:r w:rsidRPr="00ED10FF">
        <w:rPr>
          <w:sz w:val="24"/>
        </w:rPr>
        <w:t>，不仅能够加速资源周转、减少环境污染</w:t>
      </w:r>
      <w:r w:rsidRPr="00ED10FF">
        <w:rPr>
          <w:sz w:val="24"/>
          <w:vertAlign w:val="superscript"/>
        </w:rPr>
        <w:t>[8]</w:t>
      </w:r>
      <w:r w:rsidRPr="00ED10FF">
        <w:rPr>
          <w:sz w:val="24"/>
        </w:rPr>
        <w:t>，还能够创造可观的经济效益。因此，加强蚯蚓作为水产动物饲料资源的开发与利用具有重要意义。本文概述蚯蚓作为水产动物饲料资源的研究现状和前景，为促进蚯蚓资源在水产养殖业中的利用提供参考，以期助力我国水产养殖业的可持续发展。</w:t>
      </w:r>
    </w:p>
    <w:p w14:paraId="0D67FE44" w14:textId="58FF2FF7" w:rsidR="00400E98" w:rsidRPr="00ED10FF" w:rsidRDefault="00400E98" w:rsidP="00400E98">
      <w:pPr>
        <w:spacing w:line="360" w:lineRule="auto"/>
        <w:rPr>
          <w:sz w:val="24"/>
        </w:rPr>
      </w:pPr>
      <w:r w:rsidRPr="00ED10FF">
        <w:rPr>
          <w:sz w:val="24"/>
        </w:rPr>
        <w:lastRenderedPageBreak/>
        <w:t>1</w:t>
      </w:r>
      <w:r w:rsidRPr="00ED10FF">
        <w:rPr>
          <w:sz w:val="24"/>
        </w:rPr>
        <w:t>蚯蚓的营养成分及其影响因素</w:t>
      </w:r>
    </w:p>
    <w:p w14:paraId="69922036" w14:textId="3BB7F038" w:rsidR="00400E98" w:rsidRPr="00ED10FF" w:rsidRDefault="00400E98" w:rsidP="00400E98">
      <w:pPr>
        <w:spacing w:line="360" w:lineRule="auto"/>
        <w:rPr>
          <w:sz w:val="24"/>
        </w:rPr>
      </w:pPr>
      <w:r w:rsidRPr="00ED10FF">
        <w:rPr>
          <w:sz w:val="24"/>
        </w:rPr>
        <w:t>1.1</w:t>
      </w:r>
      <w:r w:rsidRPr="00ED10FF">
        <w:rPr>
          <w:sz w:val="24"/>
        </w:rPr>
        <w:t>蚯蚓的营养成分</w:t>
      </w:r>
    </w:p>
    <w:p w14:paraId="25EAA996" w14:textId="77777777" w:rsidR="00400E98" w:rsidRDefault="00400E98" w:rsidP="00400E98">
      <w:pPr>
        <w:spacing w:line="360" w:lineRule="auto"/>
        <w:ind w:firstLineChars="200" w:firstLine="480"/>
        <w:rPr>
          <w:sz w:val="24"/>
        </w:rPr>
      </w:pPr>
      <w:r w:rsidRPr="00ED10FF">
        <w:rPr>
          <w:sz w:val="24"/>
        </w:rPr>
        <w:t>蚯蚓营养全面，富含蛋白质、脂肪和各种生理活性物质，如腰激酶、解热碱、蚯蚓毒素、地毒素、次黄嘌呤、黄嘌呤、胆碱及丰富的氨基酸和蛋白酶</w:t>
      </w:r>
      <w:r w:rsidRPr="00ED10FF">
        <w:rPr>
          <w:sz w:val="24"/>
          <w:vertAlign w:val="superscript"/>
        </w:rPr>
        <w:t>[9]</w:t>
      </w:r>
      <w:r w:rsidRPr="00ED10FF">
        <w:rPr>
          <w:sz w:val="24"/>
        </w:rPr>
        <w:t>。据报道，新鲜蚯蚓的粗蛋白含量高于</w:t>
      </w:r>
      <w:r w:rsidRPr="00ED10FF">
        <w:rPr>
          <w:sz w:val="24"/>
        </w:rPr>
        <w:t>20</w:t>
      </w:r>
      <w:r w:rsidRPr="00ED10FF">
        <w:rPr>
          <w:rFonts w:hint="eastAsia"/>
          <w:sz w:val="24"/>
        </w:rPr>
        <w:t xml:space="preserve"> </w:t>
      </w:r>
      <w:r w:rsidRPr="00ED10FF">
        <w:rPr>
          <w:sz w:val="24"/>
        </w:rPr>
        <w:t>%</w:t>
      </w:r>
      <w:r w:rsidRPr="00ED10FF">
        <w:rPr>
          <w:sz w:val="24"/>
          <w:vertAlign w:val="superscript"/>
        </w:rPr>
        <w:t>[10]</w:t>
      </w:r>
      <w:r w:rsidRPr="00ED10FF">
        <w:rPr>
          <w:sz w:val="24"/>
        </w:rPr>
        <w:t>，干燥蚯蚓粉的蛋白含量可达</w:t>
      </w:r>
      <w:r w:rsidRPr="00ED10FF">
        <w:rPr>
          <w:sz w:val="24"/>
        </w:rPr>
        <w:t>55</w:t>
      </w:r>
      <w:r w:rsidRPr="00ED10FF">
        <w:rPr>
          <w:rFonts w:hint="eastAsia"/>
          <w:sz w:val="24"/>
        </w:rPr>
        <w:t xml:space="preserve"> </w:t>
      </w:r>
      <w:r w:rsidRPr="00ED10FF">
        <w:rPr>
          <w:sz w:val="24"/>
        </w:rPr>
        <w:t>%~70</w:t>
      </w:r>
      <w:r w:rsidRPr="00ED10FF">
        <w:rPr>
          <w:rFonts w:hint="eastAsia"/>
          <w:sz w:val="24"/>
        </w:rPr>
        <w:t xml:space="preserve"> </w:t>
      </w:r>
      <w:r w:rsidRPr="00ED10FF">
        <w:rPr>
          <w:sz w:val="24"/>
        </w:rPr>
        <w:t>%</w:t>
      </w:r>
      <w:r w:rsidRPr="00ED10FF">
        <w:rPr>
          <w:sz w:val="24"/>
        </w:rPr>
        <w:t>。蚯蚓氨基酸种类齐全，可检测出</w:t>
      </w:r>
      <w:r w:rsidRPr="00ED10FF">
        <w:rPr>
          <w:sz w:val="24"/>
        </w:rPr>
        <w:t>17</w:t>
      </w:r>
      <w:r w:rsidRPr="00ED10FF">
        <w:rPr>
          <w:sz w:val="24"/>
        </w:rPr>
        <w:t>种氨基酸</w:t>
      </w:r>
      <w:r w:rsidRPr="00ED10FF">
        <w:rPr>
          <w:sz w:val="24"/>
          <w:vertAlign w:val="superscript"/>
        </w:rPr>
        <w:t>[11]</w:t>
      </w:r>
      <w:r w:rsidRPr="00ED10FF">
        <w:rPr>
          <w:sz w:val="24"/>
        </w:rPr>
        <w:t>，必需氨基酸含量可达</w:t>
      </w:r>
      <w:r w:rsidRPr="00ED10FF">
        <w:rPr>
          <w:sz w:val="24"/>
        </w:rPr>
        <w:t>55.48</w:t>
      </w:r>
      <w:r w:rsidRPr="00ED10FF">
        <w:rPr>
          <w:rFonts w:hint="eastAsia"/>
          <w:sz w:val="24"/>
        </w:rPr>
        <w:t xml:space="preserve"> </w:t>
      </w:r>
      <w:r w:rsidRPr="00ED10FF">
        <w:rPr>
          <w:sz w:val="24"/>
        </w:rPr>
        <w:t>%~59.75</w:t>
      </w:r>
      <w:r w:rsidRPr="00ED10FF">
        <w:rPr>
          <w:rFonts w:hint="eastAsia"/>
          <w:sz w:val="24"/>
        </w:rPr>
        <w:t xml:space="preserve"> </w:t>
      </w:r>
      <w:r w:rsidRPr="00ED10FF">
        <w:rPr>
          <w:sz w:val="24"/>
        </w:rPr>
        <w:t>%</w:t>
      </w:r>
      <w:r w:rsidRPr="00ED10FF">
        <w:rPr>
          <w:sz w:val="24"/>
          <w:vertAlign w:val="superscript"/>
        </w:rPr>
        <w:t>[12]</w:t>
      </w:r>
      <w:r w:rsidRPr="00ED10FF">
        <w:rPr>
          <w:sz w:val="24"/>
        </w:rPr>
        <w:t>，其中亮氨酸、赖氨酸、精氨酸及苏氨酸含量占总必需氨基酸的</w:t>
      </w:r>
      <w:r w:rsidRPr="00ED10FF">
        <w:rPr>
          <w:sz w:val="24"/>
        </w:rPr>
        <w:t>50</w:t>
      </w:r>
      <w:r w:rsidRPr="00ED10FF">
        <w:rPr>
          <w:rFonts w:hint="eastAsia"/>
          <w:sz w:val="24"/>
        </w:rPr>
        <w:t xml:space="preserve"> </w:t>
      </w:r>
      <w:r w:rsidRPr="00ED10FF">
        <w:rPr>
          <w:sz w:val="24"/>
        </w:rPr>
        <w:t>%</w:t>
      </w:r>
      <w:r w:rsidRPr="00ED10FF">
        <w:rPr>
          <w:sz w:val="24"/>
        </w:rPr>
        <w:t>以上。蚯蚓脂肪含量占干体重的</w:t>
      </w:r>
      <w:r w:rsidRPr="00ED10FF">
        <w:rPr>
          <w:sz w:val="24"/>
        </w:rPr>
        <w:t>6</w:t>
      </w:r>
      <w:r w:rsidRPr="00ED10FF">
        <w:rPr>
          <w:rFonts w:hint="eastAsia"/>
          <w:sz w:val="24"/>
        </w:rPr>
        <w:t xml:space="preserve"> </w:t>
      </w:r>
      <w:r w:rsidRPr="00ED10FF">
        <w:rPr>
          <w:sz w:val="24"/>
        </w:rPr>
        <w:t>%~11</w:t>
      </w:r>
      <w:r w:rsidRPr="00ED10FF">
        <w:rPr>
          <w:rFonts w:hint="eastAsia"/>
          <w:sz w:val="24"/>
        </w:rPr>
        <w:t xml:space="preserve"> </w:t>
      </w:r>
      <w:r w:rsidRPr="00ED10FF">
        <w:rPr>
          <w:sz w:val="24"/>
        </w:rPr>
        <w:t>%</w:t>
      </w:r>
      <w:r w:rsidRPr="00ED10FF">
        <w:rPr>
          <w:sz w:val="24"/>
          <w:vertAlign w:val="superscript"/>
        </w:rPr>
        <w:t>[13]</w:t>
      </w:r>
      <w:r w:rsidRPr="00ED10FF">
        <w:rPr>
          <w:sz w:val="24"/>
        </w:rPr>
        <w:t>，主要由饱和脂肪酸、单不饱和脂肪酸和多不饱和脂肪酸组成</w:t>
      </w:r>
      <w:r w:rsidRPr="00ED10FF">
        <w:rPr>
          <w:sz w:val="24"/>
          <w:vertAlign w:val="superscript"/>
        </w:rPr>
        <w:t>[11]</w:t>
      </w:r>
      <w:r w:rsidRPr="00ED10FF">
        <w:rPr>
          <w:sz w:val="24"/>
        </w:rPr>
        <w:t>。蚯蚓体内饱和脂肪酸主要为棕榈酸</w:t>
      </w:r>
      <w:r w:rsidRPr="00ED10FF">
        <w:rPr>
          <w:sz w:val="24"/>
        </w:rPr>
        <w:t>(C16</w:t>
      </w:r>
      <w:r w:rsidRPr="00ED10FF">
        <w:rPr>
          <w:rFonts w:ascii="Cambria Math" w:hAnsi="Cambria Math" w:cs="Cambria Math"/>
          <w:sz w:val="24"/>
        </w:rPr>
        <w:t>∶</w:t>
      </w:r>
      <w:r w:rsidRPr="00ED10FF">
        <w:rPr>
          <w:sz w:val="24"/>
        </w:rPr>
        <w:t>0)</w:t>
      </w:r>
      <w:r w:rsidRPr="00ED10FF">
        <w:rPr>
          <w:sz w:val="24"/>
        </w:rPr>
        <w:t>和硬脂酸</w:t>
      </w:r>
      <w:r w:rsidRPr="00ED10FF">
        <w:rPr>
          <w:sz w:val="24"/>
        </w:rPr>
        <w:t>(C18</w:t>
      </w:r>
      <w:r w:rsidRPr="00ED10FF">
        <w:rPr>
          <w:rFonts w:ascii="Cambria Math" w:hAnsi="Cambria Math" w:cs="Cambria Math"/>
          <w:sz w:val="24"/>
        </w:rPr>
        <w:t>∶</w:t>
      </w:r>
      <w:r w:rsidRPr="00ED10FF">
        <w:rPr>
          <w:sz w:val="24"/>
        </w:rPr>
        <w:t>0)</w:t>
      </w:r>
      <w:r w:rsidRPr="00ED10FF">
        <w:rPr>
          <w:sz w:val="24"/>
        </w:rPr>
        <w:t>；单不饱和脂肪酸主要为油酸</w:t>
      </w:r>
      <w:r w:rsidRPr="00ED10FF">
        <w:rPr>
          <w:sz w:val="24"/>
        </w:rPr>
        <w:t>(C18</w:t>
      </w:r>
      <w:r w:rsidRPr="00ED10FF">
        <w:rPr>
          <w:rFonts w:ascii="Cambria Math" w:hAnsi="Cambria Math" w:cs="Cambria Math"/>
          <w:sz w:val="24"/>
        </w:rPr>
        <w:t>∶</w:t>
      </w:r>
      <w:r w:rsidRPr="00ED10FF">
        <w:rPr>
          <w:sz w:val="24"/>
        </w:rPr>
        <w:t>1)</w:t>
      </w:r>
      <w:r w:rsidRPr="00ED10FF">
        <w:rPr>
          <w:sz w:val="24"/>
        </w:rPr>
        <w:t>；多不饱和脂肪酸主要为</w:t>
      </w:r>
      <w:r w:rsidRPr="00ED10FF">
        <w:rPr>
          <w:sz w:val="24"/>
        </w:rPr>
        <w:t>n-3</w:t>
      </w:r>
      <w:r w:rsidRPr="00ED10FF">
        <w:rPr>
          <w:sz w:val="24"/>
        </w:rPr>
        <w:t>和</w:t>
      </w:r>
      <w:r w:rsidRPr="00ED10FF">
        <w:rPr>
          <w:sz w:val="24"/>
        </w:rPr>
        <w:t>n-6</w:t>
      </w:r>
      <w:r w:rsidRPr="00ED10FF">
        <w:rPr>
          <w:sz w:val="24"/>
        </w:rPr>
        <w:t>系列脂肪酸，</w:t>
      </w:r>
      <w:r w:rsidRPr="00ED10FF">
        <w:rPr>
          <w:sz w:val="24"/>
        </w:rPr>
        <w:t>n-3</w:t>
      </w:r>
      <w:r w:rsidRPr="00ED10FF">
        <w:rPr>
          <w:sz w:val="24"/>
        </w:rPr>
        <w:t>系列主要为亚麻酸</w:t>
      </w:r>
      <w:r w:rsidRPr="00ED10FF">
        <w:rPr>
          <w:sz w:val="24"/>
        </w:rPr>
        <w:t>(C18</w:t>
      </w:r>
      <w:r w:rsidRPr="00ED10FF">
        <w:rPr>
          <w:rFonts w:ascii="Cambria Math" w:hAnsi="Cambria Math" w:cs="Cambria Math"/>
          <w:sz w:val="24"/>
        </w:rPr>
        <w:t>∶</w:t>
      </w:r>
      <w:r w:rsidRPr="00ED10FF">
        <w:rPr>
          <w:sz w:val="24"/>
        </w:rPr>
        <w:t>3)</w:t>
      </w:r>
      <w:r w:rsidRPr="00ED10FF">
        <w:rPr>
          <w:sz w:val="24"/>
        </w:rPr>
        <w:t>、二十碳五烯酸</w:t>
      </w:r>
      <w:r w:rsidRPr="00ED10FF">
        <w:rPr>
          <w:sz w:val="24"/>
        </w:rPr>
        <w:t>(EPA</w:t>
      </w:r>
      <w:r w:rsidRPr="00ED10FF">
        <w:rPr>
          <w:sz w:val="24"/>
        </w:rPr>
        <w:t>，</w:t>
      </w:r>
      <w:r w:rsidRPr="00ED10FF">
        <w:rPr>
          <w:sz w:val="24"/>
        </w:rPr>
        <w:t>C20</w:t>
      </w:r>
      <w:r w:rsidRPr="00ED10FF">
        <w:rPr>
          <w:rFonts w:ascii="Cambria Math" w:hAnsi="Cambria Math" w:cs="Cambria Math"/>
          <w:sz w:val="24"/>
        </w:rPr>
        <w:t>∶</w:t>
      </w:r>
      <w:r w:rsidRPr="00ED10FF">
        <w:rPr>
          <w:sz w:val="24"/>
        </w:rPr>
        <w:t>5)</w:t>
      </w:r>
      <w:r w:rsidRPr="00ED10FF">
        <w:rPr>
          <w:sz w:val="24"/>
        </w:rPr>
        <w:t>和二十二碳五烯酸</w:t>
      </w:r>
      <w:r w:rsidRPr="00ED10FF">
        <w:rPr>
          <w:sz w:val="24"/>
        </w:rPr>
        <w:t>(DPA</w:t>
      </w:r>
      <w:r w:rsidRPr="00ED10FF">
        <w:rPr>
          <w:sz w:val="24"/>
        </w:rPr>
        <w:t>，</w:t>
      </w:r>
      <w:r w:rsidRPr="00ED10FF">
        <w:rPr>
          <w:sz w:val="24"/>
        </w:rPr>
        <w:t>C22</w:t>
      </w:r>
      <w:r w:rsidRPr="00ED10FF">
        <w:rPr>
          <w:rFonts w:ascii="Cambria Math" w:hAnsi="Cambria Math" w:cs="Cambria Math"/>
          <w:sz w:val="24"/>
        </w:rPr>
        <w:t>∶</w:t>
      </w:r>
      <w:r w:rsidRPr="00ED10FF">
        <w:rPr>
          <w:sz w:val="24"/>
        </w:rPr>
        <w:t>5)</w:t>
      </w:r>
      <w:r w:rsidRPr="00ED10FF">
        <w:rPr>
          <w:sz w:val="24"/>
        </w:rPr>
        <w:t>，</w:t>
      </w:r>
      <w:r w:rsidRPr="00ED10FF">
        <w:rPr>
          <w:sz w:val="24"/>
        </w:rPr>
        <w:t>n-6</w:t>
      </w:r>
      <w:r w:rsidRPr="00ED10FF">
        <w:rPr>
          <w:sz w:val="24"/>
        </w:rPr>
        <w:t>系列主要为亚油酸</w:t>
      </w:r>
      <w:r w:rsidRPr="00ED10FF">
        <w:rPr>
          <w:sz w:val="24"/>
        </w:rPr>
        <w:t>(C18</w:t>
      </w:r>
      <w:r w:rsidRPr="00ED10FF">
        <w:rPr>
          <w:rFonts w:ascii="Cambria Math" w:hAnsi="Cambria Math" w:cs="Cambria Math"/>
          <w:sz w:val="24"/>
        </w:rPr>
        <w:t>∶</w:t>
      </w:r>
      <w:r w:rsidRPr="00ED10FF">
        <w:rPr>
          <w:sz w:val="24"/>
        </w:rPr>
        <w:t>2)</w:t>
      </w:r>
      <w:r w:rsidRPr="00ED10FF">
        <w:rPr>
          <w:sz w:val="24"/>
        </w:rPr>
        <w:t>和花生四烯酸</w:t>
      </w:r>
      <w:r w:rsidRPr="00ED10FF">
        <w:rPr>
          <w:sz w:val="24"/>
        </w:rPr>
        <w:t>(C20</w:t>
      </w:r>
      <w:r w:rsidRPr="00ED10FF">
        <w:rPr>
          <w:rFonts w:ascii="Cambria Math" w:hAnsi="Cambria Math" w:cs="Cambria Math"/>
          <w:sz w:val="24"/>
        </w:rPr>
        <w:t>∶</w:t>
      </w:r>
      <w:r w:rsidRPr="00ED10FF">
        <w:rPr>
          <w:sz w:val="24"/>
        </w:rPr>
        <w:t>2)</w:t>
      </w:r>
      <w:r w:rsidRPr="00B822B8">
        <w:rPr>
          <w:sz w:val="24"/>
          <w:vertAlign w:val="superscript"/>
        </w:rPr>
        <w:t>[12]</w:t>
      </w:r>
      <w:r w:rsidRPr="00ED10FF">
        <w:rPr>
          <w:sz w:val="24"/>
        </w:rPr>
        <w:t>。此外，蚯蚓粉中还含有微量短链脂肪酸，如乙酸、丙酸和戊酸</w:t>
      </w:r>
      <w:r w:rsidRPr="00ED10FF">
        <w:rPr>
          <w:sz w:val="24"/>
          <w:vertAlign w:val="superscript"/>
        </w:rPr>
        <w:t>[14]</w:t>
      </w:r>
      <w:r w:rsidRPr="00ED10FF">
        <w:rPr>
          <w:sz w:val="24"/>
        </w:rPr>
        <w:t>。目前，蚯蚓粉作为饲料资源的研究主要集中在其蛋白质和脂肪方面，对蚯蚓粉碳水化合物组成的关注相对较少。有研究报道，蚯蚓的碳水化合物含量为</w:t>
      </w:r>
      <w:r w:rsidRPr="00ED10FF">
        <w:rPr>
          <w:sz w:val="24"/>
        </w:rPr>
        <w:t>16.69</w:t>
      </w:r>
      <w:r w:rsidRPr="00ED10FF">
        <w:rPr>
          <w:rFonts w:hint="eastAsia"/>
          <w:sz w:val="24"/>
        </w:rPr>
        <w:t xml:space="preserve"> </w:t>
      </w:r>
      <w:r w:rsidRPr="00ED10FF">
        <w:rPr>
          <w:sz w:val="24"/>
        </w:rPr>
        <w:t>%~19.50</w:t>
      </w:r>
      <w:r w:rsidRPr="00ED10FF">
        <w:rPr>
          <w:rFonts w:hint="eastAsia"/>
          <w:sz w:val="24"/>
        </w:rPr>
        <w:t xml:space="preserve"> </w:t>
      </w:r>
      <w:r w:rsidRPr="00ED10FF">
        <w:rPr>
          <w:sz w:val="24"/>
        </w:rPr>
        <w:t>%</w:t>
      </w:r>
      <w:r w:rsidRPr="00ED10FF">
        <w:rPr>
          <w:sz w:val="24"/>
        </w:rPr>
        <w:t>，其中水溶性碳水化合物占</w:t>
      </w:r>
      <w:r w:rsidRPr="00ED10FF">
        <w:rPr>
          <w:sz w:val="24"/>
        </w:rPr>
        <w:t>6.60</w:t>
      </w:r>
      <w:r w:rsidRPr="00ED10FF">
        <w:rPr>
          <w:rFonts w:hint="eastAsia"/>
          <w:sz w:val="24"/>
        </w:rPr>
        <w:t xml:space="preserve"> </w:t>
      </w:r>
      <w:r w:rsidRPr="00ED10FF">
        <w:rPr>
          <w:sz w:val="24"/>
        </w:rPr>
        <w:t>%</w:t>
      </w:r>
      <w:r w:rsidRPr="00ED10FF">
        <w:rPr>
          <w:sz w:val="24"/>
        </w:rPr>
        <w:t>，粗纤维占</w:t>
      </w:r>
      <w:r w:rsidRPr="00ED10FF">
        <w:rPr>
          <w:sz w:val="24"/>
        </w:rPr>
        <w:t>2.23</w:t>
      </w:r>
      <w:r w:rsidRPr="00ED10FF">
        <w:rPr>
          <w:rFonts w:hint="eastAsia"/>
          <w:sz w:val="24"/>
        </w:rPr>
        <w:t xml:space="preserve"> </w:t>
      </w:r>
      <w:r w:rsidRPr="00ED10FF">
        <w:rPr>
          <w:sz w:val="24"/>
        </w:rPr>
        <w:t>%</w:t>
      </w:r>
      <w:r w:rsidRPr="00ED10FF">
        <w:rPr>
          <w:sz w:val="24"/>
          <w:vertAlign w:val="superscript"/>
        </w:rPr>
        <w:t>[13,15]</w:t>
      </w:r>
      <w:r w:rsidRPr="00ED10FF">
        <w:rPr>
          <w:sz w:val="24"/>
        </w:rPr>
        <w:t>。蚯蚓同样富含多种矿物质元素。据报道，蚯蚓含有高水平的钾、钠、钙和磷，含量分别可达</w:t>
      </w:r>
      <w:r w:rsidRPr="00ED10FF">
        <w:rPr>
          <w:sz w:val="24"/>
        </w:rPr>
        <w:t>4723</w:t>
      </w:r>
      <w:r w:rsidRPr="00ED10FF">
        <w:rPr>
          <w:sz w:val="24"/>
        </w:rPr>
        <w:t>、</w:t>
      </w:r>
      <w:r w:rsidRPr="00ED10FF">
        <w:rPr>
          <w:sz w:val="24"/>
        </w:rPr>
        <w:t>2202</w:t>
      </w:r>
      <w:r w:rsidRPr="00ED10FF">
        <w:rPr>
          <w:sz w:val="24"/>
        </w:rPr>
        <w:t>、</w:t>
      </w:r>
      <w:r w:rsidRPr="00ED10FF">
        <w:rPr>
          <w:sz w:val="24"/>
        </w:rPr>
        <w:t>4014</w:t>
      </w:r>
      <w:r w:rsidRPr="00ED10FF">
        <w:rPr>
          <w:sz w:val="24"/>
        </w:rPr>
        <w:t>和</w:t>
      </w:r>
      <w:r w:rsidRPr="00ED10FF">
        <w:rPr>
          <w:sz w:val="24"/>
        </w:rPr>
        <w:t>3082</w:t>
      </w:r>
      <w:r w:rsidRPr="00ED10FF">
        <w:rPr>
          <w:rFonts w:hint="eastAsia"/>
          <w:sz w:val="24"/>
        </w:rPr>
        <w:t xml:space="preserve"> </w:t>
      </w:r>
      <w:r w:rsidRPr="00ED10FF">
        <w:rPr>
          <w:sz w:val="24"/>
        </w:rPr>
        <w:t>mg/kg</w:t>
      </w:r>
      <w:r w:rsidRPr="00ED10FF">
        <w:rPr>
          <w:sz w:val="24"/>
          <w:vertAlign w:val="superscript"/>
        </w:rPr>
        <w:t>[14]</w:t>
      </w:r>
      <w:r w:rsidRPr="00ED10FF">
        <w:rPr>
          <w:sz w:val="24"/>
        </w:rPr>
        <w:t>，足以满足大多数鱼类的需求。不同品种蚯蚓在不同培养基下的营养成分见表</w:t>
      </w:r>
      <w:r w:rsidRPr="00ED10FF">
        <w:rPr>
          <w:sz w:val="24"/>
        </w:rPr>
        <w:t>1</w:t>
      </w:r>
      <w:r w:rsidRPr="00ED10FF">
        <w:rPr>
          <w:sz w:val="24"/>
        </w:rPr>
        <w:t>。</w:t>
      </w:r>
    </w:p>
    <w:p w14:paraId="574B97FA" w14:textId="77777777" w:rsidR="00B822B8" w:rsidRPr="00ED10FF" w:rsidRDefault="00B822B8" w:rsidP="00B822B8">
      <w:pPr>
        <w:spacing w:line="360" w:lineRule="auto"/>
        <w:rPr>
          <w:sz w:val="24"/>
        </w:rPr>
      </w:pPr>
      <w:r w:rsidRPr="00ED10FF">
        <w:rPr>
          <w:sz w:val="24"/>
        </w:rPr>
        <w:t>1.2</w:t>
      </w:r>
      <w:r w:rsidRPr="00ED10FF">
        <w:rPr>
          <w:sz w:val="24"/>
        </w:rPr>
        <w:t>影响蚯蚓营养成分的因素</w:t>
      </w:r>
    </w:p>
    <w:p w14:paraId="0A1241EB" w14:textId="77777777" w:rsidR="00B822B8" w:rsidRPr="00ED10FF" w:rsidRDefault="00B822B8" w:rsidP="00B822B8">
      <w:pPr>
        <w:spacing w:line="360" w:lineRule="auto"/>
        <w:rPr>
          <w:sz w:val="24"/>
        </w:rPr>
      </w:pPr>
      <w:r w:rsidRPr="00ED10FF">
        <w:rPr>
          <w:sz w:val="24"/>
        </w:rPr>
        <w:t>1.2.1</w:t>
      </w:r>
      <w:r w:rsidRPr="00ED10FF">
        <w:rPr>
          <w:sz w:val="24"/>
        </w:rPr>
        <w:t>蚯蚓品种</w:t>
      </w:r>
    </w:p>
    <w:p w14:paraId="79777DA7" w14:textId="77777777" w:rsidR="00B822B8" w:rsidRPr="00ED10FF" w:rsidRDefault="00B822B8" w:rsidP="00B822B8">
      <w:pPr>
        <w:spacing w:line="360" w:lineRule="auto"/>
        <w:ind w:firstLineChars="200" w:firstLine="480"/>
        <w:rPr>
          <w:sz w:val="24"/>
        </w:rPr>
      </w:pPr>
      <w:r w:rsidRPr="00ED10FF">
        <w:rPr>
          <w:sz w:val="24"/>
        </w:rPr>
        <w:t>品种是影响蚯蚓营养成分的核心因素之一。研究发现，在相同的生活条件下，陆正蚓</w:t>
      </w:r>
      <w:r w:rsidRPr="00ED10FF">
        <w:rPr>
          <w:sz w:val="24"/>
        </w:rPr>
        <w:t>(</w:t>
      </w:r>
      <w:proofErr w:type="spellStart"/>
      <w:r w:rsidRPr="00ED10FF">
        <w:rPr>
          <w:i/>
          <w:iCs/>
          <w:sz w:val="24"/>
        </w:rPr>
        <w:t>Lumbricusterrestris</w:t>
      </w:r>
      <w:proofErr w:type="spellEnd"/>
      <w:r w:rsidRPr="00ED10FF">
        <w:rPr>
          <w:sz w:val="24"/>
        </w:rPr>
        <w:t>)</w:t>
      </w:r>
      <w:r w:rsidRPr="00ED10FF">
        <w:rPr>
          <w:sz w:val="24"/>
        </w:rPr>
        <w:t>的总氨基酸含量可达</w:t>
      </w:r>
      <w:r w:rsidRPr="00ED10FF">
        <w:rPr>
          <w:sz w:val="24"/>
        </w:rPr>
        <w:t>935.2</w:t>
      </w:r>
      <w:r w:rsidRPr="00ED10FF">
        <w:rPr>
          <w:rFonts w:hint="eastAsia"/>
          <w:sz w:val="24"/>
        </w:rPr>
        <w:t xml:space="preserve"> </w:t>
      </w:r>
      <w:r w:rsidRPr="00ED10FF">
        <w:rPr>
          <w:sz w:val="24"/>
        </w:rPr>
        <w:t>mg/g</w:t>
      </w:r>
      <w:r w:rsidRPr="00ED10FF">
        <w:rPr>
          <w:sz w:val="24"/>
        </w:rPr>
        <w:t>，而玫红正蚓</w:t>
      </w:r>
      <w:r w:rsidRPr="00ED10FF">
        <w:rPr>
          <w:sz w:val="24"/>
        </w:rPr>
        <w:t>(</w:t>
      </w:r>
      <w:proofErr w:type="spellStart"/>
      <w:r w:rsidRPr="00ED10FF">
        <w:rPr>
          <w:i/>
          <w:iCs/>
          <w:sz w:val="24"/>
        </w:rPr>
        <w:t>Nicoderius</w:t>
      </w:r>
      <w:proofErr w:type="spellEnd"/>
      <w:r w:rsidRPr="00ED10FF">
        <w:rPr>
          <w:i/>
          <w:iCs/>
          <w:sz w:val="24"/>
        </w:rPr>
        <w:t xml:space="preserve"> roseus</w:t>
      </w:r>
      <w:r w:rsidRPr="00ED10FF">
        <w:rPr>
          <w:sz w:val="24"/>
        </w:rPr>
        <w:t>)</w:t>
      </w:r>
      <w:r w:rsidRPr="00ED10FF">
        <w:rPr>
          <w:sz w:val="24"/>
        </w:rPr>
        <w:t>的总氨基酸含量仅为</w:t>
      </w:r>
      <w:r w:rsidRPr="00ED10FF">
        <w:rPr>
          <w:sz w:val="24"/>
        </w:rPr>
        <w:t>494.0</w:t>
      </w:r>
      <w:r w:rsidRPr="00ED10FF">
        <w:rPr>
          <w:rFonts w:hint="eastAsia"/>
          <w:sz w:val="24"/>
        </w:rPr>
        <w:t xml:space="preserve"> </w:t>
      </w:r>
      <w:r w:rsidRPr="00ED10FF">
        <w:rPr>
          <w:sz w:val="24"/>
        </w:rPr>
        <w:t>mg/g</w:t>
      </w:r>
      <w:r w:rsidRPr="00ED10FF">
        <w:rPr>
          <w:sz w:val="24"/>
        </w:rPr>
        <w:t>；前者的氨基酸主要由谷氨酸、亮氨酸、赖氨酸和丙氨酸组成，后者主要由谷氨酸、天冬酰胺、精氨酸和亮氨酸组成。在相同的生活条件下，腹枝蚓</w:t>
      </w:r>
      <w:r w:rsidRPr="00ED10FF">
        <w:rPr>
          <w:sz w:val="24"/>
        </w:rPr>
        <w:t>(</w:t>
      </w:r>
      <w:proofErr w:type="spellStart"/>
      <w:r w:rsidRPr="00ED10FF">
        <w:rPr>
          <w:i/>
          <w:iCs/>
          <w:sz w:val="24"/>
        </w:rPr>
        <w:t>Dendrobaena</w:t>
      </w:r>
      <w:proofErr w:type="spellEnd"/>
      <w:r w:rsidRPr="00ED10FF">
        <w:rPr>
          <w:i/>
          <w:iCs/>
          <w:sz w:val="24"/>
        </w:rPr>
        <w:t xml:space="preserve"> </w:t>
      </w:r>
      <w:proofErr w:type="spellStart"/>
      <w:r w:rsidRPr="00ED10FF">
        <w:rPr>
          <w:i/>
          <w:iCs/>
          <w:sz w:val="24"/>
        </w:rPr>
        <w:t>veneta</w:t>
      </w:r>
      <w:proofErr w:type="spellEnd"/>
      <w:r w:rsidRPr="00ED10FF">
        <w:rPr>
          <w:sz w:val="24"/>
        </w:rPr>
        <w:t>)</w:t>
      </w:r>
      <w:r w:rsidRPr="00ED10FF">
        <w:rPr>
          <w:sz w:val="24"/>
        </w:rPr>
        <w:t>的总必需氨基酸含量</w:t>
      </w:r>
      <w:r w:rsidRPr="00ED10FF">
        <w:rPr>
          <w:sz w:val="24"/>
        </w:rPr>
        <w:t>(27.96</w:t>
      </w:r>
      <w:r w:rsidRPr="00ED10FF">
        <w:rPr>
          <w:rFonts w:hint="eastAsia"/>
          <w:sz w:val="24"/>
        </w:rPr>
        <w:t xml:space="preserve"> </w:t>
      </w:r>
      <w:r w:rsidRPr="00ED10FF">
        <w:rPr>
          <w:sz w:val="24"/>
        </w:rPr>
        <w:t>%)</w:t>
      </w:r>
      <w:r w:rsidRPr="00ED10FF">
        <w:rPr>
          <w:sz w:val="24"/>
        </w:rPr>
        <w:t>低于赤子爱胜蚓</w:t>
      </w:r>
      <w:r w:rsidRPr="00ED10FF">
        <w:rPr>
          <w:sz w:val="24"/>
        </w:rPr>
        <w:t>(</w:t>
      </w:r>
      <w:r w:rsidRPr="00ED10FF">
        <w:rPr>
          <w:i/>
          <w:iCs/>
          <w:sz w:val="24"/>
        </w:rPr>
        <w:t xml:space="preserve">Eisenia </w:t>
      </w:r>
      <w:proofErr w:type="spellStart"/>
      <w:r w:rsidRPr="00ED10FF">
        <w:rPr>
          <w:i/>
          <w:iCs/>
          <w:sz w:val="24"/>
        </w:rPr>
        <w:t>foetida</w:t>
      </w:r>
      <w:proofErr w:type="spellEnd"/>
      <w:r w:rsidRPr="00ED10FF">
        <w:rPr>
          <w:sz w:val="24"/>
        </w:rPr>
        <w:t>)(32.10</w:t>
      </w:r>
      <w:r w:rsidRPr="00ED10FF">
        <w:rPr>
          <w:rFonts w:hint="eastAsia"/>
          <w:sz w:val="24"/>
        </w:rPr>
        <w:t xml:space="preserve"> </w:t>
      </w:r>
      <w:r w:rsidRPr="00ED10FF">
        <w:rPr>
          <w:sz w:val="24"/>
        </w:rPr>
        <w:t>%)</w:t>
      </w:r>
      <w:r w:rsidRPr="00ED10FF">
        <w:rPr>
          <w:sz w:val="24"/>
          <w:vertAlign w:val="superscript"/>
        </w:rPr>
        <w:t>[12]</w:t>
      </w:r>
      <w:r w:rsidRPr="00ED10FF">
        <w:rPr>
          <w:sz w:val="24"/>
        </w:rPr>
        <w:t>。蚯蚓的脂肪酸组成同样受品种影响。在相同培养条件下，赤子爱胜蚓的饱和脂肪酸含量为</w:t>
      </w:r>
      <w:r w:rsidRPr="00ED10FF">
        <w:rPr>
          <w:sz w:val="24"/>
        </w:rPr>
        <w:t xml:space="preserve"> 35.31</w:t>
      </w:r>
      <w:r w:rsidRPr="00ED10FF">
        <w:rPr>
          <w:rFonts w:hint="eastAsia"/>
          <w:sz w:val="24"/>
        </w:rPr>
        <w:t xml:space="preserve"> </w:t>
      </w:r>
      <w:r w:rsidRPr="00ED10FF">
        <w:rPr>
          <w:sz w:val="24"/>
        </w:rPr>
        <w:t>%</w:t>
      </w:r>
      <w:r w:rsidRPr="00ED10FF">
        <w:rPr>
          <w:sz w:val="24"/>
        </w:rPr>
        <w:t>，略高于腹枝蚓的</w:t>
      </w:r>
      <w:r w:rsidRPr="00ED10FF">
        <w:rPr>
          <w:sz w:val="24"/>
        </w:rPr>
        <w:t>33.38</w:t>
      </w:r>
      <w:r w:rsidRPr="00ED10FF">
        <w:rPr>
          <w:rFonts w:hint="eastAsia"/>
          <w:sz w:val="24"/>
        </w:rPr>
        <w:t xml:space="preserve"> </w:t>
      </w:r>
      <w:r w:rsidRPr="00ED10FF">
        <w:rPr>
          <w:sz w:val="24"/>
        </w:rPr>
        <w:t>%</w:t>
      </w:r>
      <w:r w:rsidRPr="00ED10FF">
        <w:rPr>
          <w:sz w:val="24"/>
        </w:rPr>
        <w:t>；相反，赤子爱胜蚓的多不饱和脂肪酸含量为</w:t>
      </w:r>
      <w:r w:rsidRPr="00ED10FF">
        <w:rPr>
          <w:sz w:val="24"/>
        </w:rPr>
        <w:t>9.65</w:t>
      </w:r>
      <w:r w:rsidRPr="00ED10FF">
        <w:rPr>
          <w:rFonts w:hint="eastAsia"/>
          <w:sz w:val="24"/>
        </w:rPr>
        <w:t xml:space="preserve"> </w:t>
      </w:r>
      <w:r w:rsidRPr="00ED10FF">
        <w:rPr>
          <w:sz w:val="24"/>
        </w:rPr>
        <w:t>%</w:t>
      </w:r>
      <w:r w:rsidRPr="00ED10FF">
        <w:rPr>
          <w:sz w:val="24"/>
        </w:rPr>
        <w:t>，略低于腹枝蚓的</w:t>
      </w:r>
      <w:r w:rsidRPr="00ED10FF">
        <w:rPr>
          <w:sz w:val="24"/>
        </w:rPr>
        <w:t>10.02</w:t>
      </w:r>
      <w:r w:rsidRPr="00ED10FF">
        <w:rPr>
          <w:rFonts w:hint="eastAsia"/>
          <w:sz w:val="24"/>
        </w:rPr>
        <w:t xml:space="preserve"> </w:t>
      </w:r>
      <w:r w:rsidRPr="00ED10FF">
        <w:rPr>
          <w:sz w:val="24"/>
        </w:rPr>
        <w:t>%</w:t>
      </w:r>
      <w:r w:rsidRPr="00ED10FF">
        <w:rPr>
          <w:sz w:val="24"/>
        </w:rPr>
        <w:t>。一些脂肪酸在蚯蚓的生存过程中具有重要作用，因而在不同种类的蚯蚓中均为主要成分。例如，陆正蚓、腹枝蚓和赤子爱胜蚓的脂肪酸均以棕榈酸、硬脂酸、棕榈油酸、油酸以及亚油酸为主</w:t>
      </w:r>
      <w:r w:rsidRPr="00ED10FF">
        <w:rPr>
          <w:sz w:val="24"/>
          <w:vertAlign w:val="superscript"/>
        </w:rPr>
        <w:t>[11]</w:t>
      </w:r>
      <w:r w:rsidRPr="00ED10FF">
        <w:rPr>
          <w:sz w:val="24"/>
        </w:rPr>
        <w:t>。</w:t>
      </w:r>
    </w:p>
    <w:p w14:paraId="0C774981" w14:textId="77777777" w:rsidR="00B822B8" w:rsidRPr="00B822B8" w:rsidRDefault="00B822B8" w:rsidP="00B822B8">
      <w:pPr>
        <w:spacing w:line="360" w:lineRule="auto"/>
        <w:rPr>
          <w:sz w:val="24"/>
        </w:rPr>
      </w:pPr>
    </w:p>
    <w:p w14:paraId="36789D89" w14:textId="77777777" w:rsidR="00400E98" w:rsidRPr="00ED10FF" w:rsidRDefault="00400E98" w:rsidP="00B822B8">
      <w:pPr>
        <w:spacing w:line="360" w:lineRule="auto"/>
        <w:jc w:val="center"/>
        <w:rPr>
          <w:sz w:val="24"/>
        </w:rPr>
      </w:pPr>
      <w:r w:rsidRPr="00ED10FF">
        <w:rPr>
          <w:noProof/>
          <w:sz w:val="24"/>
        </w:rPr>
        <w:lastRenderedPageBreak/>
        <w:drawing>
          <wp:inline distT="0" distB="0" distL="0" distR="0" wp14:anchorId="394B9D00" wp14:editId="15CE5ABD">
            <wp:extent cx="4386263" cy="3744113"/>
            <wp:effectExtent l="0" t="0" r="5080" b="0"/>
            <wp:docPr id="1512203502" name="图片 1" descr="图形用户界面,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03502" name="图片 1" descr="图形用户界面, 表格&#10;&#10;AI 生成的内容可能不正确。"/>
                    <pic:cNvPicPr/>
                  </pic:nvPicPr>
                  <pic:blipFill>
                    <a:blip r:embed="rId11"/>
                    <a:stretch>
                      <a:fillRect/>
                    </a:stretch>
                  </pic:blipFill>
                  <pic:spPr>
                    <a:xfrm>
                      <a:off x="0" y="0"/>
                      <a:ext cx="4386263" cy="3744113"/>
                    </a:xfrm>
                    <a:prstGeom prst="rect">
                      <a:avLst/>
                    </a:prstGeom>
                  </pic:spPr>
                </pic:pic>
              </a:graphicData>
            </a:graphic>
          </wp:inline>
        </w:drawing>
      </w:r>
    </w:p>
    <w:p w14:paraId="5D7CB232" w14:textId="5F1307F4" w:rsidR="00400E98" w:rsidRPr="00ED10FF" w:rsidRDefault="00400E98" w:rsidP="00400E98">
      <w:pPr>
        <w:spacing w:line="360" w:lineRule="auto"/>
        <w:rPr>
          <w:sz w:val="24"/>
        </w:rPr>
      </w:pPr>
      <w:r w:rsidRPr="00ED10FF">
        <w:rPr>
          <w:sz w:val="24"/>
        </w:rPr>
        <w:t>1.2.2</w:t>
      </w:r>
      <w:r w:rsidRPr="00ED10FF">
        <w:rPr>
          <w:sz w:val="24"/>
        </w:rPr>
        <w:t>蚯蚓培育环境</w:t>
      </w:r>
    </w:p>
    <w:p w14:paraId="13CCFE69" w14:textId="77777777" w:rsidR="00400E98" w:rsidRPr="00ED10FF" w:rsidRDefault="00400E98" w:rsidP="00400E98">
      <w:pPr>
        <w:spacing w:line="360" w:lineRule="auto"/>
        <w:ind w:firstLineChars="200" w:firstLine="480"/>
        <w:rPr>
          <w:sz w:val="24"/>
        </w:rPr>
      </w:pPr>
      <w:r w:rsidRPr="00ED10FF">
        <w:rPr>
          <w:sz w:val="24"/>
        </w:rPr>
        <w:t>培育环境同样是影响蚯蚓营养成分的关键因素。通过猪粪和小麦秸秆堆肥培育的蚯蚓，其营养成分受猪粪与小麦秸秆的比值</w:t>
      </w:r>
      <w:r w:rsidRPr="00ED10FF">
        <w:rPr>
          <w:sz w:val="24"/>
        </w:rPr>
        <w:t>(C/N</w:t>
      </w:r>
      <w:r w:rsidRPr="00ED10FF">
        <w:rPr>
          <w:sz w:val="24"/>
        </w:rPr>
        <w:t>比值</w:t>
      </w:r>
      <w:r w:rsidRPr="00ED10FF">
        <w:rPr>
          <w:sz w:val="24"/>
        </w:rPr>
        <w:t>)</w:t>
      </w:r>
      <w:r w:rsidRPr="00ED10FF">
        <w:rPr>
          <w:sz w:val="24"/>
        </w:rPr>
        <w:t>调控，蚯蚓的粗蛋白、粗脂肪和粗灰分含量分别为</w:t>
      </w:r>
      <w:r w:rsidRPr="00ED10FF">
        <w:rPr>
          <w:sz w:val="24"/>
        </w:rPr>
        <w:t>62.33</w:t>
      </w:r>
      <w:r w:rsidRPr="00ED10FF">
        <w:rPr>
          <w:rFonts w:hint="eastAsia"/>
          <w:sz w:val="24"/>
        </w:rPr>
        <w:t xml:space="preserve"> </w:t>
      </w:r>
      <w:r w:rsidRPr="00ED10FF">
        <w:rPr>
          <w:sz w:val="24"/>
        </w:rPr>
        <w:t>%~65.93</w:t>
      </w:r>
      <w:r w:rsidRPr="00ED10FF">
        <w:rPr>
          <w:rFonts w:hint="eastAsia"/>
          <w:sz w:val="24"/>
        </w:rPr>
        <w:t xml:space="preserve"> </w:t>
      </w:r>
      <w:r w:rsidRPr="00ED10FF">
        <w:rPr>
          <w:sz w:val="24"/>
        </w:rPr>
        <w:t>%</w:t>
      </w:r>
      <w:r w:rsidRPr="00ED10FF">
        <w:rPr>
          <w:sz w:val="24"/>
        </w:rPr>
        <w:t>、</w:t>
      </w:r>
      <w:r w:rsidRPr="00ED10FF">
        <w:rPr>
          <w:sz w:val="24"/>
        </w:rPr>
        <w:t>4.68</w:t>
      </w:r>
      <w:r w:rsidRPr="00ED10FF">
        <w:rPr>
          <w:rFonts w:hint="eastAsia"/>
          <w:sz w:val="24"/>
        </w:rPr>
        <w:t xml:space="preserve"> </w:t>
      </w:r>
      <w:r w:rsidRPr="00ED10FF">
        <w:rPr>
          <w:sz w:val="24"/>
        </w:rPr>
        <w:t>%~6.46</w:t>
      </w:r>
      <w:r w:rsidRPr="00ED10FF">
        <w:rPr>
          <w:rFonts w:hint="eastAsia"/>
          <w:sz w:val="24"/>
        </w:rPr>
        <w:t xml:space="preserve"> </w:t>
      </w:r>
      <w:r w:rsidRPr="00ED10FF">
        <w:rPr>
          <w:sz w:val="24"/>
        </w:rPr>
        <w:t>%</w:t>
      </w:r>
      <w:r w:rsidRPr="00ED10FF">
        <w:rPr>
          <w:sz w:val="24"/>
        </w:rPr>
        <w:t>和</w:t>
      </w:r>
      <w:r w:rsidRPr="00ED10FF">
        <w:rPr>
          <w:sz w:val="24"/>
        </w:rPr>
        <w:t>13.11</w:t>
      </w:r>
      <w:r w:rsidRPr="00ED10FF">
        <w:rPr>
          <w:rFonts w:hint="eastAsia"/>
          <w:sz w:val="24"/>
        </w:rPr>
        <w:t xml:space="preserve"> </w:t>
      </w:r>
      <w:r w:rsidRPr="00ED10FF">
        <w:rPr>
          <w:sz w:val="24"/>
        </w:rPr>
        <w:t>%~16.01</w:t>
      </w:r>
      <w:r w:rsidRPr="00ED10FF">
        <w:rPr>
          <w:rFonts w:hint="eastAsia"/>
          <w:sz w:val="24"/>
        </w:rPr>
        <w:t xml:space="preserve"> </w:t>
      </w:r>
      <w:r w:rsidRPr="00ED10FF">
        <w:rPr>
          <w:sz w:val="24"/>
        </w:rPr>
        <w:t>%</w:t>
      </w:r>
      <w:r w:rsidRPr="00ED10FF">
        <w:rPr>
          <w:sz w:val="24"/>
          <w:vertAlign w:val="superscript"/>
        </w:rPr>
        <w:t>[15]</w:t>
      </w:r>
      <w:r w:rsidRPr="00ED10FF">
        <w:rPr>
          <w:sz w:val="24"/>
        </w:rPr>
        <w:t>。分别以咖啡渣、大麦废弃物和餐厨废弃物培养蚯蚓，大麦废弃物组蚯蚓的粗蛋白含量显著高于其他两组</w:t>
      </w:r>
      <w:r w:rsidRPr="00ED10FF">
        <w:rPr>
          <w:sz w:val="24"/>
          <w:vertAlign w:val="superscript"/>
        </w:rPr>
        <w:t>[20]</w:t>
      </w:r>
      <w:r w:rsidRPr="00ED10FF">
        <w:rPr>
          <w:sz w:val="24"/>
        </w:rPr>
        <w:t>。在不同培养基质下，赤子爱胜蚓和赤子爱胜蚓及其亚种的营养成分也存在差异</w:t>
      </w:r>
      <w:r w:rsidRPr="00ED10FF">
        <w:rPr>
          <w:sz w:val="24"/>
        </w:rPr>
        <w:t>(</w:t>
      </w:r>
      <w:r w:rsidRPr="00ED10FF">
        <w:rPr>
          <w:sz w:val="24"/>
        </w:rPr>
        <w:t>见表</w:t>
      </w:r>
      <w:r w:rsidRPr="00ED10FF">
        <w:rPr>
          <w:sz w:val="24"/>
        </w:rPr>
        <w:t>1)</w:t>
      </w:r>
      <w:r w:rsidRPr="00ED10FF">
        <w:rPr>
          <w:sz w:val="24"/>
        </w:rPr>
        <w:t>。培育环境也会影响蚯蚓的氨基酸组成，尤其是一些必需氨基酸。饲料</w:t>
      </w:r>
      <w:r w:rsidRPr="00ED10FF">
        <w:rPr>
          <w:sz w:val="24"/>
        </w:rPr>
        <w:t>C/N</w:t>
      </w:r>
      <w:r w:rsidRPr="00ED10FF">
        <w:rPr>
          <w:sz w:val="24"/>
        </w:rPr>
        <w:t>比的变化引起蚯蚓粉中亮氨酸</w:t>
      </w:r>
      <w:r w:rsidRPr="00ED10FF">
        <w:rPr>
          <w:sz w:val="24"/>
        </w:rPr>
        <w:t>(4.62</w:t>
      </w:r>
      <w:r w:rsidRPr="00ED10FF">
        <w:rPr>
          <w:rFonts w:hint="eastAsia"/>
          <w:sz w:val="24"/>
        </w:rPr>
        <w:t xml:space="preserve"> </w:t>
      </w:r>
      <w:r w:rsidRPr="00ED10FF">
        <w:rPr>
          <w:sz w:val="24"/>
        </w:rPr>
        <w:t>%~5.28</w:t>
      </w:r>
      <w:r w:rsidRPr="00ED10FF">
        <w:rPr>
          <w:rFonts w:hint="eastAsia"/>
          <w:sz w:val="24"/>
        </w:rPr>
        <w:t xml:space="preserve"> </w:t>
      </w:r>
      <w:r w:rsidRPr="00ED10FF">
        <w:rPr>
          <w:sz w:val="24"/>
        </w:rPr>
        <w:t>%)</w:t>
      </w:r>
      <w:r w:rsidRPr="00ED10FF">
        <w:rPr>
          <w:sz w:val="24"/>
        </w:rPr>
        <w:t>、精氨酸</w:t>
      </w:r>
      <w:r w:rsidRPr="00ED10FF">
        <w:rPr>
          <w:sz w:val="24"/>
        </w:rPr>
        <w:t>(3.77</w:t>
      </w:r>
      <w:r w:rsidRPr="00ED10FF">
        <w:rPr>
          <w:rFonts w:hint="eastAsia"/>
          <w:sz w:val="24"/>
        </w:rPr>
        <w:t xml:space="preserve"> </w:t>
      </w:r>
      <w:r w:rsidRPr="00ED10FF">
        <w:rPr>
          <w:sz w:val="24"/>
        </w:rPr>
        <w:t>%~4.67</w:t>
      </w:r>
      <w:r w:rsidRPr="00ED10FF">
        <w:rPr>
          <w:rFonts w:hint="eastAsia"/>
          <w:sz w:val="24"/>
        </w:rPr>
        <w:t xml:space="preserve"> </w:t>
      </w:r>
      <w:r w:rsidRPr="00ED10FF">
        <w:rPr>
          <w:sz w:val="24"/>
        </w:rPr>
        <w:t>%)</w:t>
      </w:r>
      <w:r w:rsidRPr="00ED10FF">
        <w:rPr>
          <w:sz w:val="24"/>
        </w:rPr>
        <w:t>和赖氨酸</w:t>
      </w:r>
      <w:r w:rsidRPr="00ED10FF">
        <w:rPr>
          <w:sz w:val="24"/>
        </w:rPr>
        <w:t>(4.22</w:t>
      </w:r>
      <w:r w:rsidRPr="00ED10FF">
        <w:rPr>
          <w:rFonts w:hint="eastAsia"/>
          <w:sz w:val="24"/>
        </w:rPr>
        <w:t xml:space="preserve"> </w:t>
      </w:r>
      <w:r w:rsidRPr="00ED10FF">
        <w:rPr>
          <w:sz w:val="24"/>
        </w:rPr>
        <w:t>%~4.79</w:t>
      </w:r>
      <w:r w:rsidRPr="00ED10FF">
        <w:rPr>
          <w:rFonts w:hint="eastAsia"/>
          <w:sz w:val="24"/>
        </w:rPr>
        <w:t xml:space="preserve"> </w:t>
      </w:r>
      <w:r w:rsidRPr="00ED10FF">
        <w:rPr>
          <w:sz w:val="24"/>
        </w:rPr>
        <w:t>%)</w:t>
      </w:r>
      <w:r w:rsidRPr="00ED10FF">
        <w:rPr>
          <w:sz w:val="24"/>
        </w:rPr>
        <w:t>含量的变化。此外，环境中矿物质元素组成的差异也会改变蚯蚓粉中的矿物质元素组成</w:t>
      </w:r>
      <w:r w:rsidRPr="00ED10FF">
        <w:rPr>
          <w:sz w:val="24"/>
          <w:vertAlign w:val="superscript"/>
        </w:rPr>
        <w:t>[20]</w:t>
      </w:r>
      <w:r w:rsidRPr="00ED10FF">
        <w:rPr>
          <w:sz w:val="24"/>
        </w:rPr>
        <w:t>，富含</w:t>
      </w:r>
      <w:r w:rsidRPr="00ED10FF">
        <w:rPr>
          <w:sz w:val="24"/>
        </w:rPr>
        <w:t>DHA</w:t>
      </w:r>
      <w:r w:rsidRPr="00ED10FF">
        <w:rPr>
          <w:sz w:val="24"/>
        </w:rPr>
        <w:t>的培养基同样显著改变了蚯蚓脂肪酸组成</w:t>
      </w:r>
      <w:r w:rsidRPr="00ED10FF">
        <w:rPr>
          <w:sz w:val="24"/>
          <w:vertAlign w:val="superscript"/>
        </w:rPr>
        <w:t>[25]</w:t>
      </w:r>
      <w:r w:rsidRPr="00ED10FF">
        <w:rPr>
          <w:sz w:val="24"/>
        </w:rPr>
        <w:t>。蚯蚓培育基质的理化参数也是影响蚯蚓营养成分的关键因素，高硬度的培育机制可以增加蚯蚓的几丁质含量及体表硬度</w:t>
      </w:r>
      <w:r w:rsidRPr="00ED10FF">
        <w:rPr>
          <w:sz w:val="24"/>
          <w:vertAlign w:val="superscript"/>
        </w:rPr>
        <w:t>[26]</w:t>
      </w:r>
      <w:r w:rsidRPr="00ED10FF">
        <w:rPr>
          <w:sz w:val="24"/>
        </w:rPr>
        <w:t>。</w:t>
      </w:r>
    </w:p>
    <w:p w14:paraId="3A48B83E" w14:textId="3DEFD596" w:rsidR="00400E98" w:rsidRPr="00ED10FF" w:rsidRDefault="00400E98" w:rsidP="00400E98">
      <w:pPr>
        <w:spacing w:line="360" w:lineRule="auto"/>
        <w:rPr>
          <w:sz w:val="24"/>
        </w:rPr>
      </w:pPr>
      <w:r w:rsidRPr="00ED10FF">
        <w:rPr>
          <w:sz w:val="24"/>
        </w:rPr>
        <w:t>1.2.3</w:t>
      </w:r>
      <w:r w:rsidRPr="00ED10FF">
        <w:rPr>
          <w:sz w:val="24"/>
        </w:rPr>
        <w:t>蚯蚓加工工艺</w:t>
      </w:r>
    </w:p>
    <w:p w14:paraId="12D101E9" w14:textId="77777777" w:rsidR="00400E98" w:rsidRPr="00ED10FF" w:rsidRDefault="00400E98" w:rsidP="00400E98">
      <w:pPr>
        <w:spacing w:line="360" w:lineRule="auto"/>
        <w:ind w:firstLineChars="200" w:firstLine="480"/>
        <w:rPr>
          <w:sz w:val="24"/>
        </w:rPr>
      </w:pPr>
      <w:r w:rsidRPr="00ED10FF">
        <w:rPr>
          <w:sz w:val="24"/>
        </w:rPr>
        <w:t>蚯蚓粉加工工艺同样被认为是影响蚯蚓粉营养参数的关键因子</w:t>
      </w:r>
      <w:r w:rsidRPr="00ED10FF">
        <w:rPr>
          <w:sz w:val="24"/>
          <w:vertAlign w:val="superscript"/>
        </w:rPr>
        <w:t>[21]</w:t>
      </w:r>
      <w:r w:rsidRPr="00ED10FF">
        <w:rPr>
          <w:sz w:val="24"/>
        </w:rPr>
        <w:t>。研究发现，冷冻干燥加工的蚯蚓粉蛋白质含量</w:t>
      </w:r>
      <w:r w:rsidRPr="00ED10FF">
        <w:rPr>
          <w:sz w:val="24"/>
        </w:rPr>
        <w:t>(66.2</w:t>
      </w:r>
      <w:r w:rsidRPr="00ED10FF">
        <w:rPr>
          <w:rFonts w:hint="eastAsia"/>
          <w:sz w:val="24"/>
        </w:rPr>
        <w:t xml:space="preserve"> </w:t>
      </w:r>
      <w:r w:rsidRPr="00ED10FF">
        <w:rPr>
          <w:sz w:val="24"/>
        </w:rPr>
        <w:t>%)</w:t>
      </w:r>
      <w:r w:rsidRPr="00ED10FF">
        <w:rPr>
          <w:sz w:val="24"/>
        </w:rPr>
        <w:t>远高于高温干燥加工的蚯蚓粉蛋白质含量</w:t>
      </w:r>
      <w:r w:rsidRPr="00ED10FF">
        <w:rPr>
          <w:sz w:val="24"/>
        </w:rPr>
        <w:t>(59.7</w:t>
      </w:r>
      <w:r w:rsidRPr="00ED10FF">
        <w:rPr>
          <w:rFonts w:hint="eastAsia"/>
          <w:sz w:val="24"/>
        </w:rPr>
        <w:t xml:space="preserve"> </w:t>
      </w:r>
      <w:r w:rsidRPr="00ED10FF">
        <w:rPr>
          <w:sz w:val="24"/>
        </w:rPr>
        <w:t>%)</w:t>
      </w:r>
      <w:r w:rsidRPr="00ED10FF">
        <w:rPr>
          <w:sz w:val="24"/>
          <w:vertAlign w:val="superscript"/>
        </w:rPr>
        <w:t>[27]</w:t>
      </w:r>
      <w:r w:rsidRPr="00ED10FF">
        <w:rPr>
          <w:sz w:val="24"/>
        </w:rPr>
        <w:t>。不当的蚯蚓捕捉方法会刺激蚯蚓分泌具有生理毒性</w:t>
      </w:r>
      <w:r w:rsidRPr="00ED10FF">
        <w:rPr>
          <w:sz w:val="24"/>
        </w:rPr>
        <w:t>(</w:t>
      </w:r>
      <w:r w:rsidRPr="00ED10FF">
        <w:rPr>
          <w:sz w:val="24"/>
        </w:rPr>
        <w:t>并带有难闻的气味</w:t>
      </w:r>
      <w:r w:rsidRPr="00ED10FF">
        <w:rPr>
          <w:sz w:val="24"/>
        </w:rPr>
        <w:t>)</w:t>
      </w:r>
      <w:r w:rsidRPr="00ED10FF">
        <w:rPr>
          <w:sz w:val="24"/>
        </w:rPr>
        <w:t>的体腔液，进而降低蚯蚓粉的适口性及营养价值</w:t>
      </w:r>
      <w:r w:rsidRPr="00ED10FF">
        <w:rPr>
          <w:sz w:val="24"/>
          <w:vertAlign w:val="superscript"/>
        </w:rPr>
        <w:t>[26]</w:t>
      </w:r>
      <w:r w:rsidRPr="00ED10FF">
        <w:rPr>
          <w:sz w:val="24"/>
        </w:rPr>
        <w:t>。蚯蚓的体腔液可以通过加热</w:t>
      </w:r>
      <w:r w:rsidRPr="00ED10FF">
        <w:rPr>
          <w:sz w:val="24"/>
        </w:rPr>
        <w:t>(</w:t>
      </w:r>
      <w:r w:rsidRPr="00ED10FF">
        <w:rPr>
          <w:sz w:val="24"/>
        </w:rPr>
        <w:t>漂白或蒸煮</w:t>
      </w:r>
      <w:r w:rsidRPr="00ED10FF">
        <w:rPr>
          <w:sz w:val="24"/>
        </w:rPr>
        <w:t>)</w:t>
      </w:r>
      <w:r w:rsidRPr="00ED10FF">
        <w:rPr>
          <w:sz w:val="24"/>
        </w:rPr>
        <w:t>方式消除</w:t>
      </w:r>
      <w:r w:rsidRPr="00ED10FF">
        <w:rPr>
          <w:sz w:val="24"/>
          <w:vertAlign w:val="superscript"/>
        </w:rPr>
        <w:t>[28]</w:t>
      </w:r>
      <w:r w:rsidRPr="00ED10FF">
        <w:rPr>
          <w:sz w:val="24"/>
        </w:rPr>
        <w:t>，因此高温干燥工艺可以提高蚯蚓粉的适口性</w:t>
      </w:r>
      <w:r w:rsidRPr="00ED10FF">
        <w:rPr>
          <w:sz w:val="24"/>
          <w:vertAlign w:val="superscript"/>
        </w:rPr>
        <w:t>[27]</w:t>
      </w:r>
      <w:r w:rsidRPr="00ED10FF">
        <w:rPr>
          <w:sz w:val="24"/>
        </w:rPr>
        <w:t>。有研究指出，在加工前将蚯蚓体腔中的内容</w:t>
      </w:r>
      <w:r w:rsidRPr="00ED10FF">
        <w:rPr>
          <w:sz w:val="24"/>
        </w:rPr>
        <w:lastRenderedPageBreak/>
        <w:t>物挤出会使成品蚯蚓粉中的蛋白质含量降低</w:t>
      </w:r>
      <w:r w:rsidRPr="00ED10FF">
        <w:rPr>
          <w:sz w:val="24"/>
        </w:rPr>
        <w:t>30</w:t>
      </w:r>
      <w:r w:rsidRPr="00ED10FF">
        <w:rPr>
          <w:rFonts w:hint="eastAsia"/>
          <w:sz w:val="24"/>
        </w:rPr>
        <w:t xml:space="preserve"> </w:t>
      </w:r>
      <w:r w:rsidRPr="00ED10FF">
        <w:rPr>
          <w:sz w:val="24"/>
        </w:rPr>
        <w:t>%</w:t>
      </w:r>
      <w:r w:rsidRPr="00ED10FF">
        <w:rPr>
          <w:sz w:val="24"/>
          <w:vertAlign w:val="superscript"/>
        </w:rPr>
        <w:t>[29]</w:t>
      </w:r>
      <w:r w:rsidRPr="00ED10FF">
        <w:rPr>
          <w:sz w:val="24"/>
        </w:rPr>
        <w:t>。</w:t>
      </w:r>
    </w:p>
    <w:p w14:paraId="774303E2" w14:textId="53328153" w:rsidR="00400E98" w:rsidRPr="00ED10FF" w:rsidRDefault="00400E98" w:rsidP="00400E98">
      <w:pPr>
        <w:spacing w:line="360" w:lineRule="auto"/>
        <w:rPr>
          <w:sz w:val="24"/>
        </w:rPr>
      </w:pPr>
      <w:r w:rsidRPr="00ED10FF">
        <w:rPr>
          <w:sz w:val="24"/>
        </w:rPr>
        <w:t>2</w:t>
      </w:r>
      <w:r w:rsidRPr="00ED10FF">
        <w:rPr>
          <w:sz w:val="24"/>
        </w:rPr>
        <w:t>蚯蚓及其加工产品在水产动物生产中的应用</w:t>
      </w:r>
    </w:p>
    <w:p w14:paraId="60F8F6CD" w14:textId="1019A491" w:rsidR="00400E98" w:rsidRPr="00ED10FF" w:rsidRDefault="00400E98" w:rsidP="00400E98">
      <w:pPr>
        <w:spacing w:line="360" w:lineRule="auto"/>
        <w:rPr>
          <w:sz w:val="24"/>
        </w:rPr>
      </w:pPr>
      <w:r w:rsidRPr="00ED10FF">
        <w:rPr>
          <w:sz w:val="24"/>
        </w:rPr>
        <w:t>2.1</w:t>
      </w:r>
      <w:r w:rsidRPr="00ED10FF">
        <w:rPr>
          <w:sz w:val="24"/>
        </w:rPr>
        <w:t>用作水产动物活饵</w:t>
      </w:r>
    </w:p>
    <w:p w14:paraId="4A21007F" w14:textId="77777777" w:rsidR="00400E98" w:rsidRPr="00ED10FF" w:rsidRDefault="00400E98" w:rsidP="00400E98">
      <w:pPr>
        <w:spacing w:line="360" w:lineRule="auto"/>
        <w:ind w:firstLineChars="200" w:firstLine="480"/>
        <w:rPr>
          <w:sz w:val="24"/>
        </w:rPr>
      </w:pPr>
      <w:r w:rsidRPr="00ED10FF">
        <w:rPr>
          <w:sz w:val="24"/>
        </w:rPr>
        <w:t>蚯蚓可被用作水产动物活饵，常用于投喂水产动物的亲本及幼苗。研究发现，使用活蚯蚓投喂鲤鱼</w:t>
      </w:r>
      <w:r w:rsidRPr="00ED10FF">
        <w:rPr>
          <w:sz w:val="24"/>
        </w:rPr>
        <w:t>(</w:t>
      </w:r>
      <w:r w:rsidRPr="00ED10FF">
        <w:rPr>
          <w:i/>
          <w:iCs/>
          <w:sz w:val="24"/>
        </w:rPr>
        <w:t>Cyprinus carpio</w:t>
      </w:r>
      <w:r w:rsidRPr="00ED10FF">
        <w:rPr>
          <w:sz w:val="24"/>
        </w:rPr>
        <w:t>)</w:t>
      </w:r>
      <w:r w:rsidRPr="00ED10FF">
        <w:rPr>
          <w:sz w:val="24"/>
        </w:rPr>
        <w:t>可以显著提升鲤鱼生长性能</w:t>
      </w:r>
      <w:r w:rsidRPr="00ED10FF">
        <w:rPr>
          <w:sz w:val="24"/>
          <w:vertAlign w:val="superscript"/>
        </w:rPr>
        <w:t>[30]</w:t>
      </w:r>
      <w:r w:rsidRPr="00ED10FF">
        <w:rPr>
          <w:sz w:val="24"/>
        </w:rPr>
        <w:t>，投喂活蚯蚓可以提高中国大鲵</w:t>
      </w:r>
      <w:r w:rsidRPr="00ED10FF">
        <w:rPr>
          <w:sz w:val="24"/>
        </w:rPr>
        <w:t>(</w:t>
      </w:r>
      <w:r w:rsidRPr="00ED10FF">
        <w:rPr>
          <w:i/>
          <w:iCs/>
          <w:sz w:val="24"/>
        </w:rPr>
        <w:t xml:space="preserve">Andrias </w:t>
      </w:r>
      <w:proofErr w:type="spellStart"/>
      <w:r w:rsidRPr="00ED10FF">
        <w:rPr>
          <w:i/>
          <w:iCs/>
          <w:sz w:val="24"/>
        </w:rPr>
        <w:t>davidianus</w:t>
      </w:r>
      <w:proofErr w:type="spellEnd"/>
      <w:r w:rsidRPr="00ED10FF">
        <w:rPr>
          <w:sz w:val="24"/>
        </w:rPr>
        <w:t>)</w:t>
      </w:r>
      <w:r w:rsidRPr="00ED10FF">
        <w:rPr>
          <w:sz w:val="24"/>
        </w:rPr>
        <w:t>肠道消化酶活性和肠道微生物多样性</w:t>
      </w:r>
      <w:r w:rsidRPr="00ED10FF">
        <w:rPr>
          <w:sz w:val="24"/>
          <w:vertAlign w:val="superscript"/>
        </w:rPr>
        <w:t>[31]</w:t>
      </w:r>
      <w:r w:rsidRPr="00ED10FF">
        <w:rPr>
          <w:sz w:val="24"/>
        </w:rPr>
        <w:t>。在饲料中添加</w:t>
      </w:r>
      <w:r w:rsidRPr="00ED10FF">
        <w:rPr>
          <w:sz w:val="24"/>
        </w:rPr>
        <w:t>25</w:t>
      </w:r>
      <w:r w:rsidRPr="00ED10FF">
        <w:rPr>
          <w:rFonts w:hint="eastAsia"/>
          <w:sz w:val="24"/>
        </w:rPr>
        <w:t xml:space="preserve"> </w:t>
      </w:r>
      <w:r w:rsidRPr="00ED10FF">
        <w:rPr>
          <w:sz w:val="24"/>
        </w:rPr>
        <w:t>%</w:t>
      </w:r>
      <w:r w:rsidRPr="00ED10FF">
        <w:rPr>
          <w:sz w:val="24"/>
        </w:rPr>
        <w:t>活蚯蚓可以改善黄鳝</w:t>
      </w:r>
      <w:r w:rsidRPr="00ED10FF">
        <w:rPr>
          <w:sz w:val="24"/>
        </w:rPr>
        <w:t>(</w:t>
      </w:r>
      <w:proofErr w:type="spellStart"/>
      <w:r w:rsidRPr="00ED10FF">
        <w:rPr>
          <w:i/>
          <w:iCs/>
          <w:sz w:val="24"/>
        </w:rPr>
        <w:t>Monopterus</w:t>
      </w:r>
      <w:proofErr w:type="spellEnd"/>
      <w:r w:rsidRPr="00ED10FF">
        <w:rPr>
          <w:i/>
          <w:iCs/>
          <w:sz w:val="24"/>
        </w:rPr>
        <w:t xml:space="preserve"> albus</w:t>
      </w:r>
      <w:r w:rsidRPr="00ED10FF">
        <w:rPr>
          <w:sz w:val="24"/>
        </w:rPr>
        <w:t>)</w:t>
      </w:r>
      <w:r w:rsidRPr="00ED10FF">
        <w:rPr>
          <w:sz w:val="24"/>
        </w:rPr>
        <w:t>对饲料营养物质的利用率，进而促进其生长</w:t>
      </w:r>
      <w:r w:rsidRPr="00ED10FF">
        <w:rPr>
          <w:sz w:val="24"/>
          <w:vertAlign w:val="superscript"/>
        </w:rPr>
        <w:t>[32]</w:t>
      </w:r>
      <w:r w:rsidRPr="00ED10FF">
        <w:rPr>
          <w:sz w:val="24"/>
        </w:rPr>
        <w:t>；使用活蚯蚓喂养对虾</w:t>
      </w:r>
      <w:r w:rsidRPr="00ED10FF">
        <w:rPr>
          <w:sz w:val="24"/>
        </w:rPr>
        <w:t>(</w:t>
      </w:r>
      <w:proofErr w:type="spellStart"/>
      <w:r w:rsidRPr="00ED10FF">
        <w:rPr>
          <w:i/>
          <w:iCs/>
          <w:sz w:val="24"/>
        </w:rPr>
        <w:t>Penaeusorientalis</w:t>
      </w:r>
      <w:proofErr w:type="spellEnd"/>
      <w:r w:rsidRPr="00ED10FF">
        <w:rPr>
          <w:sz w:val="24"/>
        </w:rPr>
        <w:t>)</w:t>
      </w:r>
      <w:r w:rsidRPr="00ED10FF">
        <w:rPr>
          <w:sz w:val="24"/>
        </w:rPr>
        <w:t>亲虾，可以提高其存活率、产卵率和孵化率</w:t>
      </w:r>
      <w:r w:rsidRPr="00ED10FF">
        <w:rPr>
          <w:sz w:val="24"/>
          <w:vertAlign w:val="superscript"/>
        </w:rPr>
        <w:t>[33]</w:t>
      </w:r>
      <w:r w:rsidRPr="00ED10FF">
        <w:rPr>
          <w:sz w:val="24"/>
        </w:rPr>
        <w:t>；投饲活蚯蚓也能提高对虾的生长速度和免疫活性</w:t>
      </w:r>
      <w:r w:rsidRPr="00ED10FF">
        <w:rPr>
          <w:sz w:val="24"/>
          <w:vertAlign w:val="superscript"/>
        </w:rPr>
        <w:t>[34]</w:t>
      </w:r>
      <w:r w:rsidRPr="00ED10FF">
        <w:rPr>
          <w:sz w:val="24"/>
        </w:rPr>
        <w:t>；在饲料中添加蚯蚓还能提高鳜鱼</w:t>
      </w:r>
      <w:r w:rsidRPr="00ED10FF">
        <w:rPr>
          <w:sz w:val="24"/>
        </w:rPr>
        <w:t>(</w:t>
      </w:r>
      <w:proofErr w:type="spellStart"/>
      <w:r w:rsidRPr="00ED10FF">
        <w:rPr>
          <w:i/>
          <w:iCs/>
          <w:sz w:val="24"/>
        </w:rPr>
        <w:t>Siniperca</w:t>
      </w:r>
      <w:proofErr w:type="spellEnd"/>
      <w:r w:rsidRPr="00ED10FF">
        <w:rPr>
          <w:i/>
          <w:iCs/>
          <w:sz w:val="24"/>
        </w:rPr>
        <w:t xml:space="preserve"> </w:t>
      </w:r>
      <w:proofErr w:type="spellStart"/>
      <w:r w:rsidRPr="00ED10FF">
        <w:rPr>
          <w:i/>
          <w:iCs/>
          <w:sz w:val="24"/>
        </w:rPr>
        <w:t>chuatsi</w:t>
      </w:r>
      <w:proofErr w:type="spellEnd"/>
      <w:r w:rsidRPr="00ED10FF">
        <w:rPr>
          <w:sz w:val="24"/>
        </w:rPr>
        <w:t>)</w:t>
      </w:r>
      <w:r w:rsidRPr="00ED10FF">
        <w:rPr>
          <w:sz w:val="24"/>
        </w:rPr>
        <w:t>蛋白酶活性和生长速度</w:t>
      </w:r>
      <w:r w:rsidRPr="00ED10FF">
        <w:rPr>
          <w:sz w:val="24"/>
          <w:vertAlign w:val="superscript"/>
        </w:rPr>
        <w:t>[35]</w:t>
      </w:r>
      <w:r w:rsidRPr="00ED10FF">
        <w:rPr>
          <w:sz w:val="24"/>
        </w:rPr>
        <w:t>。据报道，蚯蚓体内含有益生菌，例如抗生链霉菌</w:t>
      </w:r>
      <w:r w:rsidRPr="00ED10FF">
        <w:rPr>
          <w:sz w:val="24"/>
        </w:rPr>
        <w:t>(</w:t>
      </w:r>
      <w:r w:rsidRPr="00ED10FF">
        <w:rPr>
          <w:i/>
          <w:iCs/>
          <w:sz w:val="24"/>
        </w:rPr>
        <w:t xml:space="preserve">Streptomyces </w:t>
      </w:r>
      <w:proofErr w:type="spellStart"/>
      <w:r w:rsidRPr="00ED10FF">
        <w:rPr>
          <w:i/>
          <w:iCs/>
          <w:sz w:val="24"/>
        </w:rPr>
        <w:t>antibioticus</w:t>
      </w:r>
      <w:proofErr w:type="spellEnd"/>
      <w:r w:rsidRPr="00ED10FF">
        <w:rPr>
          <w:sz w:val="24"/>
        </w:rPr>
        <w:t>)</w:t>
      </w:r>
      <w:r w:rsidRPr="00ED10FF">
        <w:rPr>
          <w:sz w:val="24"/>
        </w:rPr>
        <w:t>和蜡样芽孢杆菌</w:t>
      </w:r>
      <w:r w:rsidRPr="00ED10FF">
        <w:rPr>
          <w:sz w:val="24"/>
        </w:rPr>
        <w:t>(</w:t>
      </w:r>
      <w:r w:rsidRPr="00ED10FF">
        <w:rPr>
          <w:i/>
          <w:iCs/>
          <w:sz w:val="24"/>
        </w:rPr>
        <w:t>Bacillus cereus</w:t>
      </w:r>
      <w:r w:rsidRPr="00ED10FF">
        <w:rPr>
          <w:sz w:val="24"/>
        </w:rPr>
        <w:t>)</w:t>
      </w:r>
      <w:r w:rsidRPr="00ED10FF">
        <w:rPr>
          <w:sz w:val="24"/>
        </w:rPr>
        <w:t>，能够显著提升印度囊鳃鲶</w:t>
      </w:r>
      <w:r w:rsidRPr="00ED10FF">
        <w:rPr>
          <w:sz w:val="24"/>
        </w:rPr>
        <w:t>(</w:t>
      </w:r>
      <w:proofErr w:type="spellStart"/>
      <w:r w:rsidRPr="00ED10FF">
        <w:rPr>
          <w:i/>
          <w:iCs/>
          <w:sz w:val="24"/>
        </w:rPr>
        <w:t>Heteropneustes</w:t>
      </w:r>
      <w:proofErr w:type="spellEnd"/>
      <w:r w:rsidRPr="00ED10FF">
        <w:rPr>
          <w:i/>
          <w:iCs/>
          <w:sz w:val="24"/>
        </w:rPr>
        <w:t xml:space="preserve"> </w:t>
      </w:r>
      <w:proofErr w:type="spellStart"/>
      <w:r w:rsidRPr="00ED10FF">
        <w:rPr>
          <w:i/>
          <w:iCs/>
          <w:sz w:val="24"/>
        </w:rPr>
        <w:t>fossilis</w:t>
      </w:r>
      <w:proofErr w:type="spellEnd"/>
      <w:r w:rsidRPr="00ED10FF">
        <w:rPr>
          <w:sz w:val="24"/>
        </w:rPr>
        <w:t>)</w:t>
      </w:r>
      <w:r w:rsidRPr="00ED10FF">
        <w:rPr>
          <w:sz w:val="24"/>
        </w:rPr>
        <w:t>的摄食量</w:t>
      </w:r>
      <w:r w:rsidRPr="00ED10FF">
        <w:rPr>
          <w:sz w:val="24"/>
          <w:vertAlign w:val="superscript"/>
        </w:rPr>
        <w:t>[36]</w:t>
      </w:r>
      <w:r w:rsidRPr="00ED10FF">
        <w:rPr>
          <w:sz w:val="24"/>
        </w:rPr>
        <w:t>。此外，使用新鲜蚯蚓替代</w:t>
      </w:r>
      <w:r w:rsidRPr="00ED10FF">
        <w:rPr>
          <w:sz w:val="24"/>
        </w:rPr>
        <w:t>25</w:t>
      </w:r>
      <w:r w:rsidRPr="00ED10FF">
        <w:rPr>
          <w:rFonts w:hint="eastAsia"/>
          <w:sz w:val="24"/>
        </w:rPr>
        <w:t xml:space="preserve"> </w:t>
      </w:r>
      <w:r w:rsidRPr="00ED10FF">
        <w:rPr>
          <w:sz w:val="24"/>
        </w:rPr>
        <w:t>%</w:t>
      </w:r>
      <w:r w:rsidRPr="00ED10FF">
        <w:rPr>
          <w:sz w:val="24"/>
        </w:rPr>
        <w:t>的商业饲料可以有效改善中国对虾</w:t>
      </w:r>
      <w:r w:rsidRPr="00ED10FF">
        <w:rPr>
          <w:sz w:val="24"/>
        </w:rPr>
        <w:t>(</w:t>
      </w:r>
      <w:proofErr w:type="spellStart"/>
      <w:r w:rsidRPr="00ED10FF">
        <w:rPr>
          <w:i/>
          <w:iCs/>
          <w:sz w:val="24"/>
        </w:rPr>
        <w:t>Fenneropenaeus</w:t>
      </w:r>
      <w:proofErr w:type="spellEnd"/>
      <w:r w:rsidRPr="00ED10FF">
        <w:rPr>
          <w:i/>
          <w:iCs/>
          <w:sz w:val="24"/>
        </w:rPr>
        <w:t xml:space="preserve"> chinensis</w:t>
      </w:r>
      <w:r w:rsidRPr="00ED10FF">
        <w:rPr>
          <w:sz w:val="24"/>
        </w:rPr>
        <w:t>)</w:t>
      </w:r>
      <w:r w:rsidRPr="00ED10FF">
        <w:rPr>
          <w:sz w:val="24"/>
        </w:rPr>
        <w:t>肌肉的营养组成</w:t>
      </w:r>
      <w:r w:rsidRPr="00ED10FF">
        <w:rPr>
          <w:sz w:val="24"/>
          <w:vertAlign w:val="superscript"/>
        </w:rPr>
        <w:t>[37]</w:t>
      </w:r>
      <w:r w:rsidRPr="00ED10FF">
        <w:rPr>
          <w:sz w:val="24"/>
        </w:rPr>
        <w:t>，使用蚯蚓投饲也可以提高杂交鲟鱼</w:t>
      </w:r>
      <w:r w:rsidRPr="00ED10FF">
        <w:rPr>
          <w:sz w:val="24"/>
        </w:rPr>
        <w:t>(</w:t>
      </w:r>
      <w:r w:rsidRPr="00ED10FF">
        <w:rPr>
          <w:i/>
          <w:iCs/>
          <w:sz w:val="24"/>
        </w:rPr>
        <w:t xml:space="preserve">Acipenser </w:t>
      </w:r>
      <w:proofErr w:type="spellStart"/>
      <w:r w:rsidRPr="00ED10FF">
        <w:rPr>
          <w:i/>
          <w:iCs/>
          <w:sz w:val="24"/>
        </w:rPr>
        <w:t>sturio</w:t>
      </w:r>
      <w:proofErr w:type="spellEnd"/>
      <w:r w:rsidRPr="00ED10FF">
        <w:rPr>
          <w:i/>
          <w:iCs/>
          <w:sz w:val="24"/>
        </w:rPr>
        <w:t xml:space="preserve"> Linnaeus</w:t>
      </w:r>
      <w:r w:rsidRPr="00ED10FF">
        <w:rPr>
          <w:sz w:val="24"/>
        </w:rPr>
        <w:t>)</w:t>
      </w:r>
      <w:r w:rsidRPr="00ED10FF">
        <w:rPr>
          <w:sz w:val="24"/>
        </w:rPr>
        <w:t>的产肉率和肌肉质量</w:t>
      </w:r>
      <w:r w:rsidRPr="00ED10FF">
        <w:rPr>
          <w:sz w:val="24"/>
          <w:vertAlign w:val="superscript"/>
        </w:rPr>
        <w:t>[38]</w:t>
      </w:r>
      <w:r w:rsidRPr="00ED10FF">
        <w:rPr>
          <w:sz w:val="24"/>
        </w:rPr>
        <w:t>，并改善鲤鱼肌肉的嫩度</w:t>
      </w:r>
      <w:r w:rsidRPr="00ED10FF">
        <w:rPr>
          <w:sz w:val="24"/>
          <w:vertAlign w:val="superscript"/>
        </w:rPr>
        <w:t>[39]</w:t>
      </w:r>
      <w:r w:rsidRPr="00ED10FF">
        <w:rPr>
          <w:sz w:val="24"/>
        </w:rPr>
        <w:t>。</w:t>
      </w:r>
    </w:p>
    <w:p w14:paraId="6F1CE2CC" w14:textId="04320069" w:rsidR="00400E98" w:rsidRPr="00ED10FF" w:rsidRDefault="00400E98" w:rsidP="00400E98">
      <w:pPr>
        <w:spacing w:line="360" w:lineRule="auto"/>
        <w:rPr>
          <w:sz w:val="24"/>
        </w:rPr>
      </w:pPr>
      <w:r w:rsidRPr="00ED10FF">
        <w:rPr>
          <w:sz w:val="24"/>
        </w:rPr>
        <w:t>2.2</w:t>
      </w:r>
      <w:r w:rsidRPr="00ED10FF">
        <w:rPr>
          <w:sz w:val="24"/>
        </w:rPr>
        <w:t>用作水产动物的功能性饲料添加剂</w:t>
      </w:r>
    </w:p>
    <w:p w14:paraId="4235A412" w14:textId="5FA595EB" w:rsidR="00400E98" w:rsidRPr="00ED10FF" w:rsidRDefault="00400E98" w:rsidP="00400E98">
      <w:pPr>
        <w:spacing w:line="360" w:lineRule="auto"/>
        <w:rPr>
          <w:sz w:val="24"/>
        </w:rPr>
      </w:pPr>
      <w:r w:rsidRPr="00ED10FF">
        <w:rPr>
          <w:sz w:val="24"/>
        </w:rPr>
        <w:t>2.2.1</w:t>
      </w:r>
      <w:r w:rsidRPr="00ED10FF">
        <w:rPr>
          <w:sz w:val="24"/>
        </w:rPr>
        <w:t>诱食剂</w:t>
      </w:r>
    </w:p>
    <w:p w14:paraId="1EE4190A" w14:textId="77777777" w:rsidR="00400E98" w:rsidRPr="00ED10FF" w:rsidRDefault="00400E98" w:rsidP="00400E98">
      <w:pPr>
        <w:spacing w:line="360" w:lineRule="auto"/>
        <w:ind w:firstLineChars="200" w:firstLine="480"/>
        <w:rPr>
          <w:sz w:val="24"/>
        </w:rPr>
      </w:pPr>
      <w:r w:rsidRPr="00ED10FF">
        <w:rPr>
          <w:sz w:val="24"/>
        </w:rPr>
        <w:t>蚯蚓及其加工产品因其独特的气味而被广泛用作诱食剂</w:t>
      </w:r>
      <w:r w:rsidRPr="00ED10FF">
        <w:rPr>
          <w:sz w:val="24"/>
          <w:vertAlign w:val="superscript"/>
        </w:rPr>
        <w:t>[40]</w:t>
      </w:r>
      <w:r w:rsidRPr="00ED10FF">
        <w:rPr>
          <w:sz w:val="24"/>
        </w:rPr>
        <w:t>，如蚯蚓膏、蚯蚓粉和蚯蚓提取物。在饲料中添加蚯蚓粉已被证明可以促进各种水产动物采食量，包括异育银鲫</w:t>
      </w:r>
      <w:r w:rsidRPr="00ED10FF">
        <w:rPr>
          <w:sz w:val="24"/>
        </w:rPr>
        <w:t>(</w:t>
      </w:r>
      <w:r w:rsidRPr="00ED10FF">
        <w:rPr>
          <w:i/>
          <w:iCs/>
          <w:sz w:val="24"/>
        </w:rPr>
        <w:t xml:space="preserve">Carassius auratus </w:t>
      </w:r>
      <w:proofErr w:type="spellStart"/>
      <w:r w:rsidRPr="00ED10FF">
        <w:rPr>
          <w:i/>
          <w:iCs/>
          <w:sz w:val="24"/>
        </w:rPr>
        <w:t>gibelio</w:t>
      </w:r>
      <w:proofErr w:type="spellEnd"/>
      <w:r w:rsidRPr="00ED10FF">
        <w:rPr>
          <w:sz w:val="24"/>
        </w:rPr>
        <w:t>)</w:t>
      </w:r>
      <w:r w:rsidRPr="00ED10FF">
        <w:rPr>
          <w:sz w:val="24"/>
          <w:vertAlign w:val="superscript"/>
        </w:rPr>
        <w:t>[41]</w:t>
      </w:r>
      <w:r w:rsidRPr="00ED10FF">
        <w:rPr>
          <w:sz w:val="24"/>
        </w:rPr>
        <w:t>和中华绒螯蟹</w:t>
      </w:r>
      <w:r w:rsidRPr="00ED10FF">
        <w:rPr>
          <w:sz w:val="24"/>
        </w:rPr>
        <w:t>(</w:t>
      </w:r>
      <w:proofErr w:type="spellStart"/>
      <w:r w:rsidRPr="00ED10FF">
        <w:rPr>
          <w:i/>
          <w:iCs/>
          <w:sz w:val="24"/>
        </w:rPr>
        <w:t>Eriocheir</w:t>
      </w:r>
      <w:proofErr w:type="spellEnd"/>
      <w:r w:rsidRPr="00ED10FF">
        <w:rPr>
          <w:i/>
          <w:iCs/>
          <w:sz w:val="24"/>
        </w:rPr>
        <w:t xml:space="preserve"> sinensis</w:t>
      </w:r>
      <w:r w:rsidRPr="00ED10FF">
        <w:rPr>
          <w:sz w:val="24"/>
        </w:rPr>
        <w:t>)</w:t>
      </w:r>
      <w:r w:rsidRPr="00ED10FF">
        <w:rPr>
          <w:sz w:val="24"/>
          <w:vertAlign w:val="superscript"/>
        </w:rPr>
        <w:t>[42]</w:t>
      </w:r>
      <w:r w:rsidRPr="00ED10FF">
        <w:rPr>
          <w:sz w:val="24"/>
        </w:rPr>
        <w:t>。使用蒸馏水</w:t>
      </w:r>
      <w:r w:rsidRPr="00ED10FF">
        <w:rPr>
          <w:sz w:val="24"/>
        </w:rPr>
        <w:t>(1</w:t>
      </w:r>
      <w:r w:rsidRPr="00ED10FF">
        <w:rPr>
          <w:rFonts w:ascii="Cambria Math" w:hAnsi="Cambria Math" w:cs="Cambria Math"/>
          <w:sz w:val="24"/>
        </w:rPr>
        <w:t>∶</w:t>
      </w:r>
      <w:r w:rsidRPr="00ED10FF">
        <w:rPr>
          <w:sz w:val="24"/>
        </w:rPr>
        <w:t>25</w:t>
      </w:r>
      <w:r w:rsidRPr="00ED10FF">
        <w:rPr>
          <w:sz w:val="24"/>
        </w:rPr>
        <w:t>、</w:t>
      </w:r>
      <w:r w:rsidRPr="00ED10FF">
        <w:rPr>
          <w:sz w:val="24"/>
        </w:rPr>
        <w:t>1</w:t>
      </w:r>
      <w:r w:rsidRPr="00ED10FF">
        <w:rPr>
          <w:rFonts w:ascii="Cambria Math" w:hAnsi="Cambria Math" w:cs="Cambria Math"/>
          <w:sz w:val="24"/>
        </w:rPr>
        <w:t>∶</w:t>
      </w:r>
      <w:r w:rsidRPr="00ED10FF">
        <w:rPr>
          <w:sz w:val="24"/>
        </w:rPr>
        <w:t>50)</w:t>
      </w:r>
      <w:r w:rsidRPr="00ED10FF">
        <w:rPr>
          <w:sz w:val="24"/>
        </w:rPr>
        <w:t>稀释蚯蚓粉末可得到蚯蚓粉末提取物，其富集蚯蚓粉中的氨基酸成分，同样具备促进鱼类摄食的作用</w:t>
      </w:r>
      <w:r w:rsidRPr="00ED10FF">
        <w:rPr>
          <w:sz w:val="24"/>
          <w:vertAlign w:val="superscript"/>
        </w:rPr>
        <w:t>[43]</w:t>
      </w:r>
      <w:r w:rsidRPr="00ED10FF">
        <w:rPr>
          <w:sz w:val="24"/>
        </w:rPr>
        <w:t>。蚯蚓粉及其提取物的诱食作用主要源自其富含的甜味氨基酸，如丙氨酸、丝氨酸、苏氨酸和酪氨酸，可以提高饲料的适口性；其中的一些氨基酸</w:t>
      </w:r>
      <w:r w:rsidRPr="00ED10FF">
        <w:rPr>
          <w:sz w:val="24"/>
        </w:rPr>
        <w:t>(</w:t>
      </w:r>
      <w:r w:rsidRPr="00ED10FF">
        <w:rPr>
          <w:sz w:val="24"/>
        </w:rPr>
        <w:t>如丝氨酸和丙氨酸</w:t>
      </w:r>
      <w:r w:rsidRPr="00ED10FF">
        <w:rPr>
          <w:sz w:val="24"/>
        </w:rPr>
        <w:t>)</w:t>
      </w:r>
      <w:r w:rsidRPr="00ED10FF">
        <w:rPr>
          <w:sz w:val="24"/>
        </w:rPr>
        <w:t>可以刺激味觉受体神经元，促进鱼类采食</w:t>
      </w:r>
      <w:r w:rsidRPr="00ED10FF">
        <w:rPr>
          <w:sz w:val="24"/>
          <w:vertAlign w:val="superscript"/>
        </w:rPr>
        <w:t>[44]</w:t>
      </w:r>
      <w:r w:rsidRPr="00ED10FF">
        <w:rPr>
          <w:sz w:val="24"/>
        </w:rPr>
        <w:t>。此外，蚯蚓对水产动物健康的改善作用也能在一定程度上促进鱼类的采食。</w:t>
      </w:r>
    </w:p>
    <w:p w14:paraId="2FA14796" w14:textId="23D7337A" w:rsidR="00400E98" w:rsidRPr="00ED10FF" w:rsidRDefault="00400E98" w:rsidP="00400E98">
      <w:pPr>
        <w:spacing w:line="360" w:lineRule="auto"/>
        <w:rPr>
          <w:sz w:val="24"/>
        </w:rPr>
      </w:pPr>
      <w:r w:rsidRPr="00ED10FF">
        <w:rPr>
          <w:sz w:val="24"/>
        </w:rPr>
        <w:t>2.2.2</w:t>
      </w:r>
      <w:r w:rsidRPr="00ED10FF">
        <w:rPr>
          <w:sz w:val="24"/>
        </w:rPr>
        <w:t>免疫增强剂</w:t>
      </w:r>
    </w:p>
    <w:p w14:paraId="59440CBF" w14:textId="77777777" w:rsidR="00400E98" w:rsidRPr="00ED10FF" w:rsidRDefault="00400E98" w:rsidP="00400E98">
      <w:pPr>
        <w:spacing w:line="360" w:lineRule="auto"/>
        <w:ind w:firstLineChars="200" w:firstLine="480"/>
        <w:rPr>
          <w:sz w:val="24"/>
        </w:rPr>
      </w:pPr>
      <w:r w:rsidRPr="00ED10FF">
        <w:rPr>
          <w:sz w:val="24"/>
        </w:rPr>
        <w:t>蚯蚓所携带的一些免疫活性分子，如抗菌肽和游离氨基酸等，具备增强水产动物免疫功能的作用</w:t>
      </w:r>
      <w:r w:rsidRPr="00ED10FF">
        <w:rPr>
          <w:sz w:val="24"/>
          <w:vertAlign w:val="superscript"/>
        </w:rPr>
        <w:t>[45]</w:t>
      </w:r>
      <w:r w:rsidRPr="00ED10FF">
        <w:rPr>
          <w:sz w:val="24"/>
        </w:rPr>
        <w:t>。研究表明，饲料中添加蚯蚓或蚯蚓加工产品可以有效增强多种水产动物的免疫机能，包括草鱼</w:t>
      </w:r>
      <w:r w:rsidRPr="00ED10FF">
        <w:rPr>
          <w:sz w:val="24"/>
        </w:rPr>
        <w:t xml:space="preserve"> (</w:t>
      </w:r>
      <w:proofErr w:type="spellStart"/>
      <w:r w:rsidRPr="00ED10FF">
        <w:rPr>
          <w:i/>
          <w:iCs/>
          <w:sz w:val="24"/>
        </w:rPr>
        <w:t>Ctenopharyngodon</w:t>
      </w:r>
      <w:proofErr w:type="spellEnd"/>
      <w:r w:rsidRPr="00ED10FF">
        <w:rPr>
          <w:i/>
          <w:iCs/>
          <w:sz w:val="24"/>
        </w:rPr>
        <w:t xml:space="preserve"> </w:t>
      </w:r>
      <w:proofErr w:type="spellStart"/>
      <w:r w:rsidRPr="00ED10FF">
        <w:rPr>
          <w:i/>
          <w:iCs/>
          <w:sz w:val="24"/>
        </w:rPr>
        <w:t>idella</w:t>
      </w:r>
      <w:proofErr w:type="spellEnd"/>
      <w:r w:rsidRPr="00ED10FF">
        <w:rPr>
          <w:sz w:val="24"/>
        </w:rPr>
        <w:t>)</w:t>
      </w:r>
      <w:r w:rsidRPr="00ED10FF">
        <w:rPr>
          <w:sz w:val="24"/>
          <w:vertAlign w:val="superscript"/>
        </w:rPr>
        <w:t>[46]</w:t>
      </w:r>
      <w:r w:rsidRPr="00ED10FF">
        <w:rPr>
          <w:sz w:val="24"/>
        </w:rPr>
        <w:t>、鲫鱼</w:t>
      </w:r>
      <w:r w:rsidRPr="00ED10FF">
        <w:rPr>
          <w:sz w:val="24"/>
        </w:rPr>
        <w:t>(</w:t>
      </w:r>
      <w:proofErr w:type="spellStart"/>
      <w:r w:rsidRPr="00ED10FF">
        <w:rPr>
          <w:i/>
          <w:iCs/>
          <w:sz w:val="24"/>
        </w:rPr>
        <w:t>Carassiusauratus</w:t>
      </w:r>
      <w:proofErr w:type="spellEnd"/>
      <w:r w:rsidRPr="00ED10FF">
        <w:rPr>
          <w:sz w:val="24"/>
        </w:rPr>
        <w:t>)</w:t>
      </w:r>
      <w:r w:rsidRPr="00ED10FF">
        <w:rPr>
          <w:sz w:val="24"/>
          <w:vertAlign w:val="superscript"/>
        </w:rPr>
        <w:t>[47]</w:t>
      </w:r>
      <w:r w:rsidRPr="00ED10FF">
        <w:rPr>
          <w:sz w:val="24"/>
        </w:rPr>
        <w:t>、淡水螯虾</w:t>
      </w:r>
      <w:r w:rsidRPr="00ED10FF">
        <w:rPr>
          <w:sz w:val="24"/>
        </w:rPr>
        <w:t>(</w:t>
      </w:r>
      <w:r w:rsidRPr="00ED10FF">
        <w:rPr>
          <w:i/>
          <w:iCs/>
          <w:sz w:val="24"/>
        </w:rPr>
        <w:t>Crayfish</w:t>
      </w:r>
      <w:r w:rsidRPr="00ED10FF">
        <w:rPr>
          <w:sz w:val="24"/>
        </w:rPr>
        <w:t>)</w:t>
      </w:r>
      <w:r w:rsidRPr="00ED10FF">
        <w:rPr>
          <w:sz w:val="24"/>
          <w:vertAlign w:val="superscript"/>
        </w:rPr>
        <w:t>[48]</w:t>
      </w:r>
      <w:r w:rsidRPr="00ED10FF">
        <w:rPr>
          <w:sz w:val="24"/>
        </w:rPr>
        <w:t>、罗非鱼</w:t>
      </w:r>
      <w:r w:rsidRPr="00ED10FF">
        <w:rPr>
          <w:sz w:val="24"/>
        </w:rPr>
        <w:t>(</w:t>
      </w:r>
      <w:r w:rsidRPr="00ED10FF">
        <w:rPr>
          <w:i/>
          <w:iCs/>
          <w:sz w:val="24"/>
        </w:rPr>
        <w:t xml:space="preserve">Oreochromis </w:t>
      </w:r>
      <w:proofErr w:type="spellStart"/>
      <w:r w:rsidRPr="00ED10FF">
        <w:rPr>
          <w:i/>
          <w:iCs/>
          <w:sz w:val="24"/>
        </w:rPr>
        <w:t>mossambicus</w:t>
      </w:r>
      <w:proofErr w:type="spellEnd"/>
      <w:r w:rsidRPr="00ED10FF">
        <w:rPr>
          <w:sz w:val="24"/>
        </w:rPr>
        <w:t>)</w:t>
      </w:r>
      <w:r w:rsidRPr="00ED10FF">
        <w:rPr>
          <w:sz w:val="24"/>
          <w:vertAlign w:val="superscript"/>
        </w:rPr>
        <w:t>[49]</w:t>
      </w:r>
      <w:r w:rsidRPr="00ED10FF">
        <w:rPr>
          <w:sz w:val="24"/>
        </w:rPr>
        <w:t>、海参</w:t>
      </w:r>
      <w:r w:rsidRPr="00ED10FF">
        <w:rPr>
          <w:sz w:val="24"/>
        </w:rPr>
        <w:t>(</w:t>
      </w:r>
      <w:r w:rsidRPr="00ED10FF">
        <w:rPr>
          <w:i/>
          <w:iCs/>
          <w:sz w:val="24"/>
        </w:rPr>
        <w:t>Holothuroidea</w:t>
      </w:r>
      <w:r w:rsidRPr="00ED10FF">
        <w:rPr>
          <w:sz w:val="24"/>
        </w:rPr>
        <w:t>)</w:t>
      </w:r>
      <w:r w:rsidRPr="00ED10FF">
        <w:rPr>
          <w:sz w:val="24"/>
          <w:vertAlign w:val="superscript"/>
        </w:rPr>
        <w:t>[50]</w:t>
      </w:r>
      <w:r w:rsidRPr="00ED10FF">
        <w:rPr>
          <w:sz w:val="24"/>
        </w:rPr>
        <w:t>、大鳞副泥鳅</w:t>
      </w:r>
      <w:r w:rsidRPr="00ED10FF">
        <w:rPr>
          <w:sz w:val="24"/>
        </w:rPr>
        <w:lastRenderedPageBreak/>
        <w:t>(</w:t>
      </w:r>
      <w:proofErr w:type="spellStart"/>
      <w:r w:rsidRPr="00ED10FF">
        <w:rPr>
          <w:i/>
          <w:iCs/>
          <w:sz w:val="24"/>
        </w:rPr>
        <w:t>Paramisgurnus</w:t>
      </w:r>
      <w:proofErr w:type="spellEnd"/>
      <w:r w:rsidRPr="00ED10FF">
        <w:rPr>
          <w:i/>
          <w:iCs/>
          <w:sz w:val="24"/>
        </w:rPr>
        <w:t xml:space="preserve"> </w:t>
      </w:r>
      <w:proofErr w:type="spellStart"/>
      <w:r w:rsidRPr="00ED10FF">
        <w:rPr>
          <w:i/>
          <w:iCs/>
          <w:sz w:val="24"/>
        </w:rPr>
        <w:t>dabryanus</w:t>
      </w:r>
      <w:proofErr w:type="spellEnd"/>
      <w:r w:rsidRPr="00ED10FF">
        <w:rPr>
          <w:sz w:val="24"/>
        </w:rPr>
        <w:t>)</w:t>
      </w:r>
      <w:r w:rsidRPr="00ED10FF">
        <w:rPr>
          <w:sz w:val="24"/>
          <w:vertAlign w:val="superscript"/>
        </w:rPr>
        <w:t>[51]</w:t>
      </w:r>
      <w:r w:rsidRPr="00ED10FF">
        <w:rPr>
          <w:sz w:val="24"/>
        </w:rPr>
        <w:t>和里海似鲤</w:t>
      </w:r>
      <w:r w:rsidRPr="00ED10FF">
        <w:rPr>
          <w:sz w:val="24"/>
        </w:rPr>
        <w:t>(</w:t>
      </w:r>
      <w:r w:rsidRPr="00ED10FF">
        <w:rPr>
          <w:i/>
          <w:iCs/>
          <w:sz w:val="24"/>
        </w:rPr>
        <w:t xml:space="preserve">Rutilus </w:t>
      </w:r>
      <w:proofErr w:type="spellStart"/>
      <w:r w:rsidRPr="00ED10FF">
        <w:rPr>
          <w:i/>
          <w:iCs/>
          <w:sz w:val="24"/>
        </w:rPr>
        <w:t>caspicus</w:t>
      </w:r>
      <w:proofErr w:type="spellEnd"/>
      <w:r w:rsidRPr="00ED10FF">
        <w:rPr>
          <w:sz w:val="24"/>
        </w:rPr>
        <w:t>)</w:t>
      </w:r>
      <w:r w:rsidRPr="00ED10FF">
        <w:rPr>
          <w:sz w:val="24"/>
          <w:vertAlign w:val="superscript"/>
        </w:rPr>
        <w:t>[43]</w:t>
      </w:r>
      <w:r w:rsidRPr="00ED10FF">
        <w:rPr>
          <w:sz w:val="24"/>
        </w:rPr>
        <w:t>。这种免疫机能的增强体现在溶菌酶、碱性磷酸酶、超氧化物歧化酶、各种免疫球蛋白</w:t>
      </w:r>
      <w:r w:rsidRPr="00ED10FF">
        <w:rPr>
          <w:sz w:val="24"/>
        </w:rPr>
        <w:t>(Ig)</w:t>
      </w:r>
      <w:r w:rsidRPr="00ED10FF">
        <w:rPr>
          <w:sz w:val="24"/>
        </w:rPr>
        <w:t>和补体</w:t>
      </w:r>
      <w:r w:rsidRPr="00ED10FF">
        <w:rPr>
          <w:sz w:val="24"/>
        </w:rPr>
        <w:t>3(C3)</w:t>
      </w:r>
      <w:r w:rsidRPr="00ED10FF">
        <w:rPr>
          <w:sz w:val="24"/>
        </w:rPr>
        <w:t>等免疫分子活性的增强。蚯蚓对水产动物机体抗氧化功能的调节作用与其所含多酚和生物多糖等成分相关</w:t>
      </w:r>
      <w:r w:rsidRPr="00ED10FF">
        <w:rPr>
          <w:sz w:val="24"/>
          <w:vertAlign w:val="superscript"/>
        </w:rPr>
        <w:t>[52]</w:t>
      </w:r>
      <w:r w:rsidRPr="00ED10FF">
        <w:rPr>
          <w:sz w:val="24"/>
        </w:rPr>
        <w:t>。饲料中添加蚯蚓粉和蚯蚓粪也能够有效抑制鲤鱼</w:t>
      </w:r>
      <w:r w:rsidRPr="00ED10FF">
        <w:rPr>
          <w:sz w:val="24"/>
        </w:rPr>
        <w:t>(</w:t>
      </w:r>
      <w:r w:rsidRPr="00ED10FF">
        <w:rPr>
          <w:i/>
          <w:iCs/>
          <w:sz w:val="24"/>
        </w:rPr>
        <w:t>Cyprinus carpio</w:t>
      </w:r>
      <w:r w:rsidRPr="00ED10FF">
        <w:rPr>
          <w:sz w:val="24"/>
        </w:rPr>
        <w:t>)</w:t>
      </w:r>
      <w:r w:rsidRPr="00ED10FF">
        <w:rPr>
          <w:sz w:val="24"/>
        </w:rPr>
        <w:t>肝脏和胰腺核转录因子</w:t>
      </w:r>
      <w:proofErr w:type="spellStart"/>
      <w:r w:rsidRPr="00ED10FF">
        <w:rPr>
          <w:sz w:val="24"/>
        </w:rPr>
        <w:t>κB</w:t>
      </w:r>
      <w:proofErr w:type="spellEnd"/>
      <w:r w:rsidRPr="00ED10FF">
        <w:rPr>
          <w:sz w:val="24"/>
        </w:rPr>
        <w:t>(NF-</w:t>
      </w:r>
      <w:proofErr w:type="spellStart"/>
      <w:r w:rsidRPr="00ED10FF">
        <w:rPr>
          <w:sz w:val="24"/>
        </w:rPr>
        <w:t>κB</w:t>
      </w:r>
      <w:proofErr w:type="spellEnd"/>
      <w:r w:rsidRPr="00ED10FF">
        <w:rPr>
          <w:sz w:val="24"/>
        </w:rPr>
        <w:t>)</w:t>
      </w:r>
      <w:r w:rsidRPr="00ED10FF">
        <w:rPr>
          <w:sz w:val="24"/>
        </w:rPr>
        <w:t>信号通路的激活，上调抗炎因子转化生长因子</w:t>
      </w:r>
      <w:r w:rsidRPr="00ED10FF">
        <w:rPr>
          <w:sz w:val="24"/>
        </w:rPr>
        <w:t>-β(TGF-β)</w:t>
      </w:r>
      <w:r w:rsidRPr="00ED10FF">
        <w:rPr>
          <w:sz w:val="24"/>
        </w:rPr>
        <w:t>和白细胞介素</w:t>
      </w:r>
      <w:r w:rsidRPr="00ED10FF">
        <w:rPr>
          <w:sz w:val="24"/>
        </w:rPr>
        <w:t>-10(IL-10)</w:t>
      </w:r>
      <w:r w:rsidRPr="00ED10FF">
        <w:rPr>
          <w:sz w:val="24"/>
        </w:rPr>
        <w:t>的表达，从而改善肠道健康</w:t>
      </w:r>
      <w:r w:rsidRPr="00ED10FF">
        <w:rPr>
          <w:sz w:val="24"/>
          <w:vertAlign w:val="superscript"/>
        </w:rPr>
        <w:t>[53]</w:t>
      </w:r>
      <w:r w:rsidRPr="00ED10FF">
        <w:rPr>
          <w:sz w:val="24"/>
        </w:rPr>
        <w:t>。在饲料中添加</w:t>
      </w:r>
      <w:r w:rsidRPr="00ED10FF">
        <w:rPr>
          <w:sz w:val="24"/>
        </w:rPr>
        <w:t>25</w:t>
      </w:r>
      <w:r w:rsidRPr="00ED10FF">
        <w:rPr>
          <w:rFonts w:hint="eastAsia"/>
          <w:sz w:val="24"/>
        </w:rPr>
        <w:t xml:space="preserve"> </w:t>
      </w:r>
      <w:r w:rsidRPr="00ED10FF">
        <w:rPr>
          <w:sz w:val="24"/>
        </w:rPr>
        <w:t>%</w:t>
      </w:r>
      <w:r w:rsidRPr="00ED10FF">
        <w:rPr>
          <w:sz w:val="24"/>
        </w:rPr>
        <w:t>的蚯蚓粉能够降低鲤鱼血清中促炎因子肿瘤坏死因子</w:t>
      </w:r>
      <w:r w:rsidRPr="00ED10FF">
        <w:rPr>
          <w:sz w:val="24"/>
        </w:rPr>
        <w:t>-α(TNF-α)</w:t>
      </w:r>
      <w:r w:rsidRPr="00ED10FF">
        <w:rPr>
          <w:sz w:val="24"/>
        </w:rPr>
        <w:t>的含量</w:t>
      </w:r>
      <w:r w:rsidRPr="00ED10FF">
        <w:rPr>
          <w:sz w:val="24"/>
          <w:vertAlign w:val="superscript"/>
        </w:rPr>
        <w:t>[54]</w:t>
      </w:r>
      <w:r w:rsidRPr="00ED10FF">
        <w:rPr>
          <w:sz w:val="24"/>
        </w:rPr>
        <w:t>。使用蚯蚓粉替代</w:t>
      </w:r>
      <w:r w:rsidRPr="00ED10FF">
        <w:rPr>
          <w:sz w:val="24"/>
        </w:rPr>
        <w:t>20</w:t>
      </w:r>
      <w:r w:rsidRPr="00ED10FF">
        <w:rPr>
          <w:rFonts w:hint="eastAsia"/>
          <w:sz w:val="24"/>
        </w:rPr>
        <w:t xml:space="preserve"> </w:t>
      </w:r>
      <w:r w:rsidRPr="00ED10FF">
        <w:rPr>
          <w:sz w:val="24"/>
        </w:rPr>
        <w:t>%</w:t>
      </w:r>
      <w:r w:rsidRPr="00ED10FF">
        <w:rPr>
          <w:sz w:val="24"/>
        </w:rPr>
        <w:t>鱼粉可以增加尼罗罗非鱼</w:t>
      </w:r>
      <w:r w:rsidRPr="00ED10FF">
        <w:rPr>
          <w:sz w:val="24"/>
        </w:rPr>
        <w:t>(</w:t>
      </w:r>
      <w:r w:rsidRPr="00ED10FF">
        <w:rPr>
          <w:i/>
          <w:iCs/>
          <w:sz w:val="24"/>
        </w:rPr>
        <w:t>Oreochromis niloticus</w:t>
      </w:r>
      <w:r w:rsidRPr="00ED10FF">
        <w:rPr>
          <w:sz w:val="24"/>
        </w:rPr>
        <w:t>)</w:t>
      </w:r>
      <w:r w:rsidRPr="00ED10FF">
        <w:rPr>
          <w:sz w:val="24"/>
        </w:rPr>
        <w:t>幼鱼血清中总蛋白含量</w:t>
      </w:r>
      <w:r w:rsidRPr="00ED10FF">
        <w:rPr>
          <w:sz w:val="24"/>
          <w:vertAlign w:val="superscript"/>
        </w:rPr>
        <w:t>[55]</w:t>
      </w:r>
      <w:r w:rsidRPr="00ED10FF">
        <w:rPr>
          <w:sz w:val="24"/>
        </w:rPr>
        <w:t>。此外，饲料中添加蚯蚓体腔提取物可以有效提升克氏原螯虾</w:t>
      </w:r>
      <w:r w:rsidRPr="00ED10FF">
        <w:rPr>
          <w:sz w:val="24"/>
        </w:rPr>
        <w:t>(</w:t>
      </w:r>
      <w:r w:rsidRPr="00ED10FF">
        <w:rPr>
          <w:i/>
          <w:iCs/>
          <w:sz w:val="24"/>
        </w:rPr>
        <w:t>Procambarus clarkii</w:t>
      </w:r>
      <w:r w:rsidRPr="00ED10FF">
        <w:rPr>
          <w:sz w:val="24"/>
        </w:rPr>
        <w:t>)</w:t>
      </w:r>
      <w:r w:rsidRPr="00ED10FF">
        <w:rPr>
          <w:sz w:val="24"/>
        </w:rPr>
        <w:t>机体的抗氧化及免疫功能，改善克氏原螯虾生长</w:t>
      </w:r>
      <w:r w:rsidRPr="00ED10FF">
        <w:rPr>
          <w:sz w:val="24"/>
          <w:vertAlign w:val="superscript"/>
        </w:rPr>
        <w:t>[56]</w:t>
      </w:r>
      <w:r w:rsidRPr="00ED10FF">
        <w:rPr>
          <w:sz w:val="24"/>
        </w:rPr>
        <w:t>。</w:t>
      </w:r>
    </w:p>
    <w:p w14:paraId="22A9F1A0" w14:textId="2CF51B06" w:rsidR="00400E98" w:rsidRPr="00ED10FF" w:rsidRDefault="00400E98" w:rsidP="00400E98">
      <w:pPr>
        <w:spacing w:line="360" w:lineRule="auto"/>
        <w:rPr>
          <w:sz w:val="24"/>
        </w:rPr>
      </w:pPr>
      <w:r w:rsidRPr="00ED10FF">
        <w:rPr>
          <w:sz w:val="24"/>
        </w:rPr>
        <w:t>2.3</w:t>
      </w:r>
      <w:r w:rsidRPr="00ED10FF">
        <w:rPr>
          <w:sz w:val="24"/>
        </w:rPr>
        <w:t>用作水产动物蛋白质饲料</w:t>
      </w:r>
    </w:p>
    <w:p w14:paraId="6CA752BA" w14:textId="77777777" w:rsidR="00400E98" w:rsidRPr="00ED10FF" w:rsidRDefault="00400E98" w:rsidP="00400E98">
      <w:pPr>
        <w:spacing w:line="360" w:lineRule="auto"/>
        <w:ind w:firstLineChars="200" w:firstLine="480"/>
        <w:rPr>
          <w:sz w:val="24"/>
        </w:rPr>
      </w:pPr>
      <w:r w:rsidRPr="00ED10FF">
        <w:rPr>
          <w:sz w:val="24"/>
        </w:rPr>
        <w:t>蚯蚓粉氨基酸含量高且种类齐全，其氨基酸组成结构与鱼粉相似。蚯蚓是虹鳟</w:t>
      </w:r>
      <w:r w:rsidRPr="00ED10FF">
        <w:rPr>
          <w:sz w:val="24"/>
        </w:rPr>
        <w:t>(</w:t>
      </w:r>
      <w:r w:rsidRPr="00ED10FF">
        <w:rPr>
          <w:i/>
          <w:iCs/>
          <w:sz w:val="24"/>
        </w:rPr>
        <w:t>Oncorhynchus mykiss</w:t>
      </w:r>
      <w:r w:rsidRPr="00ED10FF">
        <w:rPr>
          <w:sz w:val="24"/>
        </w:rPr>
        <w:t>)</w:t>
      </w:r>
      <w:r w:rsidRPr="00ED10FF">
        <w:rPr>
          <w:sz w:val="24"/>
        </w:rPr>
        <w:t>可靠的蛋白质来源，但蚯蚓粉替代鱼粉量超过</w:t>
      </w:r>
      <w:r w:rsidRPr="00ED10FF">
        <w:rPr>
          <w:sz w:val="24"/>
        </w:rPr>
        <w:t>50</w:t>
      </w:r>
      <w:r w:rsidRPr="00ED10FF">
        <w:rPr>
          <w:rFonts w:hint="eastAsia"/>
          <w:sz w:val="24"/>
        </w:rPr>
        <w:t xml:space="preserve"> </w:t>
      </w:r>
      <w:r w:rsidRPr="00ED10FF">
        <w:rPr>
          <w:sz w:val="24"/>
        </w:rPr>
        <w:t>%</w:t>
      </w:r>
      <w:r w:rsidRPr="00ED10FF">
        <w:rPr>
          <w:sz w:val="24"/>
        </w:rPr>
        <w:t>对虹鳟生长具有抑制作用</w:t>
      </w:r>
      <w:r w:rsidRPr="00ED10FF">
        <w:rPr>
          <w:sz w:val="24"/>
          <w:vertAlign w:val="superscript"/>
        </w:rPr>
        <w:t>[57]</w:t>
      </w:r>
      <w:r w:rsidRPr="00ED10FF">
        <w:rPr>
          <w:sz w:val="24"/>
        </w:rPr>
        <w:t>。近年来，使用蚯蚓粉替代部分鱼粉作为水产动物的蛋白质来源已被证明是一种可行的策略。使用蚯蚓粉替代</w:t>
      </w:r>
      <w:r w:rsidRPr="00ED10FF">
        <w:rPr>
          <w:sz w:val="24"/>
        </w:rPr>
        <w:t>25</w:t>
      </w:r>
      <w:r w:rsidRPr="00ED10FF">
        <w:rPr>
          <w:rFonts w:hint="eastAsia"/>
          <w:sz w:val="24"/>
        </w:rPr>
        <w:t xml:space="preserve"> </w:t>
      </w:r>
      <w:r w:rsidRPr="00ED10FF">
        <w:rPr>
          <w:sz w:val="24"/>
        </w:rPr>
        <w:t>%</w:t>
      </w:r>
      <w:r w:rsidRPr="00ED10FF">
        <w:rPr>
          <w:sz w:val="24"/>
        </w:rPr>
        <w:t>鱼粉</w:t>
      </w:r>
      <w:r w:rsidRPr="00ED10FF">
        <w:rPr>
          <w:sz w:val="24"/>
        </w:rPr>
        <w:t>(</w:t>
      </w:r>
      <w:r w:rsidRPr="00ED10FF">
        <w:rPr>
          <w:sz w:val="24"/>
        </w:rPr>
        <w:t>基础鱼粉</w:t>
      </w:r>
      <w:r w:rsidRPr="00ED10FF">
        <w:rPr>
          <w:sz w:val="24"/>
        </w:rPr>
        <w:t>30</w:t>
      </w:r>
      <w:r w:rsidRPr="00ED10FF">
        <w:rPr>
          <w:rFonts w:hint="eastAsia"/>
          <w:sz w:val="24"/>
        </w:rPr>
        <w:t xml:space="preserve"> </w:t>
      </w:r>
      <w:r w:rsidRPr="00ED10FF">
        <w:rPr>
          <w:sz w:val="24"/>
        </w:rPr>
        <w:t>%)</w:t>
      </w:r>
      <w:r w:rsidRPr="00ED10FF">
        <w:rPr>
          <w:sz w:val="24"/>
        </w:rPr>
        <w:t>可以提高长丝异鳃鲶</w:t>
      </w:r>
      <w:r w:rsidRPr="00ED10FF">
        <w:rPr>
          <w:sz w:val="24"/>
        </w:rPr>
        <w:t>(</w:t>
      </w:r>
      <w:proofErr w:type="spellStart"/>
      <w:r w:rsidRPr="00ED10FF">
        <w:rPr>
          <w:i/>
          <w:iCs/>
          <w:sz w:val="24"/>
        </w:rPr>
        <w:t>Heterobranchus</w:t>
      </w:r>
      <w:proofErr w:type="spellEnd"/>
      <w:r w:rsidRPr="00ED10FF">
        <w:rPr>
          <w:i/>
          <w:iCs/>
          <w:sz w:val="24"/>
        </w:rPr>
        <w:t xml:space="preserve"> </w:t>
      </w:r>
      <w:proofErr w:type="spellStart"/>
      <w:r w:rsidRPr="00ED10FF">
        <w:rPr>
          <w:i/>
          <w:iCs/>
          <w:sz w:val="24"/>
        </w:rPr>
        <w:t>longifilis</w:t>
      </w:r>
      <w:proofErr w:type="spellEnd"/>
      <w:r w:rsidRPr="00ED10FF">
        <w:rPr>
          <w:sz w:val="24"/>
        </w:rPr>
        <w:t>)</w:t>
      </w:r>
      <w:r w:rsidRPr="00ED10FF">
        <w:rPr>
          <w:sz w:val="24"/>
        </w:rPr>
        <w:t>的生长性能</w:t>
      </w:r>
      <w:r w:rsidRPr="00ED10FF">
        <w:rPr>
          <w:sz w:val="24"/>
          <w:vertAlign w:val="superscript"/>
        </w:rPr>
        <w:t>[58]</w:t>
      </w:r>
      <w:r w:rsidRPr="00ED10FF">
        <w:rPr>
          <w:sz w:val="24"/>
        </w:rPr>
        <w:t>；使用蚯蚓粉替代</w:t>
      </w:r>
      <w:r w:rsidRPr="00ED10FF">
        <w:rPr>
          <w:sz w:val="24"/>
        </w:rPr>
        <w:t>75</w:t>
      </w:r>
      <w:r w:rsidRPr="00ED10FF">
        <w:rPr>
          <w:rFonts w:hint="eastAsia"/>
          <w:sz w:val="24"/>
        </w:rPr>
        <w:t xml:space="preserve"> </w:t>
      </w:r>
      <w:r w:rsidRPr="00ED10FF">
        <w:rPr>
          <w:sz w:val="24"/>
        </w:rPr>
        <w:t>%</w:t>
      </w:r>
      <w:r w:rsidRPr="00ED10FF">
        <w:rPr>
          <w:sz w:val="24"/>
        </w:rPr>
        <w:t>鱼粉</w:t>
      </w:r>
      <w:r w:rsidRPr="00ED10FF">
        <w:rPr>
          <w:sz w:val="24"/>
        </w:rPr>
        <w:t>(</w:t>
      </w:r>
      <w:r w:rsidRPr="00ED10FF">
        <w:rPr>
          <w:sz w:val="24"/>
        </w:rPr>
        <w:t>基础鱼粉</w:t>
      </w:r>
      <w:r w:rsidRPr="00ED10FF">
        <w:rPr>
          <w:sz w:val="24"/>
        </w:rPr>
        <w:t>40</w:t>
      </w:r>
      <w:r w:rsidRPr="00ED10FF">
        <w:rPr>
          <w:rFonts w:hint="eastAsia"/>
          <w:sz w:val="24"/>
        </w:rPr>
        <w:t xml:space="preserve"> </w:t>
      </w:r>
      <w:r w:rsidRPr="00ED10FF">
        <w:rPr>
          <w:sz w:val="24"/>
        </w:rPr>
        <w:t>%)</w:t>
      </w:r>
      <w:r w:rsidRPr="00ED10FF">
        <w:rPr>
          <w:sz w:val="24"/>
        </w:rPr>
        <w:t>对虹鳟生长性能影响有限</w:t>
      </w:r>
      <w:r w:rsidRPr="00ED10FF">
        <w:rPr>
          <w:sz w:val="24"/>
          <w:vertAlign w:val="superscript"/>
        </w:rPr>
        <w:t>[59]</w:t>
      </w:r>
      <w:r w:rsidRPr="00ED10FF">
        <w:rPr>
          <w:sz w:val="24"/>
        </w:rPr>
        <w:t>；使用蚯蚓粉替代</w:t>
      </w:r>
      <w:r w:rsidRPr="00ED10FF">
        <w:rPr>
          <w:sz w:val="24"/>
        </w:rPr>
        <w:t>50</w:t>
      </w:r>
      <w:r w:rsidRPr="00ED10FF">
        <w:rPr>
          <w:rFonts w:hint="eastAsia"/>
          <w:sz w:val="24"/>
        </w:rPr>
        <w:t xml:space="preserve"> </w:t>
      </w:r>
      <w:r w:rsidRPr="00ED10FF">
        <w:rPr>
          <w:sz w:val="24"/>
        </w:rPr>
        <w:t>%</w:t>
      </w:r>
      <w:r w:rsidRPr="00ED10FF">
        <w:rPr>
          <w:sz w:val="24"/>
        </w:rPr>
        <w:t>鱼粉</w:t>
      </w:r>
      <w:r w:rsidRPr="00ED10FF">
        <w:rPr>
          <w:sz w:val="24"/>
        </w:rPr>
        <w:t>(</w:t>
      </w:r>
      <w:r w:rsidRPr="00ED10FF">
        <w:rPr>
          <w:sz w:val="24"/>
        </w:rPr>
        <w:t>基础鱼粉</w:t>
      </w:r>
      <w:r w:rsidRPr="00ED10FF">
        <w:rPr>
          <w:sz w:val="24"/>
        </w:rPr>
        <w:t>45</w:t>
      </w:r>
      <w:r w:rsidRPr="00ED10FF">
        <w:rPr>
          <w:rFonts w:hint="eastAsia"/>
          <w:sz w:val="24"/>
        </w:rPr>
        <w:t xml:space="preserve"> </w:t>
      </w:r>
      <w:r w:rsidRPr="00ED10FF">
        <w:rPr>
          <w:sz w:val="24"/>
        </w:rPr>
        <w:t>%)</w:t>
      </w:r>
      <w:r w:rsidRPr="00ED10FF">
        <w:rPr>
          <w:sz w:val="24"/>
        </w:rPr>
        <w:t>可以有效提暗副鳢</w:t>
      </w:r>
      <w:r w:rsidRPr="00ED10FF">
        <w:rPr>
          <w:sz w:val="24"/>
        </w:rPr>
        <w:t>(</w:t>
      </w:r>
      <w:proofErr w:type="spellStart"/>
      <w:r w:rsidRPr="00ED10FF">
        <w:rPr>
          <w:i/>
          <w:iCs/>
          <w:sz w:val="24"/>
        </w:rPr>
        <w:t>Parachanna</w:t>
      </w:r>
      <w:proofErr w:type="spellEnd"/>
      <w:r w:rsidRPr="00ED10FF">
        <w:rPr>
          <w:i/>
          <w:iCs/>
          <w:sz w:val="24"/>
        </w:rPr>
        <w:t xml:space="preserve"> obscura</w:t>
      </w:r>
      <w:r w:rsidRPr="00ED10FF">
        <w:rPr>
          <w:sz w:val="24"/>
        </w:rPr>
        <w:t>)</w:t>
      </w:r>
      <w:r w:rsidRPr="00ED10FF">
        <w:rPr>
          <w:sz w:val="24"/>
        </w:rPr>
        <w:t>的生长性能及饲料转化率</w:t>
      </w:r>
      <w:r w:rsidRPr="00ED10FF">
        <w:rPr>
          <w:sz w:val="24"/>
          <w:vertAlign w:val="superscript"/>
        </w:rPr>
        <w:t>[60]</w:t>
      </w:r>
      <w:r w:rsidRPr="00ED10FF">
        <w:rPr>
          <w:sz w:val="24"/>
        </w:rPr>
        <w:t>；使用蚯蚓粉替代</w:t>
      </w:r>
      <w:r w:rsidRPr="00ED10FF">
        <w:rPr>
          <w:sz w:val="24"/>
        </w:rPr>
        <w:t>20</w:t>
      </w:r>
      <w:r w:rsidRPr="00ED10FF">
        <w:rPr>
          <w:rFonts w:hint="eastAsia"/>
          <w:sz w:val="24"/>
        </w:rPr>
        <w:t xml:space="preserve"> </w:t>
      </w:r>
      <w:r w:rsidRPr="00ED10FF">
        <w:rPr>
          <w:sz w:val="24"/>
        </w:rPr>
        <w:t>%</w:t>
      </w:r>
      <w:r w:rsidRPr="00ED10FF">
        <w:rPr>
          <w:sz w:val="24"/>
        </w:rPr>
        <w:t>鱼粉</w:t>
      </w:r>
      <w:r w:rsidRPr="00ED10FF">
        <w:rPr>
          <w:sz w:val="24"/>
        </w:rPr>
        <w:t>(</w:t>
      </w:r>
      <w:r w:rsidRPr="00ED10FF">
        <w:rPr>
          <w:sz w:val="24"/>
        </w:rPr>
        <w:t>基础鱼粉</w:t>
      </w:r>
      <w:r w:rsidRPr="00ED10FF">
        <w:rPr>
          <w:sz w:val="24"/>
        </w:rPr>
        <w:t>30</w:t>
      </w:r>
      <w:r w:rsidRPr="00ED10FF">
        <w:rPr>
          <w:rFonts w:hint="eastAsia"/>
          <w:sz w:val="24"/>
        </w:rPr>
        <w:t xml:space="preserve"> </w:t>
      </w:r>
      <w:r w:rsidRPr="00ED10FF">
        <w:rPr>
          <w:sz w:val="24"/>
        </w:rPr>
        <w:t>%)</w:t>
      </w:r>
      <w:r w:rsidRPr="00ED10FF">
        <w:rPr>
          <w:sz w:val="24"/>
        </w:rPr>
        <w:t>可以提高尼罗罗非鱼</w:t>
      </w:r>
      <w:r w:rsidRPr="00ED10FF">
        <w:rPr>
          <w:sz w:val="24"/>
        </w:rPr>
        <w:t>(</w:t>
      </w:r>
      <w:r w:rsidRPr="00ED10FF">
        <w:rPr>
          <w:i/>
          <w:iCs/>
          <w:sz w:val="24"/>
        </w:rPr>
        <w:t>Oreochromis niloticus</w:t>
      </w:r>
      <w:r w:rsidRPr="00ED10FF">
        <w:rPr>
          <w:sz w:val="24"/>
        </w:rPr>
        <w:t>)</w:t>
      </w:r>
      <w:r w:rsidRPr="00ED10FF">
        <w:rPr>
          <w:sz w:val="24"/>
        </w:rPr>
        <w:t>的饲料利用率和产量</w:t>
      </w:r>
      <w:r w:rsidRPr="00ED10FF">
        <w:rPr>
          <w:sz w:val="24"/>
          <w:vertAlign w:val="superscript"/>
        </w:rPr>
        <w:t>[55]</w:t>
      </w:r>
      <w:r w:rsidRPr="00ED10FF">
        <w:rPr>
          <w:sz w:val="24"/>
        </w:rPr>
        <w:t>；使用蚯蚓渣粉替代</w:t>
      </w:r>
      <w:r w:rsidRPr="00ED10FF">
        <w:rPr>
          <w:sz w:val="24"/>
        </w:rPr>
        <w:t>20</w:t>
      </w:r>
      <w:r w:rsidRPr="00ED10FF">
        <w:rPr>
          <w:rFonts w:hint="eastAsia"/>
          <w:sz w:val="24"/>
        </w:rPr>
        <w:t xml:space="preserve"> </w:t>
      </w:r>
      <w:r w:rsidRPr="00ED10FF">
        <w:rPr>
          <w:sz w:val="24"/>
        </w:rPr>
        <w:t>%</w:t>
      </w:r>
      <w:r w:rsidRPr="00ED10FF">
        <w:rPr>
          <w:sz w:val="24"/>
        </w:rPr>
        <w:t>鱼粉</w:t>
      </w:r>
      <w:r w:rsidRPr="00ED10FF">
        <w:rPr>
          <w:sz w:val="24"/>
        </w:rPr>
        <w:t>(</w:t>
      </w:r>
      <w:r w:rsidRPr="00ED10FF">
        <w:rPr>
          <w:sz w:val="24"/>
        </w:rPr>
        <w:t>基础鱼粉</w:t>
      </w:r>
      <w:r w:rsidRPr="00ED10FF">
        <w:rPr>
          <w:sz w:val="24"/>
        </w:rPr>
        <w:t>45</w:t>
      </w:r>
      <w:r w:rsidRPr="00ED10FF">
        <w:rPr>
          <w:rFonts w:hint="eastAsia"/>
          <w:sz w:val="24"/>
        </w:rPr>
        <w:t xml:space="preserve"> </w:t>
      </w:r>
      <w:r w:rsidRPr="00ED10FF">
        <w:rPr>
          <w:sz w:val="24"/>
        </w:rPr>
        <w:t>%)</w:t>
      </w:r>
      <w:r w:rsidRPr="00ED10FF">
        <w:rPr>
          <w:sz w:val="24"/>
        </w:rPr>
        <w:t>可以促进大口黑鲈</w:t>
      </w:r>
      <w:r w:rsidRPr="00ED10FF">
        <w:rPr>
          <w:sz w:val="24"/>
        </w:rPr>
        <w:t>(</w:t>
      </w:r>
      <w:r w:rsidRPr="00ED10FF">
        <w:rPr>
          <w:i/>
          <w:iCs/>
          <w:sz w:val="24"/>
        </w:rPr>
        <w:t xml:space="preserve">Micropterus </w:t>
      </w:r>
      <w:proofErr w:type="spellStart"/>
      <w:r w:rsidRPr="00ED10FF">
        <w:rPr>
          <w:i/>
          <w:iCs/>
          <w:sz w:val="24"/>
        </w:rPr>
        <w:t>salmoides</w:t>
      </w:r>
      <w:proofErr w:type="spellEnd"/>
      <w:r w:rsidRPr="00ED10FF">
        <w:rPr>
          <w:sz w:val="24"/>
        </w:rPr>
        <w:t>)</w:t>
      </w:r>
      <w:r w:rsidRPr="00ED10FF">
        <w:rPr>
          <w:sz w:val="24"/>
        </w:rPr>
        <w:t>肌肉生长发育相关基因的表达，改善肌纤维生长及肌肉品质</w:t>
      </w:r>
      <w:r w:rsidRPr="00ED10FF">
        <w:rPr>
          <w:sz w:val="24"/>
          <w:vertAlign w:val="superscript"/>
        </w:rPr>
        <w:t>[61]</w:t>
      </w:r>
      <w:r w:rsidRPr="00ED10FF">
        <w:rPr>
          <w:sz w:val="24"/>
        </w:rPr>
        <w:t>，替代</w:t>
      </w:r>
      <w:r w:rsidRPr="00ED10FF">
        <w:rPr>
          <w:sz w:val="24"/>
        </w:rPr>
        <w:t>30</w:t>
      </w:r>
      <w:r w:rsidRPr="00ED10FF">
        <w:rPr>
          <w:rFonts w:hint="eastAsia"/>
          <w:sz w:val="24"/>
        </w:rPr>
        <w:t xml:space="preserve"> </w:t>
      </w:r>
      <w:r w:rsidRPr="00ED10FF">
        <w:rPr>
          <w:sz w:val="24"/>
        </w:rPr>
        <w:t>%~40</w:t>
      </w:r>
      <w:r w:rsidRPr="00ED10FF">
        <w:rPr>
          <w:rFonts w:hint="eastAsia"/>
          <w:sz w:val="24"/>
        </w:rPr>
        <w:t xml:space="preserve"> </w:t>
      </w:r>
      <w:r w:rsidRPr="00ED10FF">
        <w:rPr>
          <w:sz w:val="24"/>
        </w:rPr>
        <w:t>%</w:t>
      </w:r>
      <w:r w:rsidRPr="00ED10FF">
        <w:rPr>
          <w:sz w:val="24"/>
        </w:rPr>
        <w:t>鱼粉能够显著增加大口黑鲈血清总抗氧化能力和谷胱甘肽含量，增强抗氧化能力</w:t>
      </w:r>
      <w:r w:rsidRPr="00ED10FF">
        <w:rPr>
          <w:sz w:val="24"/>
          <w:vertAlign w:val="superscript"/>
        </w:rPr>
        <w:t>[62]</w:t>
      </w:r>
      <w:r w:rsidRPr="00ED10FF">
        <w:rPr>
          <w:sz w:val="24"/>
        </w:rPr>
        <w:t>。</w:t>
      </w:r>
    </w:p>
    <w:p w14:paraId="6A1D8DF9" w14:textId="77777777" w:rsidR="00400E98" w:rsidRPr="00ED10FF" w:rsidRDefault="00400E98" w:rsidP="00400E98">
      <w:pPr>
        <w:spacing w:line="360" w:lineRule="auto"/>
        <w:ind w:firstLineChars="200" w:firstLine="480"/>
        <w:rPr>
          <w:sz w:val="24"/>
        </w:rPr>
      </w:pPr>
      <w:r w:rsidRPr="00ED10FF">
        <w:rPr>
          <w:sz w:val="24"/>
        </w:rPr>
        <w:t>蚯蚓粉与其他原料结合使用同样是鱼粉减量替代的可行途径。研究表明，使用蚯蚓粉和蚯蚓粪</w:t>
      </w:r>
      <w:r w:rsidRPr="00ED10FF">
        <w:rPr>
          <w:sz w:val="24"/>
        </w:rPr>
        <w:t>(89.35</w:t>
      </w:r>
      <w:r w:rsidRPr="00ED10FF">
        <w:rPr>
          <w:rFonts w:ascii="Cambria Math" w:hAnsi="Cambria Math" w:cs="Cambria Math"/>
          <w:sz w:val="24"/>
        </w:rPr>
        <w:t>∶</w:t>
      </w:r>
      <w:r w:rsidRPr="00ED10FF">
        <w:rPr>
          <w:sz w:val="24"/>
        </w:rPr>
        <w:t>10.65)</w:t>
      </w:r>
      <w:r w:rsidRPr="00ED10FF">
        <w:rPr>
          <w:sz w:val="24"/>
        </w:rPr>
        <w:t>替代</w:t>
      </w:r>
      <w:r w:rsidRPr="00ED10FF">
        <w:rPr>
          <w:sz w:val="24"/>
        </w:rPr>
        <w:t>30</w:t>
      </w:r>
      <w:r w:rsidRPr="00ED10FF">
        <w:rPr>
          <w:rFonts w:hint="eastAsia"/>
          <w:sz w:val="24"/>
        </w:rPr>
        <w:t xml:space="preserve"> </w:t>
      </w:r>
      <w:r w:rsidRPr="00ED10FF">
        <w:rPr>
          <w:sz w:val="24"/>
        </w:rPr>
        <w:t>%</w:t>
      </w:r>
      <w:r w:rsidRPr="00ED10FF">
        <w:rPr>
          <w:sz w:val="24"/>
        </w:rPr>
        <w:t>鱼粉</w:t>
      </w:r>
      <w:r w:rsidRPr="00ED10FF">
        <w:rPr>
          <w:sz w:val="24"/>
        </w:rPr>
        <w:t>(</w:t>
      </w:r>
      <w:r w:rsidRPr="00ED10FF">
        <w:rPr>
          <w:sz w:val="24"/>
        </w:rPr>
        <w:t>基础鱼粉</w:t>
      </w:r>
      <w:r w:rsidRPr="00ED10FF">
        <w:rPr>
          <w:sz w:val="24"/>
        </w:rPr>
        <w:t>50</w:t>
      </w:r>
      <w:r w:rsidRPr="00ED10FF">
        <w:rPr>
          <w:rFonts w:hint="eastAsia"/>
          <w:sz w:val="24"/>
        </w:rPr>
        <w:t xml:space="preserve"> </w:t>
      </w:r>
      <w:r w:rsidRPr="00ED10FF">
        <w:rPr>
          <w:sz w:val="24"/>
        </w:rPr>
        <w:t>%)</w:t>
      </w:r>
      <w:r w:rsidRPr="00ED10FF">
        <w:rPr>
          <w:sz w:val="24"/>
        </w:rPr>
        <w:t>，可以有效增强鲤鱼的抗氧化及免疫功能，改善其肠道健康</w:t>
      </w:r>
      <w:r w:rsidRPr="00ED10FF">
        <w:rPr>
          <w:sz w:val="24"/>
          <w:vertAlign w:val="superscript"/>
        </w:rPr>
        <w:t>[53]</w:t>
      </w:r>
      <w:r w:rsidRPr="00ED10FF">
        <w:rPr>
          <w:sz w:val="24"/>
        </w:rPr>
        <w:t>。蚯蚓粉与鸡粉、大豆渣或蝇蛆粉混合可以完全替代鲶鱼饲料中的鱼粉</w:t>
      </w:r>
      <w:r w:rsidRPr="00ED10FF">
        <w:rPr>
          <w:sz w:val="24"/>
        </w:rPr>
        <w:t>(</w:t>
      </w:r>
      <w:r w:rsidRPr="00ED10FF">
        <w:rPr>
          <w:sz w:val="24"/>
        </w:rPr>
        <w:t>基础鱼粉</w:t>
      </w:r>
      <w:r w:rsidRPr="00ED10FF">
        <w:rPr>
          <w:sz w:val="24"/>
        </w:rPr>
        <w:t>40</w:t>
      </w:r>
      <w:r w:rsidRPr="00ED10FF">
        <w:rPr>
          <w:rFonts w:hint="eastAsia"/>
          <w:sz w:val="24"/>
        </w:rPr>
        <w:t xml:space="preserve"> </w:t>
      </w:r>
      <w:r w:rsidRPr="00ED10FF">
        <w:rPr>
          <w:sz w:val="24"/>
        </w:rPr>
        <w:t>%)</w:t>
      </w:r>
      <w:r w:rsidRPr="00ED10FF">
        <w:rPr>
          <w:sz w:val="24"/>
        </w:rPr>
        <w:t>，对其生长性能无不利影响</w:t>
      </w:r>
      <w:r w:rsidRPr="00ED10FF">
        <w:rPr>
          <w:sz w:val="24"/>
          <w:vertAlign w:val="superscript"/>
        </w:rPr>
        <w:t>[63]</w:t>
      </w:r>
      <w:r w:rsidRPr="00ED10FF">
        <w:rPr>
          <w:sz w:val="24"/>
        </w:rPr>
        <w:t>。将蚯蚓粉与蝇蛆粉及蚕蛹粉按</w:t>
      </w:r>
      <w:r w:rsidRPr="00ED10FF">
        <w:rPr>
          <w:sz w:val="24"/>
        </w:rPr>
        <w:t>1</w:t>
      </w:r>
      <w:r w:rsidRPr="00ED10FF">
        <w:rPr>
          <w:rFonts w:ascii="Cambria Math" w:hAnsi="Cambria Math" w:cs="Cambria Math"/>
          <w:sz w:val="24"/>
        </w:rPr>
        <w:t>∶</w:t>
      </w:r>
      <w:r w:rsidRPr="00ED10FF">
        <w:rPr>
          <w:sz w:val="24"/>
        </w:rPr>
        <w:t>1</w:t>
      </w:r>
      <w:r w:rsidRPr="00ED10FF">
        <w:rPr>
          <w:rFonts w:ascii="Cambria Math" w:hAnsi="Cambria Math" w:cs="Cambria Math"/>
          <w:sz w:val="24"/>
        </w:rPr>
        <w:t>∶</w:t>
      </w:r>
      <w:r w:rsidRPr="00ED10FF">
        <w:rPr>
          <w:sz w:val="24"/>
        </w:rPr>
        <w:t>1</w:t>
      </w:r>
      <w:r w:rsidRPr="00ED10FF">
        <w:rPr>
          <w:sz w:val="24"/>
        </w:rPr>
        <w:t>比例混合，可以显著改善棘胸蛙</w:t>
      </w:r>
      <w:r w:rsidRPr="00ED10FF">
        <w:rPr>
          <w:sz w:val="24"/>
        </w:rPr>
        <w:t>(</w:t>
      </w:r>
      <w:proofErr w:type="spellStart"/>
      <w:r w:rsidRPr="00ED10FF">
        <w:rPr>
          <w:i/>
          <w:iCs/>
          <w:sz w:val="24"/>
        </w:rPr>
        <w:t>Quasipaaspinosa</w:t>
      </w:r>
      <w:proofErr w:type="spellEnd"/>
      <w:r w:rsidRPr="00ED10FF">
        <w:rPr>
          <w:sz w:val="24"/>
        </w:rPr>
        <w:t>)</w:t>
      </w:r>
      <w:r w:rsidRPr="00ED10FF">
        <w:rPr>
          <w:sz w:val="24"/>
        </w:rPr>
        <w:t>的生长性能</w:t>
      </w:r>
      <w:r w:rsidRPr="00ED10FF">
        <w:rPr>
          <w:sz w:val="24"/>
          <w:vertAlign w:val="superscript"/>
        </w:rPr>
        <w:t>[64]</w:t>
      </w:r>
      <w:r w:rsidRPr="00ED10FF">
        <w:rPr>
          <w:sz w:val="24"/>
        </w:rPr>
        <w:t>。</w:t>
      </w:r>
    </w:p>
    <w:p w14:paraId="782D2839" w14:textId="77777777" w:rsidR="00B35F38" w:rsidRDefault="00B35F38" w:rsidP="00400E98">
      <w:pPr>
        <w:spacing w:line="360" w:lineRule="auto"/>
        <w:rPr>
          <w:sz w:val="24"/>
        </w:rPr>
      </w:pPr>
    </w:p>
    <w:p w14:paraId="2DA3B004" w14:textId="77777777" w:rsidR="00B35F38" w:rsidRDefault="00B35F38" w:rsidP="00400E98">
      <w:pPr>
        <w:spacing w:line="360" w:lineRule="auto"/>
        <w:rPr>
          <w:sz w:val="24"/>
        </w:rPr>
      </w:pPr>
    </w:p>
    <w:p w14:paraId="6CC702D0" w14:textId="77777777" w:rsidR="00B35F38" w:rsidRDefault="00B35F38" w:rsidP="00400E98">
      <w:pPr>
        <w:spacing w:line="360" w:lineRule="auto"/>
        <w:rPr>
          <w:sz w:val="24"/>
        </w:rPr>
      </w:pPr>
    </w:p>
    <w:p w14:paraId="0ADC7296" w14:textId="7BA46516" w:rsidR="00400E98" w:rsidRPr="00ED10FF" w:rsidRDefault="00400E98" w:rsidP="00400E98">
      <w:pPr>
        <w:spacing w:line="360" w:lineRule="auto"/>
        <w:rPr>
          <w:sz w:val="24"/>
        </w:rPr>
      </w:pPr>
      <w:r w:rsidRPr="00ED10FF">
        <w:rPr>
          <w:sz w:val="24"/>
        </w:rPr>
        <w:lastRenderedPageBreak/>
        <w:t>3</w:t>
      </w:r>
      <w:r w:rsidRPr="00ED10FF">
        <w:rPr>
          <w:sz w:val="24"/>
        </w:rPr>
        <w:t>蚯蚓作为饲料资源的限制因素及改进措施</w:t>
      </w:r>
    </w:p>
    <w:p w14:paraId="462491E6" w14:textId="20221049" w:rsidR="00400E98" w:rsidRPr="00ED10FF" w:rsidRDefault="00400E98" w:rsidP="00400E98">
      <w:pPr>
        <w:spacing w:line="360" w:lineRule="auto"/>
        <w:rPr>
          <w:sz w:val="24"/>
        </w:rPr>
      </w:pPr>
      <w:r w:rsidRPr="00ED10FF">
        <w:rPr>
          <w:sz w:val="24"/>
        </w:rPr>
        <w:t>3.1</w:t>
      </w:r>
      <w:r w:rsidRPr="00ED10FF">
        <w:rPr>
          <w:sz w:val="24"/>
        </w:rPr>
        <w:t>限制因素</w:t>
      </w:r>
    </w:p>
    <w:p w14:paraId="03FE013F" w14:textId="47589A7D" w:rsidR="00400E98" w:rsidRPr="00ED10FF" w:rsidRDefault="00400E98" w:rsidP="00400E98">
      <w:pPr>
        <w:spacing w:line="360" w:lineRule="auto"/>
        <w:rPr>
          <w:sz w:val="24"/>
        </w:rPr>
      </w:pPr>
      <w:r w:rsidRPr="00ED10FF">
        <w:rPr>
          <w:sz w:val="24"/>
        </w:rPr>
        <w:t>3.1.1</w:t>
      </w:r>
      <w:r w:rsidRPr="00ED10FF">
        <w:rPr>
          <w:sz w:val="24"/>
        </w:rPr>
        <w:t>生产成本高和规模较小</w:t>
      </w:r>
    </w:p>
    <w:p w14:paraId="42827573" w14:textId="77777777" w:rsidR="00400E98" w:rsidRPr="00ED10FF" w:rsidRDefault="00400E98" w:rsidP="00400E98">
      <w:pPr>
        <w:spacing w:line="360" w:lineRule="auto"/>
        <w:ind w:firstLineChars="200" w:firstLine="480"/>
        <w:rPr>
          <w:sz w:val="24"/>
        </w:rPr>
      </w:pPr>
      <w:r w:rsidRPr="00ED10FF">
        <w:rPr>
          <w:sz w:val="24"/>
        </w:rPr>
        <w:t>尽管蚯蚓养殖技术已较为成熟，但成品蚯蚓的捕获、清除及加工技术尚未得到充分发展。蚯蚓粉的生产成本仍然较高，据报道生产</w:t>
      </w:r>
      <w:r w:rsidRPr="00ED10FF">
        <w:rPr>
          <w:sz w:val="24"/>
        </w:rPr>
        <w:t>1</w:t>
      </w:r>
      <w:r w:rsidRPr="00ED10FF">
        <w:rPr>
          <w:rFonts w:hint="eastAsia"/>
          <w:sz w:val="24"/>
        </w:rPr>
        <w:t xml:space="preserve"> </w:t>
      </w:r>
      <w:r w:rsidRPr="00ED10FF">
        <w:rPr>
          <w:sz w:val="24"/>
        </w:rPr>
        <w:t>g</w:t>
      </w:r>
      <w:r w:rsidRPr="00ED10FF">
        <w:rPr>
          <w:sz w:val="24"/>
        </w:rPr>
        <w:t>蚯蚓粉的成本接近</w:t>
      </w:r>
      <w:r w:rsidRPr="00ED10FF">
        <w:rPr>
          <w:sz w:val="24"/>
        </w:rPr>
        <w:t>0.24</w:t>
      </w:r>
      <w:r w:rsidRPr="00ED10FF">
        <w:rPr>
          <w:sz w:val="24"/>
        </w:rPr>
        <w:t>美元</w:t>
      </w:r>
      <w:r w:rsidRPr="00ED10FF">
        <w:rPr>
          <w:sz w:val="24"/>
        </w:rPr>
        <w:t>(</w:t>
      </w:r>
      <w:r w:rsidRPr="00ED10FF">
        <w:rPr>
          <w:sz w:val="24"/>
        </w:rPr>
        <w:t>即</w:t>
      </w:r>
      <w:r w:rsidRPr="00ED10FF">
        <w:rPr>
          <w:sz w:val="24"/>
        </w:rPr>
        <w:t>24</w:t>
      </w:r>
      <w:r w:rsidRPr="00ED10FF">
        <w:rPr>
          <w:sz w:val="24"/>
        </w:rPr>
        <w:t>万美元</w:t>
      </w:r>
      <w:r w:rsidRPr="00ED10FF">
        <w:rPr>
          <w:sz w:val="24"/>
        </w:rPr>
        <w:t>/t)</w:t>
      </w:r>
      <w:r w:rsidRPr="00ED10FF">
        <w:rPr>
          <w:sz w:val="24"/>
          <w:vertAlign w:val="superscript"/>
        </w:rPr>
        <w:t>[21]</w:t>
      </w:r>
      <w:r w:rsidRPr="00ED10FF">
        <w:rPr>
          <w:sz w:val="24"/>
        </w:rPr>
        <w:t>，远高于鱼粉的生产成本</w:t>
      </w:r>
      <w:r w:rsidRPr="00ED10FF">
        <w:rPr>
          <w:sz w:val="24"/>
        </w:rPr>
        <w:t>(1400</w:t>
      </w:r>
      <w:r w:rsidRPr="00ED10FF">
        <w:rPr>
          <w:sz w:val="24"/>
        </w:rPr>
        <w:t>美元</w:t>
      </w:r>
      <w:r w:rsidRPr="00ED10FF">
        <w:rPr>
          <w:sz w:val="24"/>
        </w:rPr>
        <w:t>/t)</w:t>
      </w:r>
      <w:r w:rsidRPr="00ED10FF">
        <w:rPr>
          <w:sz w:val="24"/>
          <w:vertAlign w:val="superscript"/>
        </w:rPr>
        <w:t>[65]</w:t>
      </w:r>
      <w:r w:rsidRPr="00ED10FF">
        <w:rPr>
          <w:sz w:val="24"/>
        </w:rPr>
        <w:t>。此外，蚯蚓养殖尚未实现规模化，其产量相对较低。成熟阶段蚯蚓的捕捉仍高度依赖人工诱捕，效率较低。</w:t>
      </w:r>
    </w:p>
    <w:p w14:paraId="21E09306" w14:textId="57F408BF" w:rsidR="00400E98" w:rsidRPr="00ED10FF" w:rsidRDefault="00400E98" w:rsidP="00400E98">
      <w:pPr>
        <w:spacing w:line="360" w:lineRule="auto"/>
        <w:rPr>
          <w:sz w:val="24"/>
        </w:rPr>
      </w:pPr>
      <w:r w:rsidRPr="00ED10FF">
        <w:rPr>
          <w:sz w:val="24"/>
        </w:rPr>
        <w:t>3.1.2</w:t>
      </w:r>
      <w:r w:rsidRPr="00ED10FF">
        <w:rPr>
          <w:sz w:val="24"/>
        </w:rPr>
        <w:t>产品质量不稳定</w:t>
      </w:r>
    </w:p>
    <w:p w14:paraId="3F750347" w14:textId="77777777" w:rsidR="00400E98" w:rsidRPr="00ED10FF" w:rsidRDefault="00400E98" w:rsidP="00400E98">
      <w:pPr>
        <w:spacing w:line="360" w:lineRule="auto"/>
        <w:ind w:firstLineChars="200" w:firstLine="480"/>
        <w:rPr>
          <w:sz w:val="24"/>
        </w:rPr>
      </w:pPr>
      <w:r w:rsidRPr="00ED10FF">
        <w:rPr>
          <w:sz w:val="24"/>
        </w:rPr>
        <w:t>蚯蚓种类、培育基质、捕捉及加工方法的差异均会对蚯蚓粉的营养价值产生影响。目前，蚯蚓养殖业仍以小规模生产模式为主，尚未形成成熟的</w:t>
      </w:r>
      <w:r w:rsidRPr="00ED10FF">
        <w:rPr>
          <w:sz w:val="24"/>
        </w:rPr>
        <w:t>“</w:t>
      </w:r>
      <w:r w:rsidRPr="00ED10FF">
        <w:rPr>
          <w:sz w:val="24"/>
        </w:rPr>
        <w:t>种质选育、培养、加工</w:t>
      </w:r>
      <w:r w:rsidRPr="00ED10FF">
        <w:rPr>
          <w:sz w:val="24"/>
        </w:rPr>
        <w:t>”</w:t>
      </w:r>
      <w:r w:rsidRPr="00ED10FF">
        <w:rPr>
          <w:sz w:val="24"/>
        </w:rPr>
        <w:t>体系。小规模养殖通常难以保持培养基质的稳定性，而培养基组成的变化又会引起成品蚯蚓粉质量的波动；小规模养殖缺乏成品质量控制环节，无法保证蚯蚓粉的均一性；小规模养殖通常不重视蚯蚓种质资源的保护，长期养殖单一品种蚯蚓可能导致蚯蚓品质下降，进而影响蚯蚓粉质量。不当的加工方式也可能损害蚯蚓粉质量，甚至产生毒害物质</w:t>
      </w:r>
      <w:r w:rsidRPr="00ED10FF">
        <w:rPr>
          <w:sz w:val="24"/>
          <w:vertAlign w:val="superscript"/>
        </w:rPr>
        <w:t>[20]</w:t>
      </w:r>
      <w:r w:rsidRPr="00ED10FF">
        <w:rPr>
          <w:sz w:val="24"/>
        </w:rPr>
        <w:t>。</w:t>
      </w:r>
    </w:p>
    <w:p w14:paraId="070B9A2E" w14:textId="53E6457D" w:rsidR="00400E98" w:rsidRPr="00ED10FF" w:rsidRDefault="00400E98" w:rsidP="00400E98">
      <w:pPr>
        <w:spacing w:line="360" w:lineRule="auto"/>
        <w:rPr>
          <w:sz w:val="24"/>
        </w:rPr>
      </w:pPr>
      <w:r w:rsidRPr="00ED10FF">
        <w:rPr>
          <w:sz w:val="24"/>
        </w:rPr>
        <w:t>3.2</w:t>
      </w:r>
      <w:r w:rsidRPr="00ED10FF">
        <w:rPr>
          <w:sz w:val="24"/>
        </w:rPr>
        <w:t>改进策略</w:t>
      </w:r>
    </w:p>
    <w:p w14:paraId="632692F4" w14:textId="02760AE6" w:rsidR="00400E98" w:rsidRPr="00ED10FF" w:rsidRDefault="00400E98" w:rsidP="00400E98">
      <w:pPr>
        <w:spacing w:line="360" w:lineRule="auto"/>
        <w:rPr>
          <w:sz w:val="24"/>
        </w:rPr>
      </w:pPr>
      <w:r w:rsidRPr="00ED10FF">
        <w:rPr>
          <w:sz w:val="24"/>
        </w:rPr>
        <w:t>3.2.1</w:t>
      </w:r>
      <w:r w:rsidRPr="00ED10FF">
        <w:rPr>
          <w:sz w:val="24"/>
        </w:rPr>
        <w:t>保护和加强优良品种的选择和育种</w:t>
      </w:r>
    </w:p>
    <w:p w14:paraId="59E075FA" w14:textId="77777777" w:rsidR="00400E98" w:rsidRPr="00ED10FF" w:rsidRDefault="00400E98" w:rsidP="00400E98">
      <w:pPr>
        <w:spacing w:line="360" w:lineRule="auto"/>
        <w:ind w:firstLineChars="200" w:firstLine="480"/>
        <w:rPr>
          <w:sz w:val="24"/>
        </w:rPr>
      </w:pPr>
      <w:r w:rsidRPr="00ED10FF">
        <w:rPr>
          <w:sz w:val="24"/>
        </w:rPr>
        <w:t>选择和培育优质蚯蚓品种是提升蚯蚓粉质量的关键。赤子爱胜蚓具备繁殖能力强、生长周期短、营养价值高等优点</w:t>
      </w:r>
      <w:r w:rsidRPr="00ED10FF">
        <w:rPr>
          <w:sz w:val="24"/>
          <w:vertAlign w:val="superscript"/>
        </w:rPr>
        <w:t>[12]</w:t>
      </w:r>
      <w:r w:rsidRPr="00ED10FF">
        <w:rPr>
          <w:sz w:val="24"/>
        </w:rPr>
        <w:t>，是养殖较为广泛的品种。此外，赤子爱胜蚓还具有较强的环境适应性能力，能在极端条件下生存</w:t>
      </w:r>
      <w:r w:rsidRPr="00ED10FF">
        <w:rPr>
          <w:sz w:val="24"/>
          <w:vertAlign w:val="superscript"/>
        </w:rPr>
        <w:t>[20]</w:t>
      </w:r>
      <w:r w:rsidRPr="00ED10FF">
        <w:rPr>
          <w:sz w:val="24"/>
        </w:rPr>
        <w:t>，并可以利用各种有机废物进行生长和繁殖，同时产生营养丰富的有机肥</w:t>
      </w:r>
      <w:r w:rsidRPr="00ED10FF">
        <w:rPr>
          <w:sz w:val="24"/>
          <w:vertAlign w:val="superscript"/>
        </w:rPr>
        <w:t>[62]</w:t>
      </w:r>
      <w:r w:rsidRPr="00ED10FF">
        <w:rPr>
          <w:sz w:val="24"/>
        </w:rPr>
        <w:t>。保护此类优质蚯蚓种质资源，强化以这些品种为基础的育种工作，将有助于选育更为优秀的蚯蚓品种，进而促进蚯蚓养殖业的进一步发展。</w:t>
      </w:r>
    </w:p>
    <w:p w14:paraId="131AE1C6" w14:textId="059F9DB7" w:rsidR="00400E98" w:rsidRPr="00ED10FF" w:rsidRDefault="00400E98" w:rsidP="00400E98">
      <w:pPr>
        <w:spacing w:line="360" w:lineRule="auto"/>
        <w:rPr>
          <w:sz w:val="24"/>
        </w:rPr>
      </w:pPr>
      <w:r w:rsidRPr="00ED10FF">
        <w:rPr>
          <w:sz w:val="24"/>
        </w:rPr>
        <w:t>3.2.2</w:t>
      </w:r>
      <w:r w:rsidRPr="00ED10FF">
        <w:rPr>
          <w:sz w:val="24"/>
        </w:rPr>
        <w:t>建立蚯蚓</w:t>
      </w:r>
      <w:r w:rsidRPr="00ED10FF">
        <w:rPr>
          <w:sz w:val="24"/>
        </w:rPr>
        <w:t>“</w:t>
      </w:r>
      <w:r w:rsidRPr="00ED10FF">
        <w:rPr>
          <w:sz w:val="24"/>
        </w:rPr>
        <w:t>选育</w:t>
      </w:r>
      <w:r w:rsidRPr="00ED10FF">
        <w:rPr>
          <w:sz w:val="24"/>
        </w:rPr>
        <w:t>-</w:t>
      </w:r>
      <w:r w:rsidRPr="00ED10FF">
        <w:rPr>
          <w:sz w:val="24"/>
        </w:rPr>
        <w:t>培养</w:t>
      </w:r>
      <w:r w:rsidRPr="00ED10FF">
        <w:rPr>
          <w:sz w:val="24"/>
        </w:rPr>
        <w:t>-</w:t>
      </w:r>
      <w:r w:rsidRPr="00ED10FF">
        <w:rPr>
          <w:sz w:val="24"/>
        </w:rPr>
        <w:t>加工</w:t>
      </w:r>
      <w:r w:rsidRPr="00ED10FF">
        <w:rPr>
          <w:sz w:val="24"/>
        </w:rPr>
        <w:t>”</w:t>
      </w:r>
      <w:r w:rsidRPr="00ED10FF">
        <w:rPr>
          <w:sz w:val="24"/>
        </w:rPr>
        <w:t>体系</w:t>
      </w:r>
    </w:p>
    <w:p w14:paraId="4FD948DE" w14:textId="77777777" w:rsidR="00B35F38" w:rsidRDefault="00400E98" w:rsidP="00400E98">
      <w:pPr>
        <w:spacing w:line="360" w:lineRule="auto"/>
        <w:ind w:firstLineChars="200" w:firstLine="480"/>
        <w:rPr>
          <w:sz w:val="24"/>
        </w:rPr>
      </w:pPr>
      <w:r w:rsidRPr="00ED10FF">
        <w:rPr>
          <w:sz w:val="24"/>
        </w:rPr>
        <w:t>蚯蚓在不同培育基质中的体组成变化揭示了其对培育基质的偏好。因此，应根据当地可获取的废弃物料匹配适宜的蚯蚓品种；也可对当地废弃物进行分类，并依据分类结果选择优质品种进行培育。此外，培育蚯蚓时必须综合考虑品种选择、培养介质及环境条件等因素，以确定适宜的投放密度和培养周期。在培育过程中，可充分利用蚯蚓富集环境物质的特点，根据特定需求在培养基质中添加相应成分。部分研究人员通过在培养基中添加二十二碳六烯酸</w:t>
      </w:r>
      <w:r w:rsidRPr="00ED10FF">
        <w:rPr>
          <w:sz w:val="24"/>
        </w:rPr>
        <w:t>(DHA)</w:t>
      </w:r>
      <w:r w:rsidRPr="00ED10FF">
        <w:rPr>
          <w:sz w:val="24"/>
        </w:rPr>
        <w:t>，将蚯蚓的</w:t>
      </w:r>
      <w:r w:rsidRPr="00ED10FF">
        <w:rPr>
          <w:sz w:val="24"/>
        </w:rPr>
        <w:t>DHA</w:t>
      </w:r>
      <w:r w:rsidRPr="00ED10FF">
        <w:rPr>
          <w:sz w:val="24"/>
        </w:rPr>
        <w:t>含量在</w:t>
      </w:r>
      <w:r w:rsidRPr="00ED10FF">
        <w:rPr>
          <w:sz w:val="24"/>
        </w:rPr>
        <w:t>12</w:t>
      </w:r>
      <w:r w:rsidRPr="00ED10FF">
        <w:rPr>
          <w:rFonts w:hint="eastAsia"/>
          <w:sz w:val="24"/>
        </w:rPr>
        <w:t xml:space="preserve"> </w:t>
      </w:r>
      <w:r w:rsidRPr="00ED10FF">
        <w:rPr>
          <w:sz w:val="24"/>
        </w:rPr>
        <w:t>h</w:t>
      </w:r>
      <w:r w:rsidRPr="00ED10FF">
        <w:rPr>
          <w:sz w:val="24"/>
        </w:rPr>
        <w:t>内提升至原来的</w:t>
      </w:r>
      <w:r w:rsidRPr="00ED10FF">
        <w:rPr>
          <w:sz w:val="24"/>
        </w:rPr>
        <w:t>9.6</w:t>
      </w:r>
      <w:r w:rsidRPr="00ED10FF">
        <w:rPr>
          <w:sz w:val="24"/>
        </w:rPr>
        <w:t>倍，这一策略能够显著提升蚯蚓作为水产动物饲料资源的营养价值，尤其是适合作为水产动物亲本的优质饵料。</w:t>
      </w:r>
      <w:r w:rsidRPr="00ED10FF">
        <w:rPr>
          <w:sz w:val="24"/>
        </w:rPr>
        <w:lastRenderedPageBreak/>
        <w:t>也有研究在培养基中添加硒元素，培育富含硒元素的蚯蚓，从而提升蚯蚓的营养价值</w:t>
      </w:r>
      <w:r w:rsidRPr="00ED10FF">
        <w:rPr>
          <w:sz w:val="24"/>
          <w:vertAlign w:val="superscript"/>
        </w:rPr>
        <w:t>[66]</w:t>
      </w:r>
      <w:r w:rsidRPr="00ED10FF">
        <w:rPr>
          <w:sz w:val="24"/>
        </w:rPr>
        <w:t>。此外，还需要建立蚯蚓加工和蚯蚓粉成品的质量控制标准，规范生产步骤和产品质量。通过规范加工过程，可以避免蚯蚓养分流失或毒素的产生。为了提高蚯蚓粉的蛋白含量，可采用冷冻干燥技术替代高温干燥技术</w:t>
      </w:r>
      <w:r w:rsidRPr="00ED10FF">
        <w:rPr>
          <w:sz w:val="24"/>
          <w:vertAlign w:val="superscript"/>
        </w:rPr>
        <w:t>[26]</w:t>
      </w:r>
      <w:r w:rsidRPr="00ED10FF">
        <w:rPr>
          <w:sz w:val="24"/>
        </w:rPr>
        <w:t>。在加工处理蚯蚓前，可以静置蚯蚓</w:t>
      </w:r>
      <w:r w:rsidRPr="00ED10FF">
        <w:rPr>
          <w:sz w:val="24"/>
        </w:rPr>
        <w:t>3</w:t>
      </w:r>
      <w:r w:rsidRPr="00ED10FF">
        <w:rPr>
          <w:rFonts w:hint="eastAsia"/>
          <w:sz w:val="24"/>
        </w:rPr>
        <w:t xml:space="preserve"> </w:t>
      </w:r>
      <w:r w:rsidRPr="00ED10FF">
        <w:rPr>
          <w:sz w:val="24"/>
        </w:rPr>
        <w:t>h</w:t>
      </w:r>
      <w:r w:rsidRPr="00ED10FF">
        <w:rPr>
          <w:sz w:val="24"/>
        </w:rPr>
        <w:t>以上，使其排出体腔内杂物；在干燥前，可以对蚯蚓进行反复洗涤以减少有毒物质含量</w:t>
      </w:r>
      <w:r w:rsidRPr="00ED10FF">
        <w:rPr>
          <w:sz w:val="24"/>
          <w:vertAlign w:val="superscript"/>
        </w:rPr>
        <w:t>[22]</w:t>
      </w:r>
      <w:r w:rsidRPr="00ED10FF">
        <w:rPr>
          <w:sz w:val="24"/>
        </w:rPr>
        <w:t>。蚯蚓粉成品标准除规定蛋白质、脂肪、碳水化合物等常规营养素含量外，还应规定抗营养物质或生理毒性物质的含量，如几丁质、溶血毒素、重金属等。也可以参照鱼粉成品的标准，测定蚯蚓粉中生物胺、酸价和非挥发性盐基氮含量，评估其新鲜度。建立蚯蚓</w:t>
      </w:r>
      <w:r w:rsidRPr="00ED10FF">
        <w:rPr>
          <w:sz w:val="24"/>
        </w:rPr>
        <w:t>“</w:t>
      </w:r>
      <w:r w:rsidRPr="00ED10FF">
        <w:rPr>
          <w:sz w:val="24"/>
        </w:rPr>
        <w:t>选育</w:t>
      </w:r>
      <w:r w:rsidRPr="00ED10FF">
        <w:rPr>
          <w:sz w:val="24"/>
        </w:rPr>
        <w:t>-</w:t>
      </w:r>
      <w:r w:rsidRPr="00ED10FF">
        <w:rPr>
          <w:sz w:val="24"/>
        </w:rPr>
        <w:t>培养</w:t>
      </w:r>
      <w:r w:rsidRPr="00ED10FF">
        <w:rPr>
          <w:sz w:val="24"/>
        </w:rPr>
        <w:t>-</w:t>
      </w:r>
      <w:r w:rsidRPr="00ED10FF">
        <w:rPr>
          <w:sz w:val="24"/>
        </w:rPr>
        <w:t>加工</w:t>
      </w:r>
      <w:r w:rsidRPr="00ED10FF">
        <w:rPr>
          <w:sz w:val="24"/>
        </w:rPr>
        <w:t>”</w:t>
      </w:r>
      <w:r w:rsidRPr="00ED10FF">
        <w:rPr>
          <w:sz w:val="24"/>
        </w:rPr>
        <w:t>体系，促进蚯蚓养殖业的发展，创造更好的生态效应和经济价值。</w:t>
      </w:r>
    </w:p>
    <w:p w14:paraId="09541644" w14:textId="266C62B7" w:rsidR="00400E98" w:rsidRPr="00ED10FF" w:rsidRDefault="00400E98" w:rsidP="00B35F38">
      <w:pPr>
        <w:spacing w:line="360" w:lineRule="auto"/>
        <w:rPr>
          <w:sz w:val="24"/>
        </w:rPr>
      </w:pPr>
      <w:r w:rsidRPr="00ED10FF">
        <w:rPr>
          <w:sz w:val="24"/>
        </w:rPr>
        <w:t>4</w:t>
      </w:r>
      <w:r w:rsidRPr="00ED10FF">
        <w:rPr>
          <w:sz w:val="24"/>
        </w:rPr>
        <w:t>结论</w:t>
      </w:r>
    </w:p>
    <w:p w14:paraId="79E6DE0E" w14:textId="77777777" w:rsidR="00400E98" w:rsidRDefault="00400E98" w:rsidP="00400E98">
      <w:pPr>
        <w:spacing w:line="360" w:lineRule="auto"/>
        <w:ind w:firstLineChars="200" w:firstLine="480"/>
        <w:rPr>
          <w:sz w:val="24"/>
        </w:rPr>
      </w:pPr>
      <w:r w:rsidRPr="00ED10FF">
        <w:rPr>
          <w:sz w:val="24"/>
        </w:rPr>
        <w:t>蚯蚓及其加工产品营养全面且均衡，富含蛋白质、脂肪、矿物质及活性物质，可作为水产动物活饵、诱食剂、免疫增强剂及蛋白质原料，助力我国水产养殖业鱼粉减量替代及可持续发展。目前，蚯蚓及其加工产品在水产养殖业上的应用仍存在诸多限制，构建成熟的蚯蚓</w:t>
      </w:r>
      <w:r w:rsidRPr="00ED10FF">
        <w:rPr>
          <w:sz w:val="24"/>
        </w:rPr>
        <w:t>“</w:t>
      </w:r>
      <w:r w:rsidRPr="00ED10FF">
        <w:rPr>
          <w:sz w:val="24"/>
        </w:rPr>
        <w:t>选育</w:t>
      </w:r>
      <w:r w:rsidRPr="00ED10FF">
        <w:rPr>
          <w:sz w:val="24"/>
        </w:rPr>
        <w:t>-</w:t>
      </w:r>
      <w:r w:rsidRPr="00ED10FF">
        <w:rPr>
          <w:sz w:val="24"/>
        </w:rPr>
        <w:t>培养</w:t>
      </w:r>
      <w:r w:rsidRPr="00ED10FF">
        <w:rPr>
          <w:sz w:val="24"/>
        </w:rPr>
        <w:t>-</w:t>
      </w:r>
      <w:r w:rsidRPr="00ED10FF">
        <w:rPr>
          <w:sz w:val="24"/>
        </w:rPr>
        <w:t>加工</w:t>
      </w:r>
      <w:r w:rsidRPr="00ED10FF">
        <w:rPr>
          <w:sz w:val="24"/>
        </w:rPr>
        <w:t>”</w:t>
      </w:r>
      <w:r w:rsidRPr="00ED10FF">
        <w:rPr>
          <w:sz w:val="24"/>
        </w:rPr>
        <w:t>模式将有助于其创造更佳的生态效益和经济效益。</w:t>
      </w:r>
    </w:p>
    <w:p w14:paraId="28E1B77F" w14:textId="77777777" w:rsidR="00400E98" w:rsidRPr="00ED10FF" w:rsidRDefault="00400E98" w:rsidP="00400E98">
      <w:pPr>
        <w:spacing w:line="360" w:lineRule="auto"/>
        <w:rPr>
          <w:sz w:val="24"/>
        </w:rPr>
      </w:pPr>
      <w:r w:rsidRPr="00ED10FF">
        <w:rPr>
          <w:rFonts w:hint="eastAsia"/>
          <w:sz w:val="24"/>
        </w:rPr>
        <w:t>参考文献：略</w:t>
      </w:r>
    </w:p>
    <w:p w14:paraId="4A66C1A2" w14:textId="71EB3F37" w:rsidR="00B35F38" w:rsidRDefault="00400E98" w:rsidP="00B35F38">
      <w:pPr>
        <w:spacing w:line="360" w:lineRule="auto"/>
        <w:ind w:firstLineChars="200" w:firstLine="420"/>
        <w:jc w:val="right"/>
        <w:rPr>
          <w:sz w:val="24"/>
        </w:rPr>
      </w:pPr>
      <w:r w:rsidRPr="00ED10FF">
        <w:rPr>
          <w:szCs w:val="21"/>
        </w:rPr>
        <w:t>原文刊登在《</w:t>
      </w:r>
      <w:r>
        <w:rPr>
          <w:rFonts w:hint="eastAsia"/>
          <w:color w:val="333333"/>
          <w:szCs w:val="21"/>
          <w:shd w:val="clear" w:color="auto" w:fill="FFFFFF"/>
        </w:rPr>
        <w:t>饲料研究</w:t>
      </w:r>
      <w:r w:rsidRPr="00ED10FF">
        <w:rPr>
          <w:szCs w:val="21"/>
        </w:rPr>
        <w:t>》</w:t>
      </w:r>
      <w:r w:rsidR="00B35F38" w:rsidRPr="009F0619">
        <w:rPr>
          <w:rFonts w:hint="eastAsia"/>
          <w:sz w:val="24"/>
        </w:rPr>
        <w:t>2025</w:t>
      </w:r>
      <w:r w:rsidR="00B35F38" w:rsidRPr="009F0619">
        <w:rPr>
          <w:rFonts w:hint="eastAsia"/>
          <w:sz w:val="24"/>
        </w:rPr>
        <w:t>年第</w:t>
      </w:r>
      <w:r w:rsidR="00B35F38">
        <w:rPr>
          <w:rFonts w:hint="eastAsia"/>
          <w:sz w:val="24"/>
        </w:rPr>
        <w:t>6</w:t>
      </w:r>
      <w:r w:rsidR="00B35F38" w:rsidRPr="009F0619">
        <w:rPr>
          <w:rFonts w:hint="eastAsia"/>
          <w:sz w:val="24"/>
        </w:rPr>
        <w:t>期</w:t>
      </w:r>
    </w:p>
    <w:p w14:paraId="61CE1905" w14:textId="53ADB788" w:rsidR="00400E98" w:rsidRPr="000B2B77" w:rsidRDefault="00400E98" w:rsidP="00C116A1">
      <w:pPr>
        <w:spacing w:line="360" w:lineRule="auto"/>
        <w:jc w:val="center"/>
        <w:outlineLvl w:val="1"/>
        <w:rPr>
          <w:rFonts w:ascii="黑体" w:eastAsia="黑体" w:hAnsi="黑体" w:hint="eastAsia"/>
          <w:b/>
          <w:bCs/>
          <w:sz w:val="32"/>
          <w:szCs w:val="32"/>
        </w:rPr>
      </w:pPr>
      <w:bookmarkStart w:id="40" w:name="_Toc220673116"/>
      <w:r w:rsidRPr="00D67F90">
        <w:rPr>
          <w:rFonts w:ascii="黑体" w:eastAsia="黑体" w:hAnsi="黑体" w:hint="eastAsia"/>
          <w:b/>
          <w:bCs/>
          <w:sz w:val="32"/>
          <w:szCs w:val="32"/>
        </w:rPr>
        <w:t>水产饲料价格波动对养殖成本的影响研究</w:t>
      </w:r>
      <w:bookmarkEnd w:id="40"/>
    </w:p>
    <w:p w14:paraId="3AA2C3B6" w14:textId="77777777" w:rsidR="00400E98" w:rsidRDefault="00400E98" w:rsidP="00400E98">
      <w:pPr>
        <w:jc w:val="center"/>
        <w:rPr>
          <w:szCs w:val="21"/>
        </w:rPr>
      </w:pPr>
      <w:r w:rsidRPr="00D67F90">
        <w:rPr>
          <w:rFonts w:hint="eastAsia"/>
          <w:szCs w:val="21"/>
        </w:rPr>
        <w:t>谢</w:t>
      </w:r>
      <w:r w:rsidRPr="00D67F90">
        <w:rPr>
          <w:szCs w:val="21"/>
        </w:rPr>
        <w:t>甜</w:t>
      </w:r>
    </w:p>
    <w:p w14:paraId="113AF05E" w14:textId="77777777" w:rsidR="00400E98" w:rsidRPr="00C133DA" w:rsidRDefault="00400E98" w:rsidP="00400E98">
      <w:pPr>
        <w:jc w:val="center"/>
        <w:rPr>
          <w:szCs w:val="21"/>
        </w:rPr>
      </w:pPr>
      <w:r w:rsidRPr="00686588">
        <w:rPr>
          <w:szCs w:val="21"/>
        </w:rPr>
        <w:t>(</w:t>
      </w:r>
      <w:r w:rsidRPr="00D67F90">
        <w:rPr>
          <w:rFonts w:hint="eastAsia"/>
          <w:szCs w:val="21"/>
        </w:rPr>
        <w:t>河南工业贸易职业学院经济贸易学院，河南</w:t>
      </w:r>
      <w:r w:rsidRPr="00D67F90">
        <w:rPr>
          <w:szCs w:val="21"/>
        </w:rPr>
        <w:t xml:space="preserve"> </w:t>
      </w:r>
      <w:r w:rsidRPr="00D67F90">
        <w:rPr>
          <w:szCs w:val="21"/>
        </w:rPr>
        <w:t>郑州</w:t>
      </w:r>
      <w:r w:rsidRPr="00D67F90">
        <w:rPr>
          <w:szCs w:val="21"/>
        </w:rPr>
        <w:t xml:space="preserve"> 450000</w:t>
      </w:r>
      <w:r>
        <w:rPr>
          <w:rFonts w:hint="eastAsia"/>
          <w:szCs w:val="21"/>
        </w:rPr>
        <w:t>)</w:t>
      </w:r>
    </w:p>
    <w:p w14:paraId="1D23F20F" w14:textId="77777777" w:rsidR="00400E98" w:rsidRPr="00D67F90" w:rsidRDefault="00400E98" w:rsidP="00400E98">
      <w:pPr>
        <w:rPr>
          <w:szCs w:val="21"/>
        </w:rPr>
      </w:pPr>
      <w:r w:rsidRPr="00C133DA">
        <w:rPr>
          <w:b/>
          <w:bCs/>
          <w:szCs w:val="21"/>
        </w:rPr>
        <w:t>摘要：</w:t>
      </w:r>
      <w:r w:rsidRPr="00D67F90">
        <w:rPr>
          <w:rFonts w:hint="eastAsia"/>
          <w:szCs w:val="21"/>
        </w:rPr>
        <w:t>稳定水产饲料价格是提升水产品自给水平的重要手段，也是保障渔业经济发展的有力措施，更是</w:t>
      </w:r>
    </w:p>
    <w:p w14:paraId="0709EDDD" w14:textId="77777777" w:rsidR="00400E98" w:rsidRPr="00C133DA" w:rsidRDefault="00400E98" w:rsidP="00400E98">
      <w:pPr>
        <w:rPr>
          <w:szCs w:val="21"/>
        </w:rPr>
      </w:pPr>
      <w:r w:rsidRPr="00D67F90">
        <w:rPr>
          <w:rFonts w:hint="eastAsia"/>
          <w:szCs w:val="21"/>
        </w:rPr>
        <w:t>促进水产养殖业高质量发展的核心所在。基于</w:t>
      </w:r>
      <w:r w:rsidRPr="00D67F90">
        <w:rPr>
          <w:szCs w:val="21"/>
        </w:rPr>
        <w:t>2015</w:t>
      </w:r>
      <w:r w:rsidRPr="00D67F90">
        <w:rPr>
          <w:szCs w:val="21"/>
        </w:rPr>
        <w:t>年</w:t>
      </w:r>
      <w:r w:rsidRPr="00D67F90">
        <w:rPr>
          <w:szCs w:val="21"/>
        </w:rPr>
        <w:t>1</w:t>
      </w:r>
      <w:r w:rsidRPr="00D67F90">
        <w:rPr>
          <w:szCs w:val="21"/>
        </w:rPr>
        <w:t>月</w:t>
      </w:r>
      <w:r w:rsidRPr="00D67F90">
        <w:rPr>
          <w:szCs w:val="21"/>
        </w:rPr>
        <w:t>——2023</w:t>
      </w:r>
      <w:r w:rsidRPr="00D67F90">
        <w:rPr>
          <w:szCs w:val="21"/>
        </w:rPr>
        <w:t>年</w:t>
      </w:r>
      <w:r w:rsidRPr="00D67F90">
        <w:rPr>
          <w:szCs w:val="21"/>
        </w:rPr>
        <w:t>1</w:t>
      </w:r>
      <w:r w:rsidRPr="00D67F90">
        <w:rPr>
          <w:szCs w:val="21"/>
        </w:rPr>
        <w:t>月的月度数据，利用</w:t>
      </w:r>
      <w:r w:rsidRPr="00D67F90">
        <w:rPr>
          <w:szCs w:val="21"/>
        </w:rPr>
        <w:t>VAR</w:t>
      </w:r>
      <w:r w:rsidRPr="00D67F90">
        <w:rPr>
          <w:szCs w:val="21"/>
        </w:rPr>
        <w:t>模型、脉冲响应</w:t>
      </w:r>
      <w:r w:rsidRPr="00D67F90">
        <w:rPr>
          <w:rFonts w:hint="eastAsia"/>
          <w:szCs w:val="21"/>
        </w:rPr>
        <w:t>函数、方差分解法探析水产饲料价格波动对养殖成本的影响。结果显示，水产饲料价格波动与养殖成本之间存在协整关系，即水产饲料价格波动是影响养殖成本的重要因素，且两者之间的联动关系长期存在。水产饲料价格对养殖成本冲击的响应期约为</w:t>
      </w:r>
      <w:r w:rsidRPr="00D67F90">
        <w:rPr>
          <w:szCs w:val="21"/>
        </w:rPr>
        <w:t>2</w:t>
      </w:r>
      <w:r w:rsidRPr="00D67F90">
        <w:rPr>
          <w:szCs w:val="21"/>
        </w:rPr>
        <w:t>年，且水产饲料价格在</w:t>
      </w:r>
      <w:r w:rsidRPr="00D67F90">
        <w:rPr>
          <w:szCs w:val="21"/>
        </w:rPr>
        <w:t>24</w:t>
      </w:r>
      <w:r w:rsidRPr="00D67F90">
        <w:rPr>
          <w:szCs w:val="21"/>
        </w:rPr>
        <w:t>个月后对养殖成本仍有</w:t>
      </w:r>
      <w:r w:rsidRPr="00D67F90">
        <w:rPr>
          <w:szCs w:val="21"/>
        </w:rPr>
        <w:t>6.884 9%</w:t>
      </w:r>
      <w:r w:rsidRPr="00D67F90">
        <w:rPr>
          <w:szCs w:val="21"/>
        </w:rPr>
        <w:t>的贡献率。研究表明，</w:t>
      </w:r>
      <w:r w:rsidRPr="00D67F90">
        <w:rPr>
          <w:rFonts w:hint="eastAsia"/>
          <w:szCs w:val="21"/>
        </w:rPr>
        <w:t>水产饲料价格对水产养殖成本的贡献较高，证明水产饲料价格波动是影响养殖成本的重要因素。</w:t>
      </w:r>
    </w:p>
    <w:p w14:paraId="22F6E48B" w14:textId="77777777" w:rsidR="00400E98" w:rsidRPr="00C133DA" w:rsidRDefault="00400E98" w:rsidP="00400E98">
      <w:pPr>
        <w:rPr>
          <w:szCs w:val="21"/>
        </w:rPr>
      </w:pPr>
      <w:r w:rsidRPr="00C133DA">
        <w:rPr>
          <w:b/>
          <w:bCs/>
          <w:szCs w:val="21"/>
        </w:rPr>
        <w:t>关键词：</w:t>
      </w:r>
      <w:r w:rsidRPr="00D67F90">
        <w:rPr>
          <w:rFonts w:hint="eastAsia"/>
          <w:szCs w:val="21"/>
        </w:rPr>
        <w:t>水产养殖；饲料价格波动；养殖成本；价格效应</w:t>
      </w:r>
    </w:p>
    <w:p w14:paraId="74AA773E" w14:textId="77777777" w:rsidR="00400E98" w:rsidRPr="00C133DA" w:rsidRDefault="00400E98" w:rsidP="00400E98">
      <w:pPr>
        <w:jc w:val="center"/>
        <w:rPr>
          <w:b/>
          <w:bCs/>
          <w:sz w:val="24"/>
        </w:rPr>
      </w:pPr>
      <w:r w:rsidRPr="00D67F90">
        <w:rPr>
          <w:b/>
          <w:bCs/>
          <w:sz w:val="24"/>
        </w:rPr>
        <w:t>Research on impact of fluctuations in aquatic feed prices on breeding costs</w:t>
      </w:r>
    </w:p>
    <w:p w14:paraId="4AAD820E" w14:textId="77777777" w:rsidR="00400E98" w:rsidRDefault="00400E98" w:rsidP="00400E98">
      <w:pPr>
        <w:jc w:val="center"/>
      </w:pPr>
      <w:r w:rsidRPr="00D67F90">
        <w:t>XIE Tian</w:t>
      </w:r>
    </w:p>
    <w:p w14:paraId="601E5903" w14:textId="77777777" w:rsidR="00400E98" w:rsidRPr="00836AB2" w:rsidRDefault="00400E98" w:rsidP="00400E98">
      <w:pPr>
        <w:rPr>
          <w:bCs/>
        </w:rPr>
      </w:pPr>
      <w:r w:rsidRPr="00C133DA">
        <w:rPr>
          <w:b/>
          <w:bCs/>
        </w:rPr>
        <w:t>Abstract</w:t>
      </w:r>
      <w:r>
        <w:rPr>
          <w:b/>
          <w:bCs/>
        </w:rPr>
        <w:t>：</w:t>
      </w:r>
      <w:r w:rsidRPr="00D67F90">
        <w:rPr>
          <w:bCs/>
        </w:rPr>
        <w:t>Stabilizing the price of aquatic feed is an important means to improve the se</w:t>
      </w:r>
      <w:r>
        <w:rPr>
          <w:bCs/>
        </w:rPr>
        <w:t>lf-sufficiency level of aquatic</w:t>
      </w:r>
      <w:r w:rsidRPr="00D67F90">
        <w:rPr>
          <w:bCs/>
        </w:rPr>
        <w:t xml:space="preserve"> products, a powerful measure to ensure the development of fishery economy, and the </w:t>
      </w:r>
      <w:r>
        <w:rPr>
          <w:bCs/>
        </w:rPr>
        <w:t xml:space="preserve">core of promoting high-quality </w:t>
      </w:r>
      <w:r w:rsidRPr="00D67F90">
        <w:rPr>
          <w:bCs/>
        </w:rPr>
        <w:t>development of aquaculture industry. Based on monthly data from January 2015 to Jan</w:t>
      </w:r>
      <w:r>
        <w:rPr>
          <w:bCs/>
        </w:rPr>
        <w:t xml:space="preserve">uary 2023, this study uses VAR </w:t>
      </w:r>
      <w:r w:rsidRPr="00D67F90">
        <w:rPr>
          <w:bCs/>
        </w:rPr>
        <w:t>model, impulse response function, and variance decomposition method to explore th</w:t>
      </w:r>
      <w:r>
        <w:rPr>
          <w:bCs/>
        </w:rPr>
        <w:t xml:space="preserve">e impact of aquatic feed price </w:t>
      </w:r>
      <w:r w:rsidRPr="00D67F90">
        <w:rPr>
          <w:bCs/>
        </w:rPr>
        <w:t>fluctuations on aquaculture costs. The results showed that there is a cointegration relations</w:t>
      </w:r>
      <w:r>
        <w:rPr>
          <w:bCs/>
        </w:rPr>
        <w:t xml:space="preserve">hip between the fluctuation of </w:t>
      </w:r>
      <w:r w:rsidRPr="00D67F90">
        <w:rPr>
          <w:bCs/>
        </w:rPr>
        <w:t xml:space="preserve">aquatic feed prices and aquaculture costs, that is, the fluctuation of aquatic </w:t>
      </w:r>
      <w:r w:rsidRPr="00D67F90">
        <w:rPr>
          <w:bCs/>
        </w:rPr>
        <w:lastRenderedPageBreak/>
        <w:t>feed prices is</w:t>
      </w:r>
      <w:r>
        <w:rPr>
          <w:bCs/>
        </w:rPr>
        <w:t xml:space="preserve"> an important factor affecting </w:t>
      </w:r>
      <w:r w:rsidRPr="00D67F90">
        <w:rPr>
          <w:bCs/>
        </w:rPr>
        <w:t xml:space="preserve">aquaculture costs, and the linkage relationship between the two exists for a long time. The </w:t>
      </w:r>
      <w:r>
        <w:rPr>
          <w:bCs/>
        </w:rPr>
        <w:t xml:space="preserve">response period for the impact </w:t>
      </w:r>
      <w:r w:rsidRPr="00D67F90">
        <w:rPr>
          <w:bCs/>
        </w:rPr>
        <w:t>of aquatic feed prices on aquaculture costs is about two years, and in the second year, the con</w:t>
      </w:r>
      <w:r>
        <w:rPr>
          <w:bCs/>
        </w:rPr>
        <w:t xml:space="preserve">tribution rate of aquatic feed </w:t>
      </w:r>
      <w:r w:rsidRPr="00D67F90">
        <w:rPr>
          <w:bCs/>
        </w:rPr>
        <w:t>prices to aquaculture costs is about 6.884 9%. The study indicates that the high contribu</w:t>
      </w:r>
      <w:r>
        <w:rPr>
          <w:bCs/>
        </w:rPr>
        <w:t xml:space="preserve">tion of aquatic feed prices to </w:t>
      </w:r>
      <w:r w:rsidRPr="00D67F90">
        <w:rPr>
          <w:bCs/>
        </w:rPr>
        <w:t>aquaculture costs proves that fluctuations in aquatic feed prices are an important factor affecting aquaculture costs.</w:t>
      </w:r>
    </w:p>
    <w:p w14:paraId="0749A23B" w14:textId="77777777" w:rsidR="00400E98" w:rsidRPr="00B10070" w:rsidRDefault="00400E98" w:rsidP="00400E98">
      <w:pPr>
        <w:rPr>
          <w:i/>
        </w:rPr>
      </w:pPr>
      <w:r w:rsidRPr="00C133DA">
        <w:rPr>
          <w:b/>
          <w:bCs/>
        </w:rPr>
        <w:t>Key words</w:t>
      </w:r>
      <w:r>
        <w:rPr>
          <w:b/>
          <w:bCs/>
        </w:rPr>
        <w:t>：</w:t>
      </w:r>
      <w:r w:rsidRPr="00D67F90">
        <w:t>aquaculture; fluctuations in feed prices; breeding costs; price effect</w:t>
      </w:r>
    </w:p>
    <w:p w14:paraId="2EE1789E" w14:textId="77777777" w:rsidR="00400E98" w:rsidRPr="00C133DA" w:rsidRDefault="00400E98" w:rsidP="00400E98">
      <w:pPr>
        <w:rPr>
          <w:sz w:val="24"/>
        </w:rPr>
      </w:pPr>
    </w:p>
    <w:p w14:paraId="1ADD0E4E" w14:textId="77777777" w:rsidR="00400E98" w:rsidRDefault="00400E98" w:rsidP="00400E98">
      <w:pPr>
        <w:spacing w:line="360" w:lineRule="auto"/>
        <w:ind w:firstLineChars="200" w:firstLine="480"/>
        <w:rPr>
          <w:sz w:val="24"/>
        </w:rPr>
      </w:pPr>
      <w:r w:rsidRPr="00D67F90">
        <w:rPr>
          <w:rFonts w:hint="eastAsia"/>
          <w:sz w:val="24"/>
        </w:rPr>
        <w:t>习近平总书记在</w:t>
      </w:r>
      <w:r w:rsidRPr="00D67F90">
        <w:rPr>
          <w:sz w:val="24"/>
        </w:rPr>
        <w:t>2022</w:t>
      </w:r>
      <w:r w:rsidRPr="00D67F90">
        <w:rPr>
          <w:sz w:val="24"/>
        </w:rPr>
        <w:t>年中华人民共和国第十三届全</w:t>
      </w:r>
      <w:r w:rsidRPr="00D67F90">
        <w:rPr>
          <w:rFonts w:hint="eastAsia"/>
          <w:sz w:val="24"/>
        </w:rPr>
        <w:t>国人民代表大会第五次会议和中国人民政治协商会议第十三届全国委员会第五次会议期间强调，“要向江河湖海要食物，稳定水产养殖，积极发展远洋渔业，提高渔业发展质量”，为渔业经济高质量发展提供根本遵循</w:t>
      </w:r>
      <w:r w:rsidRPr="009940F6">
        <w:rPr>
          <w:sz w:val="24"/>
          <w:vertAlign w:val="superscript"/>
        </w:rPr>
        <w:t>[1-3]</w:t>
      </w:r>
      <w:r w:rsidRPr="00D67F90">
        <w:rPr>
          <w:sz w:val="24"/>
        </w:rPr>
        <w:t>。</w:t>
      </w:r>
      <w:r w:rsidRPr="00D67F90">
        <w:rPr>
          <w:rFonts w:hint="eastAsia"/>
          <w:sz w:val="24"/>
        </w:rPr>
        <w:t>农业农村部于</w:t>
      </w:r>
      <w:r w:rsidRPr="00D67F90">
        <w:rPr>
          <w:sz w:val="24"/>
        </w:rPr>
        <w:t>2023</w:t>
      </w:r>
      <w:r w:rsidRPr="00D67F90">
        <w:rPr>
          <w:sz w:val="24"/>
        </w:rPr>
        <w:t>年</w:t>
      </w:r>
      <w:r w:rsidRPr="00D67F90">
        <w:rPr>
          <w:sz w:val="24"/>
        </w:rPr>
        <w:t>3</w:t>
      </w:r>
      <w:r w:rsidRPr="00D67F90">
        <w:rPr>
          <w:sz w:val="24"/>
        </w:rPr>
        <w:t>月发布《关于落实党中央国务院</w:t>
      </w:r>
      <w:r w:rsidRPr="00D67F90">
        <w:rPr>
          <w:sz w:val="24"/>
        </w:rPr>
        <w:t>2023</w:t>
      </w:r>
      <w:r w:rsidRPr="00D67F90">
        <w:rPr>
          <w:sz w:val="24"/>
        </w:rPr>
        <w:t>年全面推进乡村振兴重点工作部署的实施意见》，再</w:t>
      </w:r>
      <w:r w:rsidRPr="00D67F90">
        <w:rPr>
          <w:rFonts w:hint="eastAsia"/>
          <w:sz w:val="24"/>
        </w:rPr>
        <w:t>次强调“推进渔业高质量发展”。全国渔业系统积极推进渔业供给侧结构性改革，有效推进水产养殖行业规模扩大化、产业效益“向红”化发展。</w:t>
      </w:r>
      <w:r w:rsidRPr="00D67F90">
        <w:rPr>
          <w:sz w:val="24"/>
        </w:rPr>
        <w:t>2022</w:t>
      </w:r>
      <w:r w:rsidRPr="00D67F90">
        <w:rPr>
          <w:sz w:val="24"/>
        </w:rPr>
        <w:t>年全国水产品总</w:t>
      </w:r>
      <w:r w:rsidRPr="00D67F90">
        <w:rPr>
          <w:rFonts w:hint="eastAsia"/>
          <w:sz w:val="24"/>
        </w:rPr>
        <w:t>产量达</w:t>
      </w:r>
      <w:r>
        <w:rPr>
          <w:sz w:val="24"/>
        </w:rPr>
        <w:t>6</w:t>
      </w:r>
      <w:r w:rsidRPr="00D67F90">
        <w:rPr>
          <w:sz w:val="24"/>
        </w:rPr>
        <w:t>869.0</w:t>
      </w:r>
      <w:r w:rsidRPr="00D67F90">
        <w:rPr>
          <w:sz w:val="24"/>
        </w:rPr>
        <w:t>万</w:t>
      </w:r>
      <w:r w:rsidRPr="00D67F90">
        <w:rPr>
          <w:sz w:val="24"/>
        </w:rPr>
        <w:t>t</w:t>
      </w:r>
      <w:r w:rsidRPr="00D67F90">
        <w:rPr>
          <w:sz w:val="24"/>
        </w:rPr>
        <w:t>，水产养殖行业产值从</w:t>
      </w:r>
      <w:r w:rsidRPr="00D67F90">
        <w:rPr>
          <w:sz w:val="24"/>
        </w:rPr>
        <w:t>2014</w:t>
      </w:r>
      <w:r w:rsidRPr="00D67F90">
        <w:rPr>
          <w:sz w:val="24"/>
        </w:rPr>
        <w:t>年的</w:t>
      </w:r>
      <w:r>
        <w:rPr>
          <w:sz w:val="24"/>
        </w:rPr>
        <w:t>7</w:t>
      </w:r>
      <w:r w:rsidRPr="00D67F90">
        <w:rPr>
          <w:sz w:val="24"/>
        </w:rPr>
        <w:t>888.1</w:t>
      </w:r>
      <w:r w:rsidRPr="00D67F90">
        <w:rPr>
          <w:sz w:val="24"/>
        </w:rPr>
        <w:t>亿元上升至</w:t>
      </w:r>
      <w:r w:rsidRPr="00D67F90">
        <w:rPr>
          <w:sz w:val="24"/>
        </w:rPr>
        <w:t>2022</w:t>
      </w:r>
      <w:r w:rsidRPr="00D67F90">
        <w:rPr>
          <w:sz w:val="24"/>
        </w:rPr>
        <w:t>年的</w:t>
      </w:r>
      <w:r>
        <w:rPr>
          <w:sz w:val="24"/>
        </w:rPr>
        <w:t>11</w:t>
      </w:r>
      <w:r w:rsidRPr="00D67F90">
        <w:rPr>
          <w:sz w:val="24"/>
        </w:rPr>
        <w:t>775.5</w:t>
      </w:r>
      <w:r w:rsidRPr="00D67F90">
        <w:rPr>
          <w:sz w:val="24"/>
        </w:rPr>
        <w:t>亿元，蓝海发展态</w:t>
      </w:r>
      <w:r w:rsidRPr="00D67F90">
        <w:rPr>
          <w:rFonts w:hint="eastAsia"/>
          <w:sz w:val="24"/>
        </w:rPr>
        <w:t>势凸显</w:t>
      </w:r>
      <w:r w:rsidRPr="009940F6">
        <w:rPr>
          <w:sz w:val="24"/>
          <w:vertAlign w:val="superscript"/>
        </w:rPr>
        <w:t>[4]</w:t>
      </w:r>
      <w:r w:rsidRPr="00D67F90">
        <w:rPr>
          <w:sz w:val="24"/>
        </w:rPr>
        <w:t>。《中国的远洋渔业发展（</w:t>
      </w:r>
      <w:r w:rsidRPr="00D67F90">
        <w:rPr>
          <w:sz w:val="24"/>
        </w:rPr>
        <w:t>2023</w:t>
      </w:r>
      <w:r w:rsidRPr="00D67F90">
        <w:rPr>
          <w:sz w:val="24"/>
        </w:rPr>
        <w:t>）》白皮书数据</w:t>
      </w:r>
      <w:r w:rsidRPr="00D67F90">
        <w:rPr>
          <w:rFonts w:hint="eastAsia"/>
          <w:sz w:val="24"/>
        </w:rPr>
        <w:t>显示，中国是世界水产养殖产量最高的国家，供应全球约</w:t>
      </w:r>
      <w:r w:rsidRPr="00D67F90">
        <w:rPr>
          <w:sz w:val="24"/>
        </w:rPr>
        <w:t>40%</w:t>
      </w:r>
      <w:r w:rsidRPr="00D67F90">
        <w:rPr>
          <w:sz w:val="24"/>
        </w:rPr>
        <w:t>的水产养殖产品</w:t>
      </w:r>
      <w:r w:rsidRPr="009940F6">
        <w:rPr>
          <w:sz w:val="24"/>
          <w:vertAlign w:val="superscript"/>
        </w:rPr>
        <w:t>[5]</w:t>
      </w:r>
      <w:r w:rsidRPr="00D67F90">
        <w:rPr>
          <w:sz w:val="24"/>
        </w:rPr>
        <w:t>。截至</w:t>
      </w:r>
      <w:r w:rsidRPr="00D67F90">
        <w:rPr>
          <w:sz w:val="24"/>
        </w:rPr>
        <w:t>2022</w:t>
      </w:r>
      <w:r w:rsidRPr="00D67F90">
        <w:rPr>
          <w:sz w:val="24"/>
        </w:rPr>
        <w:t>年，中国拥有海洋</w:t>
      </w:r>
      <w:r w:rsidRPr="00D67F90">
        <w:rPr>
          <w:rFonts w:hint="eastAsia"/>
          <w:sz w:val="24"/>
        </w:rPr>
        <w:t>捕捞资质的远洋渔业企业</w:t>
      </w:r>
      <w:r w:rsidRPr="00D67F90">
        <w:rPr>
          <w:sz w:val="24"/>
        </w:rPr>
        <w:t>177</w:t>
      </w:r>
      <w:r w:rsidRPr="00D67F90">
        <w:rPr>
          <w:sz w:val="24"/>
        </w:rPr>
        <w:t>家，远洋作业渔船</w:t>
      </w:r>
      <w:r>
        <w:rPr>
          <w:sz w:val="24"/>
        </w:rPr>
        <w:t>2</w:t>
      </w:r>
      <w:r w:rsidRPr="00D67F90">
        <w:rPr>
          <w:sz w:val="24"/>
        </w:rPr>
        <w:t>551</w:t>
      </w:r>
      <w:r w:rsidRPr="00D67F90">
        <w:rPr>
          <w:sz w:val="24"/>
        </w:rPr>
        <w:t>艘，在开发利用全球海洋渔业资源、促进海洋食物</w:t>
      </w:r>
      <w:r w:rsidRPr="00D67F90">
        <w:rPr>
          <w:rFonts w:hint="eastAsia"/>
          <w:sz w:val="24"/>
        </w:rPr>
        <w:t>和营养供给方面发挥积极作用</w:t>
      </w:r>
      <w:r w:rsidRPr="009940F6">
        <w:rPr>
          <w:sz w:val="24"/>
          <w:vertAlign w:val="superscript"/>
        </w:rPr>
        <w:t>[6]</w:t>
      </w:r>
      <w:r w:rsidRPr="00D67F90">
        <w:rPr>
          <w:sz w:val="24"/>
        </w:rPr>
        <w:t>。我国水产养殖的生产组</w:t>
      </w:r>
      <w:r w:rsidRPr="00D67F90">
        <w:rPr>
          <w:rFonts w:hint="eastAsia"/>
          <w:sz w:val="24"/>
        </w:rPr>
        <w:t>织模式仍以个体养殖户养殖、小规模家庭生产为基本单元，容易受到水产饲料价格波动的影响</w:t>
      </w:r>
      <w:r w:rsidRPr="009940F6">
        <w:rPr>
          <w:sz w:val="24"/>
          <w:vertAlign w:val="superscript"/>
        </w:rPr>
        <w:t>[7-9]</w:t>
      </w:r>
      <w:r w:rsidRPr="00D67F90">
        <w:rPr>
          <w:sz w:val="24"/>
        </w:rPr>
        <w:t>。因此，稳定</w:t>
      </w:r>
      <w:r w:rsidRPr="00D67F90">
        <w:rPr>
          <w:rFonts w:hint="eastAsia"/>
          <w:sz w:val="24"/>
        </w:rPr>
        <w:t>水产饲料价格波动、强化水产饲料单价调控成为应对水产养殖产业风险的关键策略。在此背景下，深刻把握水产饲料价格波动规律及影响因素，有助于降低养殖生产成本，推动水产饲料生产行业、水产养殖行业稳健发展。基于此，利用</w:t>
      </w:r>
      <w:r w:rsidRPr="00D67F90">
        <w:rPr>
          <w:sz w:val="24"/>
        </w:rPr>
        <w:t>VAR</w:t>
      </w:r>
      <w:r w:rsidRPr="00D67F90">
        <w:rPr>
          <w:sz w:val="24"/>
        </w:rPr>
        <w:t>模型研究水产饲料价格波动对养殖成</w:t>
      </w:r>
      <w:r w:rsidRPr="00D67F90">
        <w:rPr>
          <w:rFonts w:hint="eastAsia"/>
          <w:sz w:val="24"/>
        </w:rPr>
        <w:t>本的影响，以及探索影响水产养殖的因素，结合水产饲料行业价格波动实际情况分析影响因素的传导作用，以满足水产养殖市场需求，缓解国内饲料行业、养殖行业压力，为我国政府部门调控水产养殖饲料市场提供参考。</w:t>
      </w:r>
    </w:p>
    <w:p w14:paraId="2D7A9610" w14:textId="77777777" w:rsidR="00400E98" w:rsidRPr="007A4041" w:rsidRDefault="00400E98" w:rsidP="00400E98">
      <w:pPr>
        <w:spacing w:line="360" w:lineRule="auto"/>
        <w:rPr>
          <w:sz w:val="24"/>
        </w:rPr>
      </w:pPr>
      <w:r w:rsidRPr="007A4041">
        <w:rPr>
          <w:sz w:val="24"/>
        </w:rPr>
        <w:t>1</w:t>
      </w:r>
      <w:r w:rsidRPr="007A4041">
        <w:rPr>
          <w:sz w:val="24"/>
        </w:rPr>
        <w:t>研究方法及数据来源</w:t>
      </w:r>
    </w:p>
    <w:p w14:paraId="52DBA17A" w14:textId="77777777" w:rsidR="00400E98" w:rsidRPr="007A4041" w:rsidRDefault="00400E98" w:rsidP="00400E98">
      <w:pPr>
        <w:spacing w:line="360" w:lineRule="auto"/>
        <w:rPr>
          <w:sz w:val="24"/>
        </w:rPr>
      </w:pPr>
      <w:r w:rsidRPr="007A4041">
        <w:rPr>
          <w:sz w:val="24"/>
        </w:rPr>
        <w:t>1.1VAR</w:t>
      </w:r>
      <w:r w:rsidRPr="007A4041">
        <w:rPr>
          <w:sz w:val="24"/>
        </w:rPr>
        <w:t>模型设定</w:t>
      </w:r>
    </w:p>
    <w:p w14:paraId="4ECEB1F7" w14:textId="77777777" w:rsidR="00400E98" w:rsidRPr="007A4041" w:rsidRDefault="00400E98" w:rsidP="00400E98">
      <w:pPr>
        <w:spacing w:line="360" w:lineRule="auto"/>
        <w:ind w:firstLineChars="200" w:firstLine="480"/>
        <w:rPr>
          <w:sz w:val="24"/>
        </w:rPr>
      </w:pPr>
      <w:r w:rsidRPr="007A4041">
        <w:rPr>
          <w:sz w:val="24"/>
        </w:rPr>
        <w:t>VAR</w:t>
      </w:r>
      <w:r w:rsidRPr="007A4041">
        <w:rPr>
          <w:sz w:val="24"/>
        </w:rPr>
        <w:t>模型最早由</w:t>
      </w:r>
      <w:r w:rsidRPr="007A4041">
        <w:rPr>
          <w:sz w:val="24"/>
        </w:rPr>
        <w:t>SIMS</w:t>
      </w:r>
      <w:r w:rsidRPr="007A4041">
        <w:rPr>
          <w:sz w:val="24"/>
        </w:rPr>
        <w:t>引入至经济学概念中，并拓</w:t>
      </w:r>
      <w:r w:rsidRPr="007A4041">
        <w:rPr>
          <w:rFonts w:hint="eastAsia"/>
          <w:sz w:val="24"/>
        </w:rPr>
        <w:t>展发展至今</w:t>
      </w:r>
      <w:r w:rsidRPr="009940F6">
        <w:rPr>
          <w:sz w:val="24"/>
          <w:vertAlign w:val="superscript"/>
        </w:rPr>
        <w:t>[10-11]</w:t>
      </w:r>
      <w:r w:rsidRPr="007A4041">
        <w:rPr>
          <w:sz w:val="24"/>
        </w:rPr>
        <w:t>。</w:t>
      </w:r>
      <w:r w:rsidRPr="007A4041">
        <w:rPr>
          <w:sz w:val="24"/>
        </w:rPr>
        <w:t>VAR</w:t>
      </w:r>
      <w:r w:rsidRPr="007A4041">
        <w:rPr>
          <w:sz w:val="24"/>
        </w:rPr>
        <w:t>模型具有应用灵活性，可反映</w:t>
      </w:r>
      <w:r w:rsidRPr="007A4041">
        <w:rPr>
          <w:rFonts w:hint="eastAsia"/>
          <w:sz w:val="24"/>
        </w:rPr>
        <w:t>系统中每一个内生变量的演变情况，表达全部变量之间的动态关系。同时，</w:t>
      </w:r>
      <w:r w:rsidRPr="007A4041">
        <w:rPr>
          <w:sz w:val="24"/>
        </w:rPr>
        <w:t>VAR</w:t>
      </w:r>
      <w:r w:rsidRPr="007A4041">
        <w:rPr>
          <w:sz w:val="24"/>
        </w:rPr>
        <w:t>模型能够通过脉冲响应函数及</w:t>
      </w:r>
      <w:r w:rsidRPr="007A4041">
        <w:rPr>
          <w:rFonts w:hint="eastAsia"/>
          <w:sz w:val="24"/>
        </w:rPr>
        <w:t>方差分解，就变量间动态结构及具体特征展开验证。因此，为探讨水产饲料价格波动对养殖成本的影响效应，具体构造</w:t>
      </w:r>
      <w:r w:rsidRPr="007A4041">
        <w:rPr>
          <w:sz w:val="24"/>
        </w:rPr>
        <w:t>VAR</w:t>
      </w:r>
      <w:r w:rsidRPr="007A4041">
        <w:rPr>
          <w:sz w:val="24"/>
        </w:rPr>
        <w:t>模型如下：</w:t>
      </w:r>
    </w:p>
    <w:p w14:paraId="6A8E391A" w14:textId="77777777" w:rsidR="00400E98" w:rsidRDefault="00400E98" w:rsidP="00400E98">
      <w:pPr>
        <w:spacing w:line="360" w:lineRule="auto"/>
        <w:ind w:firstLineChars="200" w:firstLine="480"/>
        <w:rPr>
          <w:sz w:val="24"/>
        </w:rPr>
      </w:pPr>
      <w:r w:rsidRPr="007A4041">
        <w:rPr>
          <w:rFonts w:hint="eastAsia"/>
          <w:sz w:val="24"/>
        </w:rPr>
        <w:t>设定一个包含</w:t>
      </w:r>
      <w:r w:rsidRPr="007A4041">
        <w:rPr>
          <w:rFonts w:hint="eastAsia"/>
          <w:i/>
          <w:sz w:val="24"/>
        </w:rPr>
        <w:t>k</w:t>
      </w:r>
      <w:r w:rsidRPr="007A4041">
        <w:rPr>
          <w:sz w:val="24"/>
        </w:rPr>
        <w:t>个变量、滞后期为</w:t>
      </w:r>
      <w:r w:rsidRPr="007A4041">
        <w:rPr>
          <w:i/>
          <w:sz w:val="24"/>
        </w:rPr>
        <w:t>p</w:t>
      </w:r>
      <w:r w:rsidRPr="007A4041">
        <w:rPr>
          <w:sz w:val="24"/>
        </w:rPr>
        <w:t>的</w:t>
      </w:r>
      <w:r w:rsidRPr="007A4041">
        <w:rPr>
          <w:sz w:val="24"/>
        </w:rPr>
        <w:t>VAR</w:t>
      </w:r>
      <w:r w:rsidRPr="007A4041">
        <w:rPr>
          <w:sz w:val="24"/>
        </w:rPr>
        <w:t>模型：</w:t>
      </w:r>
    </w:p>
    <w:p w14:paraId="6D319B9F" w14:textId="77777777" w:rsidR="00400E98" w:rsidRDefault="00400E98" w:rsidP="00400E98">
      <w:pPr>
        <w:spacing w:line="360" w:lineRule="auto"/>
        <w:ind w:firstLineChars="200" w:firstLine="480"/>
        <w:rPr>
          <w:sz w:val="24"/>
        </w:rPr>
      </w:pPr>
      <w:proofErr w:type="spellStart"/>
      <w:r w:rsidRPr="007A4041">
        <w:rPr>
          <w:i/>
          <w:sz w:val="24"/>
        </w:rPr>
        <w:lastRenderedPageBreak/>
        <w:t>Y</w:t>
      </w:r>
      <w:r w:rsidRPr="007A4041">
        <w:rPr>
          <w:i/>
          <w:sz w:val="24"/>
          <w:vertAlign w:val="subscript"/>
        </w:rPr>
        <w:t>t</w:t>
      </w:r>
      <w:proofErr w:type="spellEnd"/>
      <w:r w:rsidRPr="007A4041">
        <w:rPr>
          <w:i/>
          <w:sz w:val="24"/>
        </w:rPr>
        <w:t>=C+∏</w:t>
      </w:r>
      <w:r w:rsidRPr="007A4041">
        <w:rPr>
          <w:i/>
          <w:sz w:val="24"/>
          <w:vertAlign w:val="subscript"/>
        </w:rPr>
        <w:t>1</w:t>
      </w:r>
      <w:r w:rsidRPr="007A4041">
        <w:rPr>
          <w:i/>
          <w:sz w:val="24"/>
        </w:rPr>
        <w:t>Y</w:t>
      </w:r>
      <w:r w:rsidRPr="007A4041">
        <w:rPr>
          <w:i/>
          <w:sz w:val="24"/>
          <w:vertAlign w:val="subscript"/>
        </w:rPr>
        <w:t>t-1</w:t>
      </w:r>
      <w:r w:rsidRPr="007A4041">
        <w:rPr>
          <w:i/>
          <w:sz w:val="24"/>
        </w:rPr>
        <w:t>+∏</w:t>
      </w:r>
      <w:r w:rsidRPr="007A4041">
        <w:rPr>
          <w:i/>
          <w:sz w:val="24"/>
          <w:vertAlign w:val="subscript"/>
        </w:rPr>
        <w:t>2</w:t>
      </w:r>
      <w:r w:rsidRPr="007A4041">
        <w:rPr>
          <w:i/>
          <w:sz w:val="24"/>
        </w:rPr>
        <w:t>Y</w:t>
      </w:r>
      <w:r w:rsidRPr="007A4041">
        <w:rPr>
          <w:i/>
          <w:sz w:val="24"/>
          <w:vertAlign w:val="subscript"/>
        </w:rPr>
        <w:t>t-2</w:t>
      </w:r>
      <w:r w:rsidRPr="007A4041">
        <w:rPr>
          <w:i/>
          <w:sz w:val="24"/>
        </w:rPr>
        <w:t>+…+∏</w:t>
      </w:r>
      <w:r w:rsidRPr="007A4041">
        <w:rPr>
          <w:i/>
          <w:sz w:val="24"/>
          <w:vertAlign w:val="subscript"/>
        </w:rPr>
        <w:t>p</w:t>
      </w:r>
      <w:r w:rsidRPr="007A4041">
        <w:rPr>
          <w:i/>
          <w:sz w:val="24"/>
        </w:rPr>
        <w:t>Y</w:t>
      </w:r>
      <w:r w:rsidRPr="007A4041">
        <w:rPr>
          <w:i/>
          <w:sz w:val="24"/>
          <w:vertAlign w:val="subscript"/>
        </w:rPr>
        <w:t>p-1</w:t>
      </w:r>
      <w:r w:rsidRPr="007A4041">
        <w:rPr>
          <w:i/>
          <w:sz w:val="24"/>
        </w:rPr>
        <w:t>+u</w:t>
      </w:r>
      <w:r w:rsidRPr="007A4041">
        <w:rPr>
          <w:i/>
          <w:sz w:val="24"/>
          <w:vertAlign w:val="subscript"/>
        </w:rPr>
        <w:t>t</w:t>
      </w:r>
      <w:r>
        <w:rPr>
          <w:rFonts w:hint="eastAsia"/>
          <w:i/>
          <w:sz w:val="24"/>
          <w:vertAlign w:val="subscript"/>
        </w:rPr>
        <w:t xml:space="preserve"> </w:t>
      </w:r>
      <w:r>
        <w:rPr>
          <w:rFonts w:hint="eastAsia"/>
          <w:i/>
          <w:sz w:val="24"/>
        </w:rPr>
        <w:t xml:space="preserve">                                         </w:t>
      </w:r>
      <w:r w:rsidRPr="007A4041">
        <w:rPr>
          <w:rFonts w:hint="eastAsia"/>
          <w:sz w:val="24"/>
        </w:rPr>
        <w:t>（</w:t>
      </w:r>
      <w:r w:rsidRPr="007A4041">
        <w:rPr>
          <w:rFonts w:hint="eastAsia"/>
          <w:sz w:val="24"/>
        </w:rPr>
        <w:t>1</w:t>
      </w:r>
      <w:r w:rsidRPr="007A4041">
        <w:rPr>
          <w:rFonts w:hint="eastAsia"/>
          <w:sz w:val="24"/>
        </w:rPr>
        <w:t>）</w:t>
      </w:r>
    </w:p>
    <w:p w14:paraId="232C024C" w14:textId="77777777" w:rsidR="00400E98" w:rsidRDefault="00400E98" w:rsidP="00400E98">
      <w:pPr>
        <w:spacing w:line="360" w:lineRule="auto"/>
        <w:ind w:firstLineChars="200" w:firstLine="480"/>
        <w:rPr>
          <w:sz w:val="24"/>
        </w:rPr>
      </w:pPr>
      <w:r w:rsidRPr="007A4041">
        <w:rPr>
          <w:rFonts w:hint="eastAsia"/>
          <w:sz w:val="24"/>
        </w:rPr>
        <w:t>式中：</w:t>
      </w:r>
      <w:proofErr w:type="spellStart"/>
      <w:r w:rsidRPr="007A4041">
        <w:rPr>
          <w:i/>
          <w:sz w:val="24"/>
        </w:rPr>
        <w:t>Y</w:t>
      </w:r>
      <w:r w:rsidRPr="007A4041">
        <w:rPr>
          <w:i/>
          <w:sz w:val="24"/>
          <w:vertAlign w:val="subscript"/>
        </w:rPr>
        <w:t>t</w:t>
      </w:r>
      <w:proofErr w:type="spellEnd"/>
      <w:r w:rsidRPr="007A4041">
        <w:rPr>
          <w:sz w:val="24"/>
        </w:rPr>
        <w:t>、</w:t>
      </w:r>
      <w:r w:rsidRPr="007A4041">
        <w:rPr>
          <w:i/>
          <w:sz w:val="24"/>
        </w:rPr>
        <w:t>C</w:t>
      </w:r>
      <w:r w:rsidRPr="007A4041">
        <w:rPr>
          <w:sz w:val="24"/>
        </w:rPr>
        <w:t>分别为</w:t>
      </w:r>
      <w:r w:rsidRPr="007A4041">
        <w:rPr>
          <w:i/>
          <w:sz w:val="24"/>
        </w:rPr>
        <w:t>k×1</w:t>
      </w:r>
      <w:r w:rsidRPr="007A4041">
        <w:rPr>
          <w:sz w:val="24"/>
        </w:rPr>
        <w:t>中阶段内生项与常数项；</w:t>
      </w:r>
      <w:r w:rsidRPr="007A4041">
        <w:rPr>
          <w:rFonts w:hint="eastAsia"/>
          <w:i/>
          <w:sz w:val="24"/>
        </w:rPr>
        <w:t>∏</w:t>
      </w:r>
      <w:r w:rsidRPr="007A4041">
        <w:rPr>
          <w:i/>
          <w:sz w:val="24"/>
          <w:vertAlign w:val="subscript"/>
        </w:rPr>
        <w:t>1</w:t>
      </w:r>
      <w:r w:rsidRPr="007A4041">
        <w:rPr>
          <w:sz w:val="24"/>
        </w:rPr>
        <w:t>，</w:t>
      </w:r>
      <w:r w:rsidRPr="007A4041">
        <w:rPr>
          <w:sz w:val="24"/>
        </w:rPr>
        <w:t>…</w:t>
      </w:r>
      <w:r w:rsidRPr="007A4041">
        <w:rPr>
          <w:sz w:val="24"/>
        </w:rPr>
        <w:t>，</w:t>
      </w:r>
      <w:r w:rsidRPr="007A4041">
        <w:rPr>
          <w:i/>
          <w:sz w:val="24"/>
        </w:rPr>
        <w:t>∏</w:t>
      </w:r>
      <w:r w:rsidRPr="007A4041">
        <w:rPr>
          <w:i/>
          <w:sz w:val="24"/>
          <w:vertAlign w:val="subscript"/>
        </w:rPr>
        <w:t>p</w:t>
      </w:r>
      <w:r w:rsidRPr="007A4041">
        <w:rPr>
          <w:sz w:val="24"/>
        </w:rPr>
        <w:t>为</w:t>
      </w:r>
      <w:proofErr w:type="spellStart"/>
      <w:r w:rsidRPr="007A4041">
        <w:rPr>
          <w:i/>
          <w:sz w:val="24"/>
        </w:rPr>
        <w:t>k×k</w:t>
      </w:r>
      <w:proofErr w:type="spellEnd"/>
      <w:r w:rsidRPr="007A4041">
        <w:rPr>
          <w:sz w:val="24"/>
        </w:rPr>
        <w:t>待估计矩阵；</w:t>
      </w:r>
      <w:proofErr w:type="spellStart"/>
      <w:r w:rsidRPr="007A4041">
        <w:rPr>
          <w:i/>
          <w:sz w:val="24"/>
        </w:rPr>
        <w:t>u</w:t>
      </w:r>
      <w:r w:rsidRPr="007A4041">
        <w:rPr>
          <w:i/>
          <w:sz w:val="24"/>
          <w:vertAlign w:val="subscript"/>
        </w:rPr>
        <w:t>t</w:t>
      </w:r>
      <w:proofErr w:type="spellEnd"/>
      <w:r w:rsidRPr="007A4041">
        <w:rPr>
          <w:sz w:val="24"/>
        </w:rPr>
        <w:t>属于</w:t>
      </w:r>
      <w:r w:rsidRPr="007A4041">
        <w:rPr>
          <w:i/>
          <w:sz w:val="24"/>
        </w:rPr>
        <w:t>k×1</w:t>
      </w:r>
      <w:r w:rsidRPr="007A4041">
        <w:rPr>
          <w:sz w:val="24"/>
        </w:rPr>
        <w:t>阶段随机</w:t>
      </w:r>
      <w:r w:rsidRPr="007A4041">
        <w:rPr>
          <w:rFonts w:hint="eastAsia"/>
          <w:sz w:val="24"/>
        </w:rPr>
        <w:t>误差项。</w:t>
      </w:r>
    </w:p>
    <w:p w14:paraId="6A60E7DC" w14:textId="77777777" w:rsidR="00400E98" w:rsidRDefault="00400E98" w:rsidP="00400E98">
      <w:pPr>
        <w:spacing w:line="360" w:lineRule="auto"/>
        <w:ind w:firstLineChars="200" w:firstLine="480"/>
        <w:rPr>
          <w:sz w:val="24"/>
        </w:rPr>
      </w:pPr>
      <w:r w:rsidRPr="007A4041">
        <w:rPr>
          <w:rFonts w:hint="eastAsia"/>
          <w:sz w:val="24"/>
        </w:rPr>
        <w:t>设定一个系统中包含两个变量、滞后期为</w:t>
      </w:r>
      <w:r w:rsidRPr="007A4041">
        <w:rPr>
          <w:sz w:val="24"/>
        </w:rPr>
        <w:t>2</w:t>
      </w:r>
      <w:r w:rsidRPr="007A4041">
        <w:rPr>
          <w:sz w:val="24"/>
        </w:rPr>
        <w:t>的</w:t>
      </w:r>
      <w:r>
        <w:rPr>
          <w:sz w:val="24"/>
        </w:rPr>
        <w:t>VAR</w:t>
      </w:r>
      <w:r w:rsidRPr="007A4041">
        <w:rPr>
          <w:rFonts w:hint="eastAsia"/>
          <w:sz w:val="24"/>
        </w:rPr>
        <w:t>模型：</w:t>
      </w:r>
    </w:p>
    <w:p w14:paraId="22ABE35A" w14:textId="77777777" w:rsidR="00400E98" w:rsidRDefault="00000000" w:rsidP="00400E98">
      <w:pPr>
        <w:spacing w:line="360" w:lineRule="auto"/>
        <w:ind w:firstLineChars="200" w:firstLine="480"/>
        <w:rPr>
          <w:sz w:val="24"/>
        </w:rPr>
      </w:pPr>
      <m:oMath>
        <m:d>
          <m:dPr>
            <m:begChr m:val="{"/>
            <m:endChr m:val=""/>
            <m:ctrlPr>
              <w:rPr>
                <w:rFonts w:ascii="Cambria Math" w:hAnsi="Cambria Math"/>
                <w:sz w:val="24"/>
              </w:rPr>
            </m:ctrlPr>
          </m:dPr>
          <m:e>
            <m:eqArr>
              <m:eqArrPr>
                <m:ctrlPr>
                  <w:rPr>
                    <w:rFonts w:ascii="Cambria Math" w:hAnsi="Cambria Math"/>
                    <w:sz w:val="24"/>
                  </w:rPr>
                </m:ctrlPr>
              </m:eqArrPr>
              <m:e>
                <m:sSub>
                  <m:sSubPr>
                    <m:ctrlPr>
                      <w:rPr>
                        <w:rFonts w:ascii="Cambria Math" w:hAnsi="Cambria Math"/>
                        <w:i/>
                        <w:sz w:val="24"/>
                      </w:rPr>
                    </m:ctrlPr>
                  </m:sSubPr>
                  <m:e>
                    <m:r>
                      <w:rPr>
                        <w:rFonts w:ascii="Cambria Math" w:hAnsi="Cambria Math"/>
                        <w:sz w:val="24"/>
                      </w:rPr>
                      <m:t>y</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11.1</m:t>
                    </m:r>
                  </m:sub>
                </m:sSub>
                <m:sSub>
                  <m:sSubPr>
                    <m:ctrlPr>
                      <w:rPr>
                        <w:rFonts w:ascii="Cambria Math" w:hAnsi="Cambria Math"/>
                        <w:i/>
                        <w:sz w:val="24"/>
                      </w:rPr>
                    </m:ctrlPr>
                  </m:sSubPr>
                  <m:e>
                    <m:r>
                      <w:rPr>
                        <w:rFonts w:ascii="Cambria Math" w:hAnsi="Cambria Math"/>
                        <w:sz w:val="24"/>
                      </w:rPr>
                      <m:t>y</m:t>
                    </m:r>
                  </m:e>
                  <m:sub>
                    <m:r>
                      <w:rPr>
                        <w:rFonts w:ascii="Cambria Math" w:hAnsi="Cambria Math"/>
                        <w:sz w:val="24"/>
                      </w:rPr>
                      <m:t>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12.1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11.2</m:t>
                    </m:r>
                  </m:sub>
                </m:sSub>
                <m:sSub>
                  <m:sSubPr>
                    <m:ctrlPr>
                      <w:rPr>
                        <w:rFonts w:ascii="Cambria Math" w:hAnsi="Cambria Math"/>
                        <w:i/>
                        <w:sz w:val="24"/>
                      </w:rPr>
                    </m:ctrlPr>
                  </m:sSubPr>
                  <m:e>
                    <m:r>
                      <w:rPr>
                        <w:rFonts w:ascii="Cambria Math" w:hAnsi="Cambria Math"/>
                        <w:sz w:val="24"/>
                      </w:rPr>
                      <m:t>y</m:t>
                    </m:r>
                  </m:e>
                  <m:sub>
                    <m:r>
                      <w:rPr>
                        <w:rFonts w:ascii="Cambria Math" w:hAnsi="Cambria Math"/>
                        <w:sz w:val="24"/>
                      </w:rPr>
                      <m:t>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12.2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u</m:t>
                    </m:r>
                  </m:e>
                  <m:sub>
                    <m:r>
                      <w:rPr>
                        <w:rFonts w:ascii="Cambria Math" w:hAnsi="Cambria Math"/>
                        <w:sz w:val="24"/>
                      </w:rPr>
                      <m:t>1t</m:t>
                    </m:r>
                  </m:sub>
                </m:sSub>
              </m:e>
              <m:e>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21.1</m:t>
                    </m:r>
                  </m:sub>
                </m:sSub>
                <m:sSub>
                  <m:sSubPr>
                    <m:ctrlPr>
                      <w:rPr>
                        <w:rFonts w:ascii="Cambria Math" w:hAnsi="Cambria Math"/>
                        <w:i/>
                        <w:sz w:val="24"/>
                      </w:rPr>
                    </m:ctrlPr>
                  </m:sSubPr>
                  <m:e>
                    <m:r>
                      <w:rPr>
                        <w:rFonts w:ascii="Cambria Math" w:hAnsi="Cambria Math"/>
                        <w:sz w:val="24"/>
                      </w:rPr>
                      <m:t>y</m:t>
                    </m:r>
                  </m:e>
                  <m:sub>
                    <m:r>
                      <w:rPr>
                        <w:rFonts w:ascii="Cambria Math" w:hAnsi="Cambria Math"/>
                        <w:sz w:val="24"/>
                      </w:rPr>
                      <m:t>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22.1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21.2</m:t>
                    </m:r>
                  </m:sub>
                </m:sSub>
                <m:sSub>
                  <m:sSubPr>
                    <m:ctrlPr>
                      <w:rPr>
                        <w:rFonts w:ascii="Cambria Math" w:hAnsi="Cambria Math"/>
                        <w:i/>
                        <w:sz w:val="24"/>
                      </w:rPr>
                    </m:ctrlPr>
                  </m:sSubPr>
                  <m:e>
                    <m:r>
                      <w:rPr>
                        <w:rFonts w:ascii="Cambria Math" w:hAnsi="Cambria Math"/>
                        <w:sz w:val="24"/>
                      </w:rPr>
                      <m:t>y</m:t>
                    </m:r>
                  </m:e>
                  <m:sub>
                    <m:r>
                      <w:rPr>
                        <w:rFonts w:ascii="Cambria Math" w:hAnsi="Cambria Math"/>
                        <w:sz w:val="24"/>
                      </w:rPr>
                      <m:t>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π</m:t>
                    </m:r>
                  </m:e>
                  <m:sub>
                    <m:r>
                      <w:rPr>
                        <w:rFonts w:ascii="Cambria Math" w:hAnsi="Cambria Math"/>
                        <w:sz w:val="24"/>
                      </w:rPr>
                      <m:t>22.2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u</m:t>
                    </m:r>
                  </m:e>
                  <m:sub>
                    <m:r>
                      <w:rPr>
                        <w:rFonts w:ascii="Cambria Math" w:hAnsi="Cambria Math"/>
                        <w:sz w:val="24"/>
                      </w:rPr>
                      <m:t>2t</m:t>
                    </m:r>
                  </m:sub>
                </m:sSub>
              </m:e>
            </m:eqArr>
          </m:e>
        </m:d>
      </m:oMath>
      <w:r w:rsidR="00400E98">
        <w:rPr>
          <w:rFonts w:hint="eastAsia"/>
          <w:sz w:val="24"/>
        </w:rPr>
        <w:t xml:space="preserve">                   </w:t>
      </w:r>
      <w:r w:rsidR="00400E98">
        <w:rPr>
          <w:rFonts w:hint="eastAsia"/>
          <w:sz w:val="24"/>
        </w:rPr>
        <w:t>（</w:t>
      </w:r>
      <w:r w:rsidR="00400E98">
        <w:rPr>
          <w:rFonts w:hint="eastAsia"/>
          <w:sz w:val="24"/>
        </w:rPr>
        <w:t>2</w:t>
      </w:r>
      <w:r w:rsidR="00400E98">
        <w:rPr>
          <w:rFonts w:hint="eastAsia"/>
          <w:sz w:val="24"/>
        </w:rPr>
        <w:t>）</w:t>
      </w:r>
    </w:p>
    <w:p w14:paraId="373DB3E9" w14:textId="77777777" w:rsidR="00400E98" w:rsidRDefault="00400E98" w:rsidP="00400E98">
      <w:pPr>
        <w:spacing w:line="360" w:lineRule="auto"/>
        <w:ind w:firstLineChars="200" w:firstLine="480"/>
        <w:rPr>
          <w:sz w:val="24"/>
        </w:rPr>
      </w:pPr>
      <w:r w:rsidRPr="00A85AFD">
        <w:rPr>
          <w:rFonts w:hint="eastAsia"/>
          <w:sz w:val="24"/>
        </w:rPr>
        <w:t>转换为矩阵形式可见：</w:t>
      </w:r>
    </w:p>
    <w:p w14:paraId="552BBEAB" w14:textId="77777777" w:rsidR="00400E98" w:rsidRPr="007A4041" w:rsidRDefault="00000000" w:rsidP="00400E98">
      <w:pPr>
        <w:spacing w:line="360" w:lineRule="auto"/>
        <w:ind w:firstLineChars="200" w:firstLine="480"/>
        <w:rPr>
          <w:sz w:val="24"/>
        </w:rPr>
      </w:pPr>
      <m:oMath>
        <m:d>
          <m:dPr>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y</m:t>
                      </m:r>
                    </m:e>
                    <m:sub>
                      <m:r>
                        <w:rPr>
                          <w:rFonts w:ascii="Cambria Math" w:hAnsi="Cambria Math"/>
                          <w:sz w:val="24"/>
                        </w:rPr>
                        <m:t>t</m:t>
                      </m:r>
                    </m:sub>
                  </m:sSub>
                </m:e>
              </m:mr>
              <m:mr>
                <m:e>
                  <m:sSub>
                    <m:sSubPr>
                      <m:ctrlPr>
                        <w:rPr>
                          <w:rFonts w:ascii="Cambria Math" w:hAnsi="Cambria Math"/>
                          <w:i/>
                          <w:sz w:val="24"/>
                        </w:rPr>
                      </m:ctrlPr>
                    </m:sSubPr>
                    <m:e>
                      <m:r>
                        <w:rPr>
                          <w:rFonts w:ascii="Cambria Math" w:hAnsi="Cambria Math"/>
                          <w:sz w:val="24"/>
                        </w:rPr>
                        <m:t>x</m:t>
                      </m:r>
                    </m:e>
                    <m:sub>
                      <m:r>
                        <w:rPr>
                          <w:rFonts w:ascii="Cambria Math" w:hAnsi="Cambria Math"/>
                          <w:sz w:val="24"/>
                        </w:rPr>
                        <m:t>t</m:t>
                      </m:r>
                    </m:sub>
                  </m:sSub>
                </m:e>
              </m:mr>
            </m:m>
          </m:e>
        </m:d>
        <m:r>
          <w:rPr>
            <w:rFonts w:ascii="Cambria Math" w:hAnsi="Cambria Math"/>
            <w:sz w:val="24"/>
          </w:rPr>
          <m:t>=</m:t>
        </m:r>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c</m:t>
                      </m:r>
                    </m:e>
                    <m:sub>
                      <m:r>
                        <w:rPr>
                          <w:rFonts w:ascii="Cambria Math" w:hAnsi="Cambria Math"/>
                          <w:sz w:val="24"/>
                        </w:rPr>
                        <m:t>1</m:t>
                      </m:r>
                    </m:sub>
                  </m:sSub>
                </m:e>
              </m:mr>
              <m:mr>
                <m:e>
                  <m:sSub>
                    <m:sSubPr>
                      <m:ctrlPr>
                        <w:rPr>
                          <w:rFonts w:ascii="Cambria Math" w:hAnsi="Cambria Math"/>
                          <w:i/>
                          <w:sz w:val="24"/>
                        </w:rPr>
                      </m:ctrlPr>
                    </m:sSubPr>
                    <m:e>
                      <m:r>
                        <w:rPr>
                          <w:rFonts w:ascii="Cambria Math" w:hAnsi="Cambria Math"/>
                          <w:sz w:val="24"/>
                        </w:rPr>
                        <m:t>c</m:t>
                      </m:r>
                    </m:e>
                    <m:sub>
                      <m:r>
                        <w:rPr>
                          <w:rFonts w:ascii="Cambria Math" w:hAnsi="Cambria Math"/>
                          <w:sz w:val="24"/>
                        </w:rPr>
                        <m:t>2</m:t>
                      </m:r>
                    </m:sub>
                  </m:sSub>
                </m:e>
              </m:mr>
            </m:m>
          </m:e>
        </m:d>
        <m:r>
          <w:rPr>
            <w:rFonts w:ascii="Cambria Math" w:hAnsi="Cambria Math"/>
            <w:sz w:val="24"/>
          </w:rPr>
          <m:t>+</m:t>
        </m:r>
        <m:d>
          <m:dPr>
            <m:ctrlPr>
              <w:rPr>
                <w:rFonts w:ascii="Cambria Math" w:hAnsi="Cambria Math"/>
                <w:i/>
                <w:sz w:val="24"/>
              </w:rPr>
            </m:ctrlPr>
          </m:dPr>
          <m:e>
            <m:m>
              <m:mPr>
                <m:mcs>
                  <m:mc>
                    <m:mcPr>
                      <m:count m:val="2"/>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π</m:t>
                      </m:r>
                    </m:e>
                    <m:sub>
                      <m:r>
                        <w:rPr>
                          <w:rFonts w:ascii="Cambria Math" w:hAnsi="Cambria Math"/>
                          <w:sz w:val="24"/>
                        </w:rPr>
                        <m:t>11.1</m:t>
                      </m:r>
                    </m:sub>
                  </m:sSub>
                </m:e>
                <m:e>
                  <m:sSub>
                    <m:sSubPr>
                      <m:ctrlPr>
                        <w:rPr>
                          <w:rFonts w:ascii="Cambria Math" w:hAnsi="Cambria Math"/>
                          <w:i/>
                          <w:sz w:val="24"/>
                        </w:rPr>
                      </m:ctrlPr>
                    </m:sSubPr>
                    <m:e>
                      <m:r>
                        <w:rPr>
                          <w:rFonts w:ascii="Cambria Math" w:hAnsi="Cambria Math"/>
                          <w:sz w:val="24"/>
                        </w:rPr>
                        <m:t>π</m:t>
                      </m:r>
                    </m:e>
                    <m:sub>
                      <m:r>
                        <w:rPr>
                          <w:rFonts w:ascii="Cambria Math" w:hAnsi="Cambria Math"/>
                          <w:sz w:val="24"/>
                        </w:rPr>
                        <m:t>12.1</m:t>
                      </m:r>
                    </m:sub>
                  </m:sSub>
                </m:e>
              </m:mr>
              <m:mr>
                <m:e>
                  <m:sSub>
                    <m:sSubPr>
                      <m:ctrlPr>
                        <w:rPr>
                          <w:rFonts w:ascii="Cambria Math" w:hAnsi="Cambria Math"/>
                          <w:i/>
                          <w:sz w:val="24"/>
                        </w:rPr>
                      </m:ctrlPr>
                    </m:sSubPr>
                    <m:e>
                      <m:r>
                        <w:rPr>
                          <w:rFonts w:ascii="Cambria Math" w:hAnsi="Cambria Math"/>
                          <w:sz w:val="24"/>
                        </w:rPr>
                        <m:t>π</m:t>
                      </m:r>
                    </m:e>
                    <m:sub>
                      <m:r>
                        <w:rPr>
                          <w:rFonts w:ascii="Cambria Math" w:hAnsi="Cambria Math"/>
                          <w:sz w:val="24"/>
                        </w:rPr>
                        <m:t>21.1</m:t>
                      </m:r>
                    </m:sub>
                  </m:sSub>
                </m:e>
                <m:e>
                  <m:sSub>
                    <m:sSubPr>
                      <m:ctrlPr>
                        <w:rPr>
                          <w:rFonts w:ascii="Cambria Math" w:hAnsi="Cambria Math"/>
                          <w:i/>
                          <w:sz w:val="24"/>
                        </w:rPr>
                      </m:ctrlPr>
                    </m:sSubPr>
                    <m:e>
                      <m:r>
                        <w:rPr>
                          <w:rFonts w:ascii="Cambria Math" w:hAnsi="Cambria Math"/>
                          <w:sz w:val="24"/>
                        </w:rPr>
                        <m:t>π</m:t>
                      </m:r>
                    </m:e>
                    <m:sub>
                      <m:r>
                        <w:rPr>
                          <w:rFonts w:ascii="Cambria Math" w:hAnsi="Cambria Math"/>
                          <w:sz w:val="24"/>
                        </w:rPr>
                        <m:t>22.1</m:t>
                      </m:r>
                    </m:sub>
                  </m:sSub>
                </m:e>
              </m:mr>
            </m:m>
          </m:e>
        </m:d>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y</m:t>
                      </m:r>
                    </m:e>
                    <m:sub>
                      <m:r>
                        <w:rPr>
                          <w:rFonts w:ascii="Cambria Math" w:hAnsi="Cambria Math"/>
                          <w:sz w:val="24"/>
                        </w:rPr>
                        <m:t>t-1</m:t>
                      </m:r>
                    </m:sub>
                  </m:sSub>
                </m:e>
              </m:mr>
              <m:mr>
                <m:e>
                  <m:sSub>
                    <m:sSubPr>
                      <m:ctrlPr>
                        <w:rPr>
                          <w:rFonts w:ascii="Cambria Math" w:hAnsi="Cambria Math"/>
                          <w:i/>
                          <w:sz w:val="24"/>
                        </w:rPr>
                      </m:ctrlPr>
                    </m:sSubPr>
                    <m:e>
                      <m:r>
                        <w:rPr>
                          <w:rFonts w:ascii="Cambria Math" w:hAnsi="Cambria Math"/>
                          <w:sz w:val="24"/>
                        </w:rPr>
                        <m:t>x</m:t>
                      </m:r>
                    </m:e>
                    <m:sub>
                      <m:r>
                        <w:rPr>
                          <w:rFonts w:ascii="Cambria Math" w:hAnsi="Cambria Math"/>
                          <w:sz w:val="24"/>
                        </w:rPr>
                        <m:t>t-1</m:t>
                      </m:r>
                    </m:sub>
                  </m:sSub>
                </m:e>
              </m:mr>
            </m:m>
          </m:e>
        </m:d>
        <m:r>
          <w:rPr>
            <w:rFonts w:ascii="Cambria Math" w:hAnsi="Cambria Math"/>
            <w:sz w:val="24"/>
          </w:rPr>
          <m:t>+</m:t>
        </m:r>
        <m:d>
          <m:dPr>
            <m:ctrlPr>
              <w:rPr>
                <w:rFonts w:ascii="Cambria Math" w:hAnsi="Cambria Math"/>
                <w:i/>
                <w:sz w:val="24"/>
              </w:rPr>
            </m:ctrlPr>
          </m:dPr>
          <m:e>
            <m:m>
              <m:mPr>
                <m:mcs>
                  <m:mc>
                    <m:mcPr>
                      <m:count m:val="2"/>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π</m:t>
                      </m:r>
                    </m:e>
                    <m:sub>
                      <m:r>
                        <w:rPr>
                          <w:rFonts w:ascii="Cambria Math" w:hAnsi="Cambria Math"/>
                          <w:sz w:val="24"/>
                        </w:rPr>
                        <m:t>11.2</m:t>
                      </m:r>
                    </m:sub>
                  </m:sSub>
                </m:e>
                <m:e>
                  <m:sSub>
                    <m:sSubPr>
                      <m:ctrlPr>
                        <w:rPr>
                          <w:rFonts w:ascii="Cambria Math" w:hAnsi="Cambria Math"/>
                          <w:i/>
                          <w:sz w:val="24"/>
                        </w:rPr>
                      </m:ctrlPr>
                    </m:sSubPr>
                    <m:e>
                      <m:r>
                        <w:rPr>
                          <w:rFonts w:ascii="Cambria Math" w:hAnsi="Cambria Math"/>
                          <w:sz w:val="24"/>
                        </w:rPr>
                        <m:t>π</m:t>
                      </m:r>
                    </m:e>
                    <m:sub>
                      <m:r>
                        <w:rPr>
                          <w:rFonts w:ascii="Cambria Math" w:hAnsi="Cambria Math"/>
                          <w:sz w:val="24"/>
                        </w:rPr>
                        <m:t>12.2</m:t>
                      </m:r>
                    </m:sub>
                  </m:sSub>
                </m:e>
              </m:mr>
              <m:mr>
                <m:e>
                  <m:sSub>
                    <m:sSubPr>
                      <m:ctrlPr>
                        <w:rPr>
                          <w:rFonts w:ascii="Cambria Math" w:hAnsi="Cambria Math"/>
                          <w:i/>
                          <w:sz w:val="24"/>
                        </w:rPr>
                      </m:ctrlPr>
                    </m:sSubPr>
                    <m:e>
                      <m:r>
                        <w:rPr>
                          <w:rFonts w:ascii="Cambria Math" w:hAnsi="Cambria Math"/>
                          <w:sz w:val="24"/>
                        </w:rPr>
                        <m:t>π</m:t>
                      </m:r>
                    </m:e>
                    <m:sub>
                      <m:r>
                        <w:rPr>
                          <w:rFonts w:ascii="Cambria Math" w:hAnsi="Cambria Math"/>
                          <w:sz w:val="24"/>
                        </w:rPr>
                        <m:t>21.2</m:t>
                      </m:r>
                    </m:sub>
                  </m:sSub>
                </m:e>
                <m:e>
                  <m:sSub>
                    <m:sSubPr>
                      <m:ctrlPr>
                        <w:rPr>
                          <w:rFonts w:ascii="Cambria Math" w:hAnsi="Cambria Math"/>
                          <w:i/>
                          <w:sz w:val="24"/>
                        </w:rPr>
                      </m:ctrlPr>
                    </m:sSubPr>
                    <m:e>
                      <m:r>
                        <w:rPr>
                          <w:rFonts w:ascii="Cambria Math" w:hAnsi="Cambria Math"/>
                          <w:sz w:val="24"/>
                        </w:rPr>
                        <m:t>π</m:t>
                      </m:r>
                    </m:e>
                    <m:sub>
                      <m:r>
                        <w:rPr>
                          <w:rFonts w:ascii="Cambria Math" w:hAnsi="Cambria Math"/>
                          <w:sz w:val="24"/>
                        </w:rPr>
                        <m:t>22.2</m:t>
                      </m:r>
                    </m:sub>
                  </m:sSub>
                </m:e>
              </m:mr>
            </m:m>
          </m:e>
        </m:d>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y</m:t>
                      </m:r>
                    </m:e>
                    <m:sub>
                      <m:r>
                        <w:rPr>
                          <w:rFonts w:ascii="Cambria Math" w:hAnsi="Cambria Math"/>
                          <w:sz w:val="24"/>
                        </w:rPr>
                        <m:t>t-2</m:t>
                      </m:r>
                    </m:sub>
                  </m:sSub>
                </m:e>
              </m:mr>
              <m:mr>
                <m:e>
                  <m:sSub>
                    <m:sSubPr>
                      <m:ctrlPr>
                        <w:rPr>
                          <w:rFonts w:ascii="Cambria Math" w:hAnsi="Cambria Math"/>
                          <w:i/>
                          <w:sz w:val="24"/>
                        </w:rPr>
                      </m:ctrlPr>
                    </m:sSubPr>
                    <m:e>
                      <m:r>
                        <w:rPr>
                          <w:rFonts w:ascii="Cambria Math" w:hAnsi="Cambria Math"/>
                          <w:sz w:val="24"/>
                        </w:rPr>
                        <m:t>x</m:t>
                      </m:r>
                    </m:e>
                    <m:sub>
                      <m:r>
                        <w:rPr>
                          <w:rFonts w:ascii="Cambria Math" w:hAnsi="Cambria Math"/>
                          <w:sz w:val="24"/>
                        </w:rPr>
                        <m:t>t-2</m:t>
                      </m:r>
                    </m:sub>
                  </m:sSub>
                </m:e>
              </m:mr>
            </m:m>
          </m:e>
        </m:d>
        <m:r>
          <w:rPr>
            <w:rFonts w:ascii="Cambria Math" w:hAnsi="Cambria Math"/>
            <w:sz w:val="24"/>
          </w:rPr>
          <m:t>+</m:t>
        </m:r>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u</m:t>
                      </m:r>
                    </m:e>
                    <m:sub>
                      <m:r>
                        <w:rPr>
                          <w:rFonts w:ascii="Cambria Math" w:hAnsi="Cambria Math"/>
                          <w:sz w:val="24"/>
                        </w:rPr>
                        <m:t>1t</m:t>
                      </m:r>
                    </m:sub>
                  </m:sSub>
                </m:e>
              </m:mr>
              <m:mr>
                <m:e>
                  <m:sSub>
                    <m:sSubPr>
                      <m:ctrlPr>
                        <w:rPr>
                          <w:rFonts w:ascii="Cambria Math" w:hAnsi="Cambria Math"/>
                          <w:i/>
                          <w:sz w:val="24"/>
                        </w:rPr>
                      </m:ctrlPr>
                    </m:sSubPr>
                    <m:e>
                      <m:r>
                        <w:rPr>
                          <w:rFonts w:ascii="Cambria Math" w:hAnsi="Cambria Math"/>
                          <w:sz w:val="24"/>
                        </w:rPr>
                        <m:t>u</m:t>
                      </m:r>
                    </m:e>
                    <m:sub>
                      <m:r>
                        <w:rPr>
                          <w:rFonts w:ascii="Cambria Math" w:hAnsi="Cambria Math"/>
                          <w:sz w:val="24"/>
                        </w:rPr>
                        <m:t>2t</m:t>
                      </m:r>
                    </m:sub>
                  </m:sSub>
                </m:e>
              </m:mr>
            </m:m>
          </m:e>
        </m:d>
      </m:oMath>
      <w:r w:rsidR="00400E98">
        <w:rPr>
          <w:rFonts w:hint="eastAsia"/>
          <w:sz w:val="24"/>
        </w:rPr>
        <w:t xml:space="preserve">              </w:t>
      </w:r>
      <w:r w:rsidR="00400E98">
        <w:rPr>
          <w:rFonts w:hint="eastAsia"/>
          <w:sz w:val="24"/>
        </w:rPr>
        <w:t>（</w:t>
      </w:r>
      <w:r w:rsidR="00400E98">
        <w:rPr>
          <w:rFonts w:hint="eastAsia"/>
          <w:sz w:val="24"/>
        </w:rPr>
        <w:t>3</w:t>
      </w:r>
      <w:r w:rsidR="00400E98">
        <w:rPr>
          <w:rFonts w:hint="eastAsia"/>
          <w:sz w:val="24"/>
        </w:rPr>
        <w:t>）</w:t>
      </w:r>
    </w:p>
    <w:p w14:paraId="0A3E9BD6" w14:textId="77777777" w:rsidR="00400E98" w:rsidRPr="00AC51C1" w:rsidRDefault="00400E98" w:rsidP="00400E98">
      <w:pPr>
        <w:spacing w:line="360" w:lineRule="auto"/>
        <w:rPr>
          <w:sz w:val="24"/>
        </w:rPr>
      </w:pPr>
      <w:r w:rsidRPr="00AC51C1">
        <w:rPr>
          <w:sz w:val="24"/>
        </w:rPr>
        <w:t>1.2</w:t>
      </w:r>
      <w:r w:rsidRPr="00AC51C1">
        <w:rPr>
          <w:sz w:val="24"/>
        </w:rPr>
        <w:t>数据来源及变量选取</w:t>
      </w:r>
    </w:p>
    <w:p w14:paraId="1EED21EF" w14:textId="77777777" w:rsidR="00400E98" w:rsidRPr="00AC51C1" w:rsidRDefault="00400E98" w:rsidP="00400E98">
      <w:pPr>
        <w:spacing w:line="360" w:lineRule="auto"/>
        <w:rPr>
          <w:sz w:val="24"/>
        </w:rPr>
      </w:pPr>
      <w:r w:rsidRPr="00AC51C1">
        <w:rPr>
          <w:sz w:val="24"/>
        </w:rPr>
        <w:t>1.2.1</w:t>
      </w:r>
      <w:r w:rsidRPr="00AC51C1">
        <w:rPr>
          <w:sz w:val="24"/>
        </w:rPr>
        <w:t>数据来源</w:t>
      </w:r>
    </w:p>
    <w:p w14:paraId="280476D6" w14:textId="2D2ABF59" w:rsidR="00400E98" w:rsidRPr="00AC51C1" w:rsidRDefault="00400E98" w:rsidP="00FD661E">
      <w:pPr>
        <w:spacing w:line="360" w:lineRule="auto"/>
        <w:ind w:firstLineChars="200" w:firstLine="480"/>
        <w:rPr>
          <w:sz w:val="24"/>
        </w:rPr>
      </w:pPr>
      <w:r w:rsidRPr="00AC51C1">
        <w:rPr>
          <w:rFonts w:hint="eastAsia"/>
          <w:sz w:val="24"/>
        </w:rPr>
        <w:t>选取</w:t>
      </w:r>
      <w:r w:rsidRPr="00AC51C1">
        <w:rPr>
          <w:sz w:val="24"/>
        </w:rPr>
        <w:t>2015</w:t>
      </w:r>
      <w:r w:rsidRPr="00AC51C1">
        <w:rPr>
          <w:sz w:val="24"/>
        </w:rPr>
        <w:t>年</w:t>
      </w:r>
      <w:r w:rsidRPr="00AC51C1">
        <w:rPr>
          <w:sz w:val="24"/>
        </w:rPr>
        <w:t>1</w:t>
      </w:r>
      <w:r w:rsidRPr="00AC51C1">
        <w:rPr>
          <w:sz w:val="24"/>
        </w:rPr>
        <w:t>月</w:t>
      </w:r>
      <w:r w:rsidRPr="00AC51C1">
        <w:rPr>
          <w:sz w:val="24"/>
        </w:rPr>
        <w:t>—2023</w:t>
      </w:r>
      <w:r w:rsidRPr="00AC51C1">
        <w:rPr>
          <w:sz w:val="24"/>
        </w:rPr>
        <w:t>年</w:t>
      </w:r>
      <w:r w:rsidRPr="00AC51C1">
        <w:rPr>
          <w:sz w:val="24"/>
        </w:rPr>
        <w:t>1</w:t>
      </w:r>
      <w:r w:rsidRPr="00AC51C1">
        <w:rPr>
          <w:sz w:val="24"/>
        </w:rPr>
        <w:t>月为样本区间，共</w:t>
      </w:r>
      <w:r w:rsidRPr="00AC51C1">
        <w:rPr>
          <w:sz w:val="24"/>
        </w:rPr>
        <w:t>98</w:t>
      </w:r>
      <w:r w:rsidRPr="00AC51C1">
        <w:rPr>
          <w:sz w:val="24"/>
        </w:rPr>
        <w:t>个</w:t>
      </w:r>
      <w:r w:rsidRPr="00AC51C1">
        <w:rPr>
          <w:rFonts w:hint="eastAsia"/>
          <w:sz w:val="24"/>
        </w:rPr>
        <w:t>月。样本数据主要选取自《中国农村统计年鉴（</w:t>
      </w:r>
      <w:r w:rsidRPr="00AC51C1">
        <w:rPr>
          <w:sz w:val="24"/>
        </w:rPr>
        <w:t>2023</w:t>
      </w:r>
      <w:r w:rsidRPr="00AC51C1">
        <w:rPr>
          <w:sz w:val="24"/>
        </w:rPr>
        <w:t>）》</w:t>
      </w:r>
      <w:r w:rsidRPr="00AC51C1">
        <w:rPr>
          <w:rFonts w:hint="eastAsia"/>
          <w:sz w:val="24"/>
        </w:rPr>
        <w:t>《中国渔业统计年鉴（</w:t>
      </w:r>
      <w:r w:rsidRPr="00AC51C1">
        <w:rPr>
          <w:sz w:val="24"/>
        </w:rPr>
        <w:t>2023</w:t>
      </w:r>
      <w:r w:rsidRPr="00AC51C1">
        <w:rPr>
          <w:sz w:val="24"/>
        </w:rPr>
        <w:t>）》《全国渔业经济统计公报</w:t>
      </w:r>
      <w:r w:rsidRPr="00AC51C1">
        <w:rPr>
          <w:rFonts w:hint="eastAsia"/>
          <w:sz w:val="24"/>
        </w:rPr>
        <w:t>（</w:t>
      </w:r>
      <w:r w:rsidRPr="00AC51C1">
        <w:rPr>
          <w:sz w:val="24"/>
        </w:rPr>
        <w:t>2022</w:t>
      </w:r>
      <w:r w:rsidRPr="00AC51C1">
        <w:rPr>
          <w:sz w:val="24"/>
        </w:rPr>
        <w:t>）》部分数据采集至饲料行业信息网（</w:t>
      </w:r>
      <w:r w:rsidRPr="00AC51C1">
        <w:rPr>
          <w:sz w:val="24"/>
        </w:rPr>
        <w:t>https</w:t>
      </w:r>
      <w:r w:rsidRPr="00AC51C1">
        <w:rPr>
          <w:sz w:val="24"/>
        </w:rPr>
        <w:t>：</w:t>
      </w:r>
      <w:r>
        <w:rPr>
          <w:sz w:val="24"/>
        </w:rPr>
        <w:t>//</w:t>
      </w:r>
      <w:r w:rsidRPr="00AC51C1">
        <w:rPr>
          <w:sz w:val="24"/>
        </w:rPr>
        <w:t xml:space="preserve">www. </w:t>
      </w:r>
      <w:proofErr w:type="spellStart"/>
      <w:r w:rsidRPr="00AC51C1">
        <w:rPr>
          <w:sz w:val="24"/>
        </w:rPr>
        <w:t>feedtrade</w:t>
      </w:r>
      <w:proofErr w:type="spellEnd"/>
      <w:r w:rsidRPr="00AC51C1">
        <w:rPr>
          <w:sz w:val="24"/>
        </w:rPr>
        <w:t xml:space="preserve">. com. </w:t>
      </w:r>
      <w:proofErr w:type="spellStart"/>
      <w:r w:rsidRPr="00AC51C1">
        <w:rPr>
          <w:sz w:val="24"/>
        </w:rPr>
        <w:t>cn</w:t>
      </w:r>
      <w:proofErr w:type="spellEnd"/>
      <w:r w:rsidRPr="00AC51C1">
        <w:rPr>
          <w:sz w:val="24"/>
        </w:rPr>
        <w:t>/index/index</w:t>
      </w:r>
      <w:r w:rsidRPr="00AC51C1">
        <w:rPr>
          <w:sz w:val="24"/>
        </w:rPr>
        <w:t>）、慧通数据网</w:t>
      </w:r>
      <w:r w:rsidRPr="00AC51C1">
        <w:rPr>
          <w:rFonts w:hint="eastAsia"/>
          <w:sz w:val="24"/>
        </w:rPr>
        <w:t>（</w:t>
      </w:r>
      <w:r w:rsidRPr="00AC51C1">
        <w:rPr>
          <w:sz w:val="24"/>
        </w:rPr>
        <w:t>http</w:t>
      </w:r>
      <w:r w:rsidRPr="00AC51C1">
        <w:rPr>
          <w:sz w:val="24"/>
        </w:rPr>
        <w:t>：</w:t>
      </w:r>
      <w:r w:rsidRPr="00AC51C1">
        <w:rPr>
          <w:sz w:val="24"/>
        </w:rPr>
        <w:t>//www.huitongdata.com/</w:t>
      </w:r>
      <w:r w:rsidRPr="00AC51C1">
        <w:rPr>
          <w:sz w:val="24"/>
        </w:rPr>
        <w:t>）。针对部分缺失数据，通</w:t>
      </w:r>
      <w:r w:rsidRPr="00AC51C1">
        <w:rPr>
          <w:rFonts w:hint="eastAsia"/>
          <w:sz w:val="24"/>
        </w:rPr>
        <w:t>过插值法补齐。另外，为缓解时间序列数据引致的异方差性，数据取自然对数并采用</w:t>
      </w:r>
      <w:r w:rsidRPr="00AC51C1">
        <w:rPr>
          <w:sz w:val="24"/>
        </w:rPr>
        <w:t>X12</w:t>
      </w:r>
      <w:r w:rsidRPr="00AC51C1">
        <w:rPr>
          <w:sz w:val="24"/>
        </w:rPr>
        <w:t>法作季节调整。</w:t>
      </w:r>
    </w:p>
    <w:p w14:paraId="4E4FB5CD" w14:textId="77777777" w:rsidR="00400E98" w:rsidRPr="00AC51C1" w:rsidRDefault="00400E98" w:rsidP="00400E98">
      <w:pPr>
        <w:spacing w:line="360" w:lineRule="auto"/>
        <w:rPr>
          <w:sz w:val="24"/>
        </w:rPr>
      </w:pPr>
      <w:r w:rsidRPr="00AC51C1">
        <w:rPr>
          <w:sz w:val="24"/>
        </w:rPr>
        <w:t>1.2.2</w:t>
      </w:r>
      <w:r w:rsidRPr="00AC51C1">
        <w:rPr>
          <w:sz w:val="24"/>
        </w:rPr>
        <w:t>变量选取</w:t>
      </w:r>
    </w:p>
    <w:p w14:paraId="62FE4CF1" w14:textId="77D742AC" w:rsidR="00400E98" w:rsidRDefault="00400E98" w:rsidP="00400E98">
      <w:pPr>
        <w:spacing w:line="360" w:lineRule="auto"/>
        <w:ind w:firstLineChars="200" w:firstLine="480"/>
        <w:rPr>
          <w:sz w:val="24"/>
        </w:rPr>
      </w:pPr>
      <w:r w:rsidRPr="00AC51C1">
        <w:rPr>
          <w:rFonts w:hint="eastAsia"/>
          <w:sz w:val="24"/>
        </w:rPr>
        <w:t>本研究主要分析水产养殖饲料价格波动对养殖成本的影响。因此，设定被解释变量为养殖成本（</w:t>
      </w:r>
      <w:r w:rsidRPr="00AC51C1">
        <w:rPr>
          <w:sz w:val="24"/>
        </w:rPr>
        <w:t>YP</w:t>
      </w:r>
      <w:r w:rsidRPr="00AC51C1">
        <w:rPr>
          <w:sz w:val="24"/>
        </w:rPr>
        <w:t>），参考</w:t>
      </w:r>
      <w:r w:rsidRPr="00AC51C1">
        <w:rPr>
          <w:rFonts w:hint="eastAsia"/>
          <w:sz w:val="24"/>
        </w:rPr>
        <w:t>现有研究</w:t>
      </w:r>
      <w:r w:rsidRPr="009940F6">
        <w:rPr>
          <w:sz w:val="24"/>
          <w:vertAlign w:val="superscript"/>
        </w:rPr>
        <w:t>[12-13]</w:t>
      </w:r>
      <w:r w:rsidRPr="00AC51C1">
        <w:rPr>
          <w:sz w:val="24"/>
        </w:rPr>
        <w:t>，选择每</w:t>
      </w:r>
      <w:r w:rsidRPr="00AC51C1">
        <w:rPr>
          <w:sz w:val="24"/>
        </w:rPr>
        <w:t>667 m2</w:t>
      </w:r>
      <w:r w:rsidRPr="00AC51C1">
        <w:rPr>
          <w:sz w:val="24"/>
        </w:rPr>
        <w:t>投放鱼苗尾数衡量。</w:t>
      </w:r>
      <w:r w:rsidRPr="00AC51C1">
        <w:rPr>
          <w:rFonts w:hint="eastAsia"/>
          <w:sz w:val="24"/>
        </w:rPr>
        <w:t>本文核心解释变量为水产养殖饲料价格波动</w:t>
      </w:r>
      <w:r w:rsidR="00FD661E">
        <w:rPr>
          <w:rFonts w:hint="eastAsia"/>
          <w:sz w:val="24"/>
        </w:rPr>
        <w:t>(</w:t>
      </w:r>
      <w:r w:rsidR="00FD661E" w:rsidRPr="00AC51C1">
        <w:rPr>
          <w:sz w:val="24"/>
        </w:rPr>
        <w:t>AS</w:t>
      </w:r>
      <w:r w:rsidR="00FD661E">
        <w:rPr>
          <w:rFonts w:hint="eastAsia"/>
          <w:sz w:val="24"/>
        </w:rPr>
        <w:t>)</w:t>
      </w:r>
      <w:r w:rsidRPr="00AC51C1">
        <w:rPr>
          <w:sz w:val="24"/>
        </w:rPr>
        <w:t>，</w:t>
      </w:r>
      <w:r w:rsidRPr="00AC51C1">
        <w:rPr>
          <w:rFonts w:hint="eastAsia"/>
          <w:sz w:val="24"/>
        </w:rPr>
        <w:t>由于水产养殖饲料的主要成分为玉米，文章将玉米价格作为水产养殖饲料的代替品</w:t>
      </w:r>
      <w:r w:rsidRPr="009940F6">
        <w:rPr>
          <w:sz w:val="24"/>
          <w:vertAlign w:val="superscript"/>
        </w:rPr>
        <w:t>[14-16]</w:t>
      </w:r>
      <w:r w:rsidRPr="00AC51C1">
        <w:rPr>
          <w:sz w:val="24"/>
        </w:rPr>
        <w:t>，并选取</w:t>
      </w:r>
      <w:r w:rsidRPr="00AC51C1">
        <w:rPr>
          <w:sz w:val="24"/>
        </w:rPr>
        <w:t>50</w:t>
      </w:r>
      <w:r w:rsidRPr="00AC51C1">
        <w:rPr>
          <w:sz w:val="24"/>
        </w:rPr>
        <w:t>个城市玉米</w:t>
      </w:r>
      <w:r w:rsidRPr="00AC51C1">
        <w:rPr>
          <w:rFonts w:hint="eastAsia"/>
          <w:sz w:val="24"/>
        </w:rPr>
        <w:t>价格</w:t>
      </w:r>
      <w:r w:rsidR="00FD661E">
        <w:rPr>
          <w:rFonts w:hint="eastAsia"/>
          <w:sz w:val="24"/>
        </w:rPr>
        <w:t>(</w:t>
      </w:r>
      <w:r w:rsidR="00FD661E" w:rsidRPr="00AC51C1">
        <w:rPr>
          <w:rFonts w:hint="eastAsia"/>
          <w:sz w:val="24"/>
        </w:rPr>
        <w:t>元</w:t>
      </w:r>
      <w:r w:rsidR="00FD661E" w:rsidRPr="00AC51C1">
        <w:rPr>
          <w:sz w:val="24"/>
        </w:rPr>
        <w:t>/kg</w:t>
      </w:r>
      <w:r w:rsidR="00FD661E">
        <w:rPr>
          <w:rFonts w:hint="eastAsia"/>
          <w:sz w:val="24"/>
        </w:rPr>
        <w:t>)</w:t>
      </w:r>
      <w:r w:rsidRPr="00AC51C1">
        <w:rPr>
          <w:sz w:val="24"/>
        </w:rPr>
        <w:t>为水产养殖的饲料价格。</w:t>
      </w:r>
    </w:p>
    <w:p w14:paraId="50DAA0BA" w14:textId="77777777" w:rsidR="00400E98" w:rsidRDefault="00400E98" w:rsidP="00400E98">
      <w:pPr>
        <w:spacing w:line="360" w:lineRule="auto"/>
        <w:rPr>
          <w:sz w:val="24"/>
        </w:rPr>
      </w:pPr>
      <w:r w:rsidRPr="00DB0787">
        <w:rPr>
          <w:sz w:val="24"/>
        </w:rPr>
        <w:t>2</w:t>
      </w:r>
      <w:r w:rsidRPr="00AC51C1">
        <w:rPr>
          <w:rFonts w:hint="eastAsia"/>
          <w:sz w:val="24"/>
        </w:rPr>
        <w:t>实证研究结果</w:t>
      </w:r>
    </w:p>
    <w:p w14:paraId="6E54DDFA" w14:textId="77777777" w:rsidR="00400E98" w:rsidRPr="00D67A65" w:rsidRDefault="00400E98" w:rsidP="00400E98">
      <w:pPr>
        <w:spacing w:line="360" w:lineRule="auto"/>
        <w:rPr>
          <w:sz w:val="24"/>
        </w:rPr>
      </w:pPr>
      <w:r w:rsidRPr="00D67A65">
        <w:rPr>
          <w:sz w:val="24"/>
        </w:rPr>
        <w:t>2.1</w:t>
      </w:r>
      <w:r w:rsidRPr="00AC51C1">
        <w:rPr>
          <w:rFonts w:hint="eastAsia"/>
          <w:sz w:val="24"/>
        </w:rPr>
        <w:t>变量平稳性检验</w:t>
      </w:r>
    </w:p>
    <w:p w14:paraId="48D4BAED" w14:textId="77777777" w:rsidR="00400E98" w:rsidRDefault="00400E98" w:rsidP="00400E98">
      <w:pPr>
        <w:spacing w:line="360" w:lineRule="auto"/>
        <w:ind w:firstLineChars="200" w:firstLine="480"/>
        <w:rPr>
          <w:sz w:val="24"/>
        </w:rPr>
      </w:pPr>
      <w:r w:rsidRPr="00AC51C1">
        <w:rPr>
          <w:rFonts w:hint="eastAsia"/>
          <w:sz w:val="24"/>
        </w:rPr>
        <w:t>传统</w:t>
      </w:r>
      <w:r w:rsidRPr="00AC51C1">
        <w:rPr>
          <w:sz w:val="24"/>
        </w:rPr>
        <w:t>VAR</w:t>
      </w:r>
      <w:r w:rsidRPr="00AC51C1">
        <w:rPr>
          <w:sz w:val="24"/>
        </w:rPr>
        <w:t>模型设定任一变量均需为稳定变量才可进</w:t>
      </w:r>
      <w:r w:rsidRPr="00AC51C1">
        <w:rPr>
          <w:rFonts w:hint="eastAsia"/>
          <w:sz w:val="24"/>
        </w:rPr>
        <w:t>行后续研究</w:t>
      </w:r>
      <w:r w:rsidRPr="009940F6">
        <w:rPr>
          <w:sz w:val="24"/>
          <w:vertAlign w:val="superscript"/>
        </w:rPr>
        <w:t>[17-18]</w:t>
      </w:r>
      <w:r w:rsidRPr="00AC51C1">
        <w:rPr>
          <w:sz w:val="24"/>
        </w:rPr>
        <w:t>。就非平稳时间序列而言，仅需各变量</w:t>
      </w:r>
      <w:r w:rsidRPr="00AC51C1">
        <w:rPr>
          <w:rFonts w:hint="eastAsia"/>
          <w:sz w:val="24"/>
        </w:rPr>
        <w:t>间具有协整关系即可构建</w:t>
      </w:r>
      <w:r w:rsidRPr="00AC51C1">
        <w:rPr>
          <w:sz w:val="24"/>
        </w:rPr>
        <w:t>VAR</w:t>
      </w:r>
      <w:r w:rsidRPr="00AC51C1">
        <w:rPr>
          <w:sz w:val="24"/>
        </w:rPr>
        <w:t>模型</w:t>
      </w:r>
      <w:r w:rsidRPr="009940F6">
        <w:rPr>
          <w:sz w:val="24"/>
          <w:vertAlign w:val="superscript"/>
        </w:rPr>
        <w:t>[19-21]</w:t>
      </w:r>
      <w:r w:rsidRPr="00AC51C1">
        <w:rPr>
          <w:sz w:val="24"/>
        </w:rPr>
        <w:t>。因此，文章参</w:t>
      </w:r>
      <w:r w:rsidRPr="00AC51C1">
        <w:rPr>
          <w:rFonts w:hint="eastAsia"/>
          <w:sz w:val="24"/>
        </w:rPr>
        <w:t>考相关研究，利用</w:t>
      </w:r>
      <w:r w:rsidRPr="00AC51C1">
        <w:rPr>
          <w:sz w:val="24"/>
        </w:rPr>
        <w:t>ADF</w:t>
      </w:r>
      <w:r w:rsidRPr="00AC51C1">
        <w:rPr>
          <w:sz w:val="24"/>
        </w:rPr>
        <w:t>检验法与</w:t>
      </w:r>
      <w:proofErr w:type="spellStart"/>
      <w:r w:rsidRPr="00AC51C1">
        <w:rPr>
          <w:sz w:val="24"/>
        </w:rPr>
        <w:t>Eviews</w:t>
      </w:r>
      <w:proofErr w:type="spellEnd"/>
      <w:r w:rsidRPr="00AC51C1">
        <w:rPr>
          <w:sz w:val="24"/>
        </w:rPr>
        <w:t xml:space="preserve"> 8.0</w:t>
      </w:r>
      <w:r w:rsidRPr="00AC51C1">
        <w:rPr>
          <w:sz w:val="24"/>
        </w:rPr>
        <w:t>软件对研究涉</w:t>
      </w:r>
      <w:r w:rsidRPr="00AC51C1">
        <w:rPr>
          <w:rFonts w:hint="eastAsia"/>
          <w:sz w:val="24"/>
        </w:rPr>
        <w:t>及的各变量分别展开平稳性检验，见表</w:t>
      </w:r>
      <w:r w:rsidRPr="00AC51C1">
        <w:rPr>
          <w:sz w:val="24"/>
        </w:rPr>
        <w:t>1</w:t>
      </w:r>
      <w:r w:rsidRPr="00AC51C1">
        <w:rPr>
          <w:sz w:val="24"/>
        </w:rPr>
        <w:t>。由表</w:t>
      </w:r>
      <w:r w:rsidRPr="00AC51C1">
        <w:rPr>
          <w:sz w:val="24"/>
        </w:rPr>
        <w:t>1</w:t>
      </w:r>
      <w:r w:rsidRPr="00AC51C1">
        <w:rPr>
          <w:sz w:val="24"/>
        </w:rPr>
        <w:t>可知，</w:t>
      </w:r>
      <w:r w:rsidRPr="00AC51C1">
        <w:rPr>
          <w:rFonts w:hint="eastAsia"/>
          <w:sz w:val="24"/>
        </w:rPr>
        <w:t>相关变量均在</w:t>
      </w:r>
      <w:r w:rsidRPr="00AC51C1">
        <w:rPr>
          <w:sz w:val="24"/>
        </w:rPr>
        <w:t>10%</w:t>
      </w:r>
      <w:r w:rsidRPr="00AC51C1">
        <w:rPr>
          <w:sz w:val="24"/>
        </w:rPr>
        <w:t>的显著性水平下拒绝原假设，即文章所</w:t>
      </w:r>
      <w:r w:rsidRPr="00AC51C1">
        <w:rPr>
          <w:rFonts w:hint="eastAsia"/>
          <w:sz w:val="24"/>
        </w:rPr>
        <w:t>选变量均为平稳序列，可直接就水产养殖饲料价格波动对养殖成本的影响构建</w:t>
      </w:r>
      <w:r w:rsidRPr="00AC51C1">
        <w:rPr>
          <w:sz w:val="24"/>
        </w:rPr>
        <w:t>VAR</w:t>
      </w:r>
      <w:r w:rsidRPr="00AC51C1">
        <w:rPr>
          <w:sz w:val="24"/>
        </w:rPr>
        <w:t>模型，并开展后续分析。</w:t>
      </w:r>
    </w:p>
    <w:p w14:paraId="241400B9" w14:textId="77777777" w:rsidR="00400E98" w:rsidRPr="00D67A65" w:rsidRDefault="00400E98" w:rsidP="00400E98">
      <w:pPr>
        <w:spacing w:line="360" w:lineRule="auto"/>
        <w:jc w:val="center"/>
        <w:rPr>
          <w:sz w:val="24"/>
        </w:rPr>
      </w:pPr>
      <w:r>
        <w:rPr>
          <w:noProof/>
        </w:rPr>
        <w:lastRenderedPageBreak/>
        <w:drawing>
          <wp:inline distT="0" distB="0" distL="0" distR="0" wp14:anchorId="71FE7603" wp14:editId="47F6ED61">
            <wp:extent cx="4857909" cy="1452563"/>
            <wp:effectExtent l="0" t="0" r="0" b="0"/>
            <wp:docPr id="1"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AI 生成的内容可能不正确。"/>
                    <pic:cNvPicPr/>
                  </pic:nvPicPr>
                  <pic:blipFill>
                    <a:blip r:embed="rId12"/>
                    <a:stretch>
                      <a:fillRect/>
                    </a:stretch>
                  </pic:blipFill>
                  <pic:spPr>
                    <a:xfrm>
                      <a:off x="0" y="0"/>
                      <a:ext cx="4889845" cy="1462112"/>
                    </a:xfrm>
                    <a:prstGeom prst="rect">
                      <a:avLst/>
                    </a:prstGeom>
                  </pic:spPr>
                </pic:pic>
              </a:graphicData>
            </a:graphic>
          </wp:inline>
        </w:drawing>
      </w:r>
    </w:p>
    <w:p w14:paraId="2E6C7EE4" w14:textId="77777777" w:rsidR="00400E98" w:rsidRPr="00AC51C1" w:rsidRDefault="00400E98" w:rsidP="00400E98">
      <w:pPr>
        <w:spacing w:line="360" w:lineRule="auto"/>
        <w:rPr>
          <w:sz w:val="24"/>
        </w:rPr>
      </w:pPr>
      <w:r w:rsidRPr="00AC51C1">
        <w:rPr>
          <w:sz w:val="24"/>
        </w:rPr>
        <w:t>2.2VAR</w:t>
      </w:r>
      <w:r w:rsidRPr="00AC51C1">
        <w:rPr>
          <w:sz w:val="24"/>
        </w:rPr>
        <w:t>模型的建立及检验</w:t>
      </w:r>
    </w:p>
    <w:p w14:paraId="134CC7D3" w14:textId="77777777" w:rsidR="00400E98" w:rsidRPr="00AC51C1" w:rsidRDefault="00400E98" w:rsidP="00400E98">
      <w:pPr>
        <w:spacing w:line="360" w:lineRule="auto"/>
        <w:rPr>
          <w:sz w:val="24"/>
        </w:rPr>
      </w:pPr>
      <w:r w:rsidRPr="00AC51C1">
        <w:rPr>
          <w:sz w:val="24"/>
        </w:rPr>
        <w:t>2.2.1VAR</w:t>
      </w:r>
      <w:r w:rsidRPr="00AC51C1">
        <w:rPr>
          <w:sz w:val="24"/>
        </w:rPr>
        <w:t>模型滞后阶数的确定</w:t>
      </w:r>
    </w:p>
    <w:p w14:paraId="039A98B6" w14:textId="77777777" w:rsidR="00400E98" w:rsidRDefault="00400E98" w:rsidP="00400E98">
      <w:pPr>
        <w:spacing w:line="360" w:lineRule="auto"/>
        <w:ind w:firstLineChars="200" w:firstLine="480"/>
        <w:rPr>
          <w:sz w:val="24"/>
        </w:rPr>
      </w:pPr>
      <w:r w:rsidRPr="00AC51C1">
        <w:rPr>
          <w:rFonts w:hint="eastAsia"/>
          <w:sz w:val="24"/>
        </w:rPr>
        <w:t>构建</w:t>
      </w:r>
      <w:r w:rsidRPr="00AC51C1">
        <w:rPr>
          <w:sz w:val="24"/>
        </w:rPr>
        <w:t>VAR</w:t>
      </w:r>
      <w:r w:rsidRPr="00AC51C1">
        <w:rPr>
          <w:sz w:val="24"/>
        </w:rPr>
        <w:t>模型的第一步即是确定变量滞后阶数</w:t>
      </w:r>
      <w:r w:rsidRPr="00AC51C1">
        <w:rPr>
          <w:rFonts w:hint="eastAsia"/>
          <w:sz w:val="24"/>
        </w:rPr>
        <w:t>（</w:t>
      </w:r>
      <w:r w:rsidRPr="00AC51C1">
        <w:rPr>
          <w:i/>
          <w:sz w:val="24"/>
        </w:rPr>
        <w:t>P</w:t>
      </w:r>
      <w:r w:rsidRPr="00AC51C1">
        <w:rPr>
          <w:sz w:val="24"/>
        </w:rPr>
        <w:t>）。考虑到文章所选数据为月度数据，因此采用最大滞</w:t>
      </w:r>
      <w:r w:rsidRPr="00AC51C1">
        <w:rPr>
          <w:rFonts w:hint="eastAsia"/>
          <w:sz w:val="24"/>
        </w:rPr>
        <w:t>后期数（</w:t>
      </w:r>
      <w:r w:rsidRPr="00AC51C1">
        <w:rPr>
          <w:sz w:val="24"/>
        </w:rPr>
        <w:t>P=12</w:t>
      </w:r>
      <w:r w:rsidRPr="00AC51C1">
        <w:rPr>
          <w:sz w:val="24"/>
        </w:rPr>
        <w:t>）进行检验，</w:t>
      </w:r>
      <w:r w:rsidRPr="00AC51C1">
        <w:rPr>
          <w:sz w:val="24"/>
        </w:rPr>
        <w:t>VAR</w:t>
      </w:r>
      <w:r w:rsidRPr="00AC51C1">
        <w:rPr>
          <w:sz w:val="24"/>
        </w:rPr>
        <w:t>模型滞后阶数的确定见</w:t>
      </w:r>
      <w:r w:rsidRPr="00AC51C1">
        <w:rPr>
          <w:rFonts w:hint="eastAsia"/>
          <w:sz w:val="24"/>
        </w:rPr>
        <w:t>表</w:t>
      </w:r>
      <w:r w:rsidRPr="00AC51C1">
        <w:rPr>
          <w:sz w:val="24"/>
        </w:rPr>
        <w:t>2</w:t>
      </w:r>
      <w:r w:rsidRPr="00AC51C1">
        <w:rPr>
          <w:sz w:val="24"/>
        </w:rPr>
        <w:t>。由表</w:t>
      </w:r>
      <w:r w:rsidRPr="00AC51C1">
        <w:rPr>
          <w:sz w:val="24"/>
        </w:rPr>
        <w:t>2</w:t>
      </w:r>
      <w:r w:rsidRPr="00AC51C1">
        <w:rPr>
          <w:sz w:val="24"/>
        </w:rPr>
        <w:t>可知，当最大滞后阶数为</w:t>
      </w:r>
      <w:r w:rsidRPr="00AC51C1">
        <w:rPr>
          <w:sz w:val="24"/>
        </w:rPr>
        <w:t>3</w:t>
      </w:r>
      <w:r w:rsidRPr="00AC51C1">
        <w:rPr>
          <w:sz w:val="24"/>
        </w:rPr>
        <w:t>时，</w:t>
      </w:r>
      <w:r w:rsidRPr="00AC51C1">
        <w:rPr>
          <w:sz w:val="24"/>
        </w:rPr>
        <w:t>AIC</w:t>
      </w:r>
      <w:r w:rsidRPr="00AC51C1">
        <w:rPr>
          <w:sz w:val="24"/>
        </w:rPr>
        <w:t>数值达</w:t>
      </w:r>
      <w:r w:rsidRPr="00AC51C1">
        <w:rPr>
          <w:rFonts w:hint="eastAsia"/>
          <w:sz w:val="24"/>
        </w:rPr>
        <w:t>到最小值（</w:t>
      </w:r>
      <w:r>
        <w:rPr>
          <w:sz w:val="24"/>
        </w:rPr>
        <w:t>-10.041</w:t>
      </w:r>
      <w:r w:rsidRPr="00AC51C1">
        <w:rPr>
          <w:sz w:val="24"/>
        </w:rPr>
        <w:t>8</w:t>
      </w:r>
      <w:r w:rsidRPr="00AC51C1">
        <w:rPr>
          <w:sz w:val="24"/>
        </w:rPr>
        <w:t>）；当最大滞后阶数为</w:t>
      </w:r>
      <w:r w:rsidRPr="00AC51C1">
        <w:rPr>
          <w:sz w:val="24"/>
        </w:rPr>
        <w:t>2</w:t>
      </w:r>
      <w:r w:rsidRPr="00AC51C1">
        <w:rPr>
          <w:sz w:val="24"/>
        </w:rPr>
        <w:t>时，</w:t>
      </w:r>
      <w:r w:rsidRPr="00AC51C1">
        <w:rPr>
          <w:sz w:val="24"/>
        </w:rPr>
        <w:t>SC</w:t>
      </w:r>
      <w:r w:rsidRPr="00AC51C1">
        <w:rPr>
          <w:sz w:val="24"/>
        </w:rPr>
        <w:t>数值</w:t>
      </w:r>
      <w:r w:rsidRPr="00AC51C1">
        <w:rPr>
          <w:rFonts w:hint="eastAsia"/>
          <w:sz w:val="24"/>
        </w:rPr>
        <w:t>达到最小值（</w:t>
      </w:r>
      <w:r>
        <w:rPr>
          <w:sz w:val="24"/>
        </w:rPr>
        <w:t>-9.776</w:t>
      </w:r>
      <w:r w:rsidRPr="00AC51C1">
        <w:rPr>
          <w:sz w:val="24"/>
        </w:rPr>
        <w:t>0</w:t>
      </w:r>
      <w:r w:rsidRPr="00AC51C1">
        <w:rPr>
          <w:sz w:val="24"/>
        </w:rPr>
        <w:t>）；当</w:t>
      </w:r>
      <w:r w:rsidRPr="00AC51C1">
        <w:rPr>
          <w:sz w:val="24"/>
        </w:rPr>
        <w:t>AIC</w:t>
      </w:r>
      <w:r w:rsidRPr="00AC51C1">
        <w:rPr>
          <w:sz w:val="24"/>
        </w:rPr>
        <w:t>准则与</w:t>
      </w:r>
      <w:r w:rsidRPr="00AC51C1">
        <w:rPr>
          <w:sz w:val="24"/>
        </w:rPr>
        <w:t>SC</w:t>
      </w:r>
      <w:r w:rsidRPr="00AC51C1">
        <w:rPr>
          <w:sz w:val="24"/>
        </w:rPr>
        <w:t>准则同时达到</w:t>
      </w:r>
      <w:r w:rsidRPr="00AC51C1">
        <w:rPr>
          <w:rFonts w:hint="eastAsia"/>
          <w:sz w:val="24"/>
        </w:rPr>
        <w:t>最小值时，一般采用似然比统计量</w:t>
      </w:r>
      <w:r w:rsidRPr="00AC51C1">
        <w:rPr>
          <w:sz w:val="24"/>
        </w:rPr>
        <w:t>LR</w:t>
      </w:r>
      <w:r w:rsidRPr="00AC51C1">
        <w:rPr>
          <w:sz w:val="24"/>
        </w:rPr>
        <w:t>确定</w:t>
      </w:r>
      <w:r w:rsidRPr="00AC51C1">
        <w:rPr>
          <w:i/>
          <w:sz w:val="24"/>
        </w:rPr>
        <w:t>P</w:t>
      </w:r>
      <w:r w:rsidRPr="00AC51C1">
        <w:rPr>
          <w:sz w:val="24"/>
        </w:rPr>
        <w:t>值</w:t>
      </w:r>
      <w:r w:rsidRPr="009940F6">
        <w:rPr>
          <w:sz w:val="24"/>
          <w:vertAlign w:val="superscript"/>
        </w:rPr>
        <w:t>[22]</w:t>
      </w:r>
      <w:r w:rsidRPr="00AC51C1">
        <w:rPr>
          <w:sz w:val="24"/>
        </w:rPr>
        <w:t>，当最</w:t>
      </w:r>
      <w:r w:rsidRPr="00AC51C1">
        <w:rPr>
          <w:rFonts w:hint="eastAsia"/>
          <w:sz w:val="24"/>
        </w:rPr>
        <w:t>大滞后阶数为</w:t>
      </w:r>
      <w:r w:rsidRPr="00AC51C1">
        <w:rPr>
          <w:sz w:val="24"/>
        </w:rPr>
        <w:t>2</w:t>
      </w:r>
      <w:r w:rsidRPr="00AC51C1">
        <w:rPr>
          <w:sz w:val="24"/>
        </w:rPr>
        <w:t>时，</w:t>
      </w:r>
      <w:r w:rsidRPr="00AC51C1">
        <w:rPr>
          <w:sz w:val="24"/>
        </w:rPr>
        <w:t>LR</w:t>
      </w:r>
      <w:r w:rsidRPr="00AC51C1">
        <w:rPr>
          <w:sz w:val="24"/>
        </w:rPr>
        <w:t>数值为根据准则确定最优滞后阶</w:t>
      </w:r>
      <w:r w:rsidRPr="00AC51C1">
        <w:rPr>
          <w:rFonts w:hint="eastAsia"/>
          <w:sz w:val="24"/>
        </w:rPr>
        <w:t>数（</w:t>
      </w:r>
      <w:r>
        <w:rPr>
          <w:sz w:val="24"/>
        </w:rPr>
        <w:t>55.583</w:t>
      </w:r>
      <w:r w:rsidRPr="00AC51C1">
        <w:rPr>
          <w:sz w:val="24"/>
        </w:rPr>
        <w:t>1</w:t>
      </w:r>
      <w:r w:rsidRPr="00AC51C1">
        <w:rPr>
          <w:sz w:val="24"/>
        </w:rPr>
        <w:t>），表明本文的滞后阶数为</w:t>
      </w:r>
      <w:r w:rsidRPr="00AC51C1">
        <w:rPr>
          <w:sz w:val="24"/>
        </w:rPr>
        <w:t>2</w:t>
      </w:r>
      <w:r w:rsidRPr="00AC51C1">
        <w:rPr>
          <w:sz w:val="24"/>
        </w:rPr>
        <w:t>，此时输出结果</w:t>
      </w:r>
      <w:r w:rsidRPr="00AC51C1">
        <w:rPr>
          <w:rFonts w:hint="eastAsia"/>
          <w:sz w:val="24"/>
        </w:rPr>
        <w:t>为</w:t>
      </w:r>
      <w:r w:rsidRPr="00AC51C1">
        <w:rPr>
          <w:sz w:val="24"/>
        </w:rPr>
        <w:t>VAR</w:t>
      </w:r>
      <w:r w:rsidRPr="00AC51C1">
        <w:rPr>
          <w:sz w:val="24"/>
        </w:rPr>
        <w:t>模型的最优结果。</w:t>
      </w:r>
    </w:p>
    <w:p w14:paraId="5CE1344A" w14:textId="77777777" w:rsidR="00400E98" w:rsidRDefault="00400E98" w:rsidP="00400E98">
      <w:pPr>
        <w:spacing w:line="360" w:lineRule="auto"/>
        <w:jc w:val="center"/>
        <w:rPr>
          <w:sz w:val="24"/>
        </w:rPr>
      </w:pPr>
      <w:r>
        <w:rPr>
          <w:noProof/>
        </w:rPr>
        <w:drawing>
          <wp:inline distT="0" distB="0" distL="0" distR="0" wp14:anchorId="5201A984" wp14:editId="5F43C3C3">
            <wp:extent cx="5967885" cy="1495425"/>
            <wp:effectExtent l="0" t="0" r="0" b="0"/>
            <wp:docPr id="1575101849" name="图片 157510184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01849" name="图片 1575101849" descr="表格&#10;&#10;AI 生成的内容可能不正确。"/>
                    <pic:cNvPicPr/>
                  </pic:nvPicPr>
                  <pic:blipFill>
                    <a:blip r:embed="rId13"/>
                    <a:stretch>
                      <a:fillRect/>
                    </a:stretch>
                  </pic:blipFill>
                  <pic:spPr>
                    <a:xfrm>
                      <a:off x="0" y="0"/>
                      <a:ext cx="5986258" cy="1500029"/>
                    </a:xfrm>
                    <a:prstGeom prst="rect">
                      <a:avLst/>
                    </a:prstGeom>
                  </pic:spPr>
                </pic:pic>
              </a:graphicData>
            </a:graphic>
          </wp:inline>
        </w:drawing>
      </w:r>
    </w:p>
    <w:p w14:paraId="469FE13C" w14:textId="77777777" w:rsidR="00400E98" w:rsidRPr="00AC51C1" w:rsidRDefault="00400E98" w:rsidP="00400E98">
      <w:pPr>
        <w:tabs>
          <w:tab w:val="left" w:pos="6312"/>
        </w:tabs>
        <w:spacing w:line="360" w:lineRule="auto"/>
        <w:rPr>
          <w:sz w:val="24"/>
        </w:rPr>
      </w:pPr>
      <w:r w:rsidRPr="00AC51C1">
        <w:rPr>
          <w:sz w:val="24"/>
        </w:rPr>
        <w:t>2.2.2</w:t>
      </w:r>
      <w:r w:rsidRPr="00AC51C1">
        <w:rPr>
          <w:sz w:val="24"/>
        </w:rPr>
        <w:t>格兰杰因果关系检验</w:t>
      </w:r>
    </w:p>
    <w:p w14:paraId="7E909947" w14:textId="77777777" w:rsidR="00400E98" w:rsidRPr="00AC51C1" w:rsidRDefault="00400E98" w:rsidP="00400E98">
      <w:pPr>
        <w:tabs>
          <w:tab w:val="left" w:pos="6312"/>
        </w:tabs>
        <w:spacing w:line="360" w:lineRule="auto"/>
        <w:ind w:firstLineChars="200" w:firstLine="480"/>
        <w:rPr>
          <w:sz w:val="24"/>
        </w:rPr>
      </w:pPr>
      <w:r w:rsidRPr="00AC51C1">
        <w:rPr>
          <w:rFonts w:hint="eastAsia"/>
          <w:sz w:val="24"/>
        </w:rPr>
        <w:t>格兰杰因果关系主要用于检验某一变量的滞后项对其他变量是否具有当期影响</w:t>
      </w:r>
      <w:r w:rsidRPr="009940F6">
        <w:rPr>
          <w:sz w:val="24"/>
          <w:vertAlign w:val="superscript"/>
        </w:rPr>
        <w:t>[23-24]</w:t>
      </w:r>
      <w:r w:rsidRPr="00AC51C1">
        <w:rPr>
          <w:sz w:val="24"/>
        </w:rPr>
        <w:t>。因此，假设有</w:t>
      </w:r>
      <w:r w:rsidRPr="00AC51C1">
        <w:rPr>
          <w:sz w:val="24"/>
        </w:rPr>
        <w:t>“YP</w:t>
      </w:r>
      <w:r w:rsidRPr="00AC51C1">
        <w:rPr>
          <w:sz w:val="24"/>
        </w:rPr>
        <w:t>不</w:t>
      </w:r>
      <w:r w:rsidRPr="00AC51C1">
        <w:rPr>
          <w:rFonts w:hint="eastAsia"/>
          <w:sz w:val="24"/>
        </w:rPr>
        <w:t>是</w:t>
      </w:r>
      <w:r w:rsidRPr="00AC51C1">
        <w:rPr>
          <w:sz w:val="24"/>
        </w:rPr>
        <w:t>AS</w:t>
      </w:r>
      <w:r w:rsidRPr="00AC51C1">
        <w:rPr>
          <w:sz w:val="24"/>
        </w:rPr>
        <w:t>的格兰杰原因</w:t>
      </w:r>
      <w:r w:rsidRPr="00AC51C1">
        <w:rPr>
          <w:sz w:val="24"/>
        </w:rPr>
        <w:t>”</w:t>
      </w:r>
      <w:r w:rsidRPr="00AC51C1">
        <w:rPr>
          <w:sz w:val="24"/>
        </w:rPr>
        <w:t>与</w:t>
      </w:r>
      <w:r w:rsidRPr="00AC51C1">
        <w:rPr>
          <w:sz w:val="24"/>
        </w:rPr>
        <w:t>“AS</w:t>
      </w:r>
      <w:r w:rsidRPr="00AC51C1">
        <w:rPr>
          <w:sz w:val="24"/>
        </w:rPr>
        <w:t>不是</w:t>
      </w:r>
      <w:r w:rsidRPr="00AC51C1">
        <w:rPr>
          <w:sz w:val="24"/>
        </w:rPr>
        <w:t>YP</w:t>
      </w:r>
      <w:r w:rsidRPr="00AC51C1">
        <w:rPr>
          <w:sz w:val="24"/>
        </w:rPr>
        <w:t>的格兰杰原因</w:t>
      </w:r>
      <w:r>
        <w:rPr>
          <w:sz w:val="24"/>
        </w:rPr>
        <w:t>”</w:t>
      </w:r>
      <w:r w:rsidRPr="00AC51C1">
        <w:rPr>
          <w:rFonts w:hint="eastAsia"/>
          <w:sz w:val="24"/>
        </w:rPr>
        <w:t>两大命题，并对两大假设进行格兰杰因果关系检验。格兰杰因果关系检验见表</w:t>
      </w:r>
      <w:r w:rsidRPr="00AC51C1">
        <w:rPr>
          <w:sz w:val="24"/>
        </w:rPr>
        <w:t>3</w:t>
      </w:r>
      <w:r w:rsidRPr="00AC51C1">
        <w:rPr>
          <w:sz w:val="24"/>
        </w:rPr>
        <w:t>。</w:t>
      </w:r>
      <w:r w:rsidRPr="00AC51C1">
        <w:rPr>
          <w:rFonts w:hint="eastAsia"/>
          <w:sz w:val="24"/>
        </w:rPr>
        <w:t>由表</w:t>
      </w:r>
      <w:r w:rsidRPr="00AC51C1">
        <w:rPr>
          <w:sz w:val="24"/>
        </w:rPr>
        <w:t>3</w:t>
      </w:r>
      <w:r w:rsidRPr="00AC51C1">
        <w:rPr>
          <w:sz w:val="24"/>
        </w:rPr>
        <w:t>可知，</w:t>
      </w:r>
      <w:r w:rsidRPr="00AC51C1">
        <w:rPr>
          <w:sz w:val="24"/>
        </w:rPr>
        <w:t>“YP</w:t>
      </w:r>
      <w:r w:rsidRPr="00AC51C1">
        <w:rPr>
          <w:sz w:val="24"/>
        </w:rPr>
        <w:t>不是</w:t>
      </w:r>
      <w:r w:rsidRPr="00AC51C1">
        <w:rPr>
          <w:sz w:val="24"/>
        </w:rPr>
        <w:t>AS</w:t>
      </w:r>
      <w:r w:rsidRPr="00AC51C1">
        <w:rPr>
          <w:sz w:val="24"/>
        </w:rPr>
        <w:t>的格兰杰原因</w:t>
      </w:r>
      <w:r w:rsidRPr="00AC51C1">
        <w:rPr>
          <w:sz w:val="24"/>
        </w:rPr>
        <w:t>”</w:t>
      </w:r>
      <w:r w:rsidRPr="00AC51C1">
        <w:rPr>
          <w:sz w:val="24"/>
        </w:rPr>
        <w:t>与</w:t>
      </w:r>
      <w:r w:rsidRPr="00AC51C1">
        <w:rPr>
          <w:sz w:val="24"/>
        </w:rPr>
        <w:t>“AS</w:t>
      </w:r>
      <w:r w:rsidRPr="00AC51C1">
        <w:rPr>
          <w:sz w:val="24"/>
        </w:rPr>
        <w:t>不</w:t>
      </w:r>
      <w:r w:rsidRPr="00AC51C1">
        <w:rPr>
          <w:rFonts w:hint="eastAsia"/>
          <w:sz w:val="24"/>
        </w:rPr>
        <w:t>是</w:t>
      </w:r>
      <w:r w:rsidRPr="00AC51C1">
        <w:rPr>
          <w:sz w:val="24"/>
        </w:rPr>
        <w:t>YP</w:t>
      </w:r>
      <w:r w:rsidRPr="00AC51C1">
        <w:rPr>
          <w:sz w:val="24"/>
        </w:rPr>
        <w:t>的格兰杰原因</w:t>
      </w:r>
      <w:r w:rsidRPr="00AC51C1">
        <w:rPr>
          <w:sz w:val="24"/>
        </w:rPr>
        <w:t>”</w:t>
      </w:r>
      <w:r w:rsidRPr="00AC51C1">
        <w:rPr>
          <w:sz w:val="24"/>
        </w:rPr>
        <w:t>均在</w:t>
      </w:r>
      <w:r w:rsidRPr="00AC51C1">
        <w:rPr>
          <w:sz w:val="24"/>
        </w:rPr>
        <w:t>95%</w:t>
      </w:r>
      <w:r w:rsidRPr="00AC51C1">
        <w:rPr>
          <w:sz w:val="24"/>
        </w:rPr>
        <w:t>置信水平上接受原假设，</w:t>
      </w:r>
      <w:r w:rsidRPr="00AC51C1">
        <w:rPr>
          <w:rFonts w:hint="eastAsia"/>
          <w:sz w:val="24"/>
        </w:rPr>
        <w:t>即水产养殖饲料价格波动与养殖成本互为格兰杰因果关系。由此可以推断，养殖成本受到水产养殖饲料价格波动的滞后影响，水产养殖饲料价格波动是养殖成本的格兰杰原因。</w:t>
      </w:r>
    </w:p>
    <w:p w14:paraId="0C553ADF" w14:textId="77777777" w:rsidR="00400E98" w:rsidRDefault="00400E98" w:rsidP="00400E98">
      <w:pPr>
        <w:tabs>
          <w:tab w:val="left" w:pos="6312"/>
        </w:tabs>
        <w:spacing w:line="360" w:lineRule="auto"/>
        <w:ind w:firstLineChars="200" w:firstLine="480"/>
        <w:rPr>
          <w:sz w:val="24"/>
        </w:rPr>
      </w:pPr>
      <w:r w:rsidRPr="00AC51C1">
        <w:rPr>
          <w:rFonts w:hint="eastAsia"/>
          <w:sz w:val="24"/>
        </w:rPr>
        <w:t>综上所述，本文可对变量</w:t>
      </w:r>
      <w:proofErr w:type="spellStart"/>
      <w:r w:rsidRPr="00AC51C1">
        <w:rPr>
          <w:sz w:val="24"/>
        </w:rPr>
        <w:t>lnYP</w:t>
      </w:r>
      <w:r w:rsidRPr="00AC51C1">
        <w:rPr>
          <w:sz w:val="24"/>
          <w:vertAlign w:val="subscript"/>
        </w:rPr>
        <w:t>SA</w:t>
      </w:r>
      <w:proofErr w:type="spellEnd"/>
      <w:r w:rsidRPr="00AC51C1">
        <w:rPr>
          <w:rFonts w:hint="eastAsia"/>
          <w:sz w:val="24"/>
        </w:rPr>
        <w:t>与</w:t>
      </w:r>
      <w:proofErr w:type="spellStart"/>
      <w:r>
        <w:rPr>
          <w:sz w:val="24"/>
        </w:rPr>
        <w:t>lnNP</w:t>
      </w:r>
      <w:r w:rsidRPr="00AC51C1">
        <w:rPr>
          <w:sz w:val="24"/>
          <w:vertAlign w:val="subscript"/>
        </w:rPr>
        <w:t>SA</w:t>
      </w:r>
      <w:proofErr w:type="spellEnd"/>
      <w:r w:rsidRPr="00AC51C1">
        <w:rPr>
          <w:rFonts w:hint="eastAsia"/>
          <w:sz w:val="24"/>
        </w:rPr>
        <w:t>构建起滞后阶数为</w:t>
      </w:r>
      <w:r w:rsidRPr="00AC51C1">
        <w:rPr>
          <w:sz w:val="24"/>
        </w:rPr>
        <w:t>2</w:t>
      </w:r>
      <w:r w:rsidRPr="00AC51C1">
        <w:rPr>
          <w:sz w:val="24"/>
        </w:rPr>
        <w:t>的</w:t>
      </w:r>
      <w:r w:rsidRPr="00AC51C1">
        <w:rPr>
          <w:sz w:val="24"/>
        </w:rPr>
        <w:t>VAR</w:t>
      </w:r>
      <w:r w:rsidRPr="00AC51C1">
        <w:rPr>
          <w:sz w:val="24"/>
        </w:rPr>
        <w:t>（</w:t>
      </w:r>
      <w:r w:rsidRPr="00AC51C1">
        <w:rPr>
          <w:sz w:val="24"/>
        </w:rPr>
        <w:t>2</w:t>
      </w:r>
      <w:r w:rsidRPr="00AC51C1">
        <w:rPr>
          <w:sz w:val="24"/>
        </w:rPr>
        <w:t>）模型。模型的输出结果为：</w:t>
      </w:r>
    </w:p>
    <w:p w14:paraId="3CC03D13" w14:textId="77777777" w:rsidR="00400E98" w:rsidRDefault="00000000" w:rsidP="00400E98">
      <w:pPr>
        <w:tabs>
          <w:tab w:val="left" w:pos="6312"/>
        </w:tabs>
        <w:spacing w:line="360" w:lineRule="auto"/>
        <w:ind w:firstLineChars="200" w:firstLine="480"/>
        <w:rPr>
          <w:sz w:val="24"/>
        </w:rPr>
      </w:pPr>
      <m:oMath>
        <m:d>
          <m:dPr>
            <m:ctrlPr>
              <w:rPr>
                <w:rFonts w:ascii="Cambria Math" w:hAnsi="Cambria Math"/>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YP</m:t>
                      </m:r>
                    </m:e>
                    <m:sub>
                      <m:r>
                        <w:rPr>
                          <w:rFonts w:ascii="Cambria Math" w:hAnsi="Cambria Math"/>
                          <w:sz w:val="24"/>
                        </w:rPr>
                        <m:t>t</m:t>
                      </m:r>
                    </m:sub>
                  </m:sSub>
                </m:e>
              </m:mr>
              <m:mr>
                <m:e>
                  <m:sSub>
                    <m:sSubPr>
                      <m:ctrlPr>
                        <w:rPr>
                          <w:rFonts w:ascii="Cambria Math" w:hAnsi="Cambria Math"/>
                          <w:i/>
                          <w:sz w:val="24"/>
                        </w:rPr>
                      </m:ctrlPr>
                    </m:sSubPr>
                    <m:e>
                      <m:r>
                        <w:rPr>
                          <w:rFonts w:ascii="Cambria Math" w:hAnsi="Cambria Math"/>
                          <w:sz w:val="24"/>
                        </w:rPr>
                        <m:t>SA</m:t>
                      </m:r>
                    </m:e>
                    <m:sub>
                      <m:r>
                        <w:rPr>
                          <w:rFonts w:ascii="Cambria Math" w:hAnsi="Cambria Math"/>
                          <w:sz w:val="24"/>
                        </w:rPr>
                        <m:t>t</m:t>
                      </m:r>
                    </m:sub>
                  </m:sSub>
                </m:e>
              </m:mr>
            </m:m>
          </m:e>
        </m:d>
        <m:r>
          <w:rPr>
            <w:rFonts w:ascii="Cambria Math" w:hAnsi="Cambria Math"/>
            <w:sz w:val="24"/>
          </w:rPr>
          <m:t>=</m:t>
        </m:r>
        <m:d>
          <m:dPr>
            <m:ctrlPr>
              <w:rPr>
                <w:rFonts w:ascii="Cambria Math" w:hAnsi="Cambria Math"/>
                <w:i/>
                <w:sz w:val="24"/>
              </w:rPr>
            </m:ctrlPr>
          </m:dPr>
          <m:e>
            <m:m>
              <m:mPr>
                <m:mcs>
                  <m:mc>
                    <m:mcPr>
                      <m:count m:val="1"/>
                      <m:mcJc m:val="center"/>
                    </m:mcPr>
                  </m:mc>
                </m:mcs>
                <m:ctrlPr>
                  <w:rPr>
                    <w:rFonts w:ascii="Cambria Math" w:hAnsi="Cambria Math"/>
                    <w:i/>
                    <w:sz w:val="24"/>
                  </w:rPr>
                </m:ctrlPr>
              </m:mPr>
              <m:mr>
                <m:e>
                  <m:r>
                    <w:rPr>
                      <w:rFonts w:ascii="Cambria Math" w:hAnsi="Cambria Math"/>
                      <w:sz w:val="24"/>
                    </w:rPr>
                    <m:t>0.1456</m:t>
                  </m:r>
                </m:e>
              </m:mr>
              <m:mr>
                <m:e>
                  <m:r>
                    <w:rPr>
                      <w:rFonts w:ascii="Cambria Math" w:hAnsi="Cambria Math"/>
                      <w:sz w:val="24"/>
                    </w:rPr>
                    <m:t>0.1831</m:t>
                  </m:r>
                </m:e>
              </m:mr>
            </m:m>
          </m:e>
        </m:d>
        <m:r>
          <w:rPr>
            <w:rFonts w:ascii="Cambria Math" w:hAnsi="Cambria Math"/>
            <w:sz w:val="24"/>
          </w:rPr>
          <m:t>+</m:t>
        </m:r>
        <m:d>
          <m:dPr>
            <m:ctrlPr>
              <w:rPr>
                <w:rFonts w:ascii="Cambria Math" w:hAnsi="Cambria Math"/>
                <w:i/>
                <w:sz w:val="24"/>
              </w:rPr>
            </m:ctrlPr>
          </m:dPr>
          <m:e>
            <m:m>
              <m:mPr>
                <m:mcs>
                  <m:mc>
                    <m:mcPr>
                      <m:count m:val="2"/>
                      <m:mcJc m:val="center"/>
                    </m:mcPr>
                  </m:mc>
                </m:mcs>
                <m:ctrlPr>
                  <w:rPr>
                    <w:rFonts w:ascii="Cambria Math" w:hAnsi="Cambria Math"/>
                    <w:i/>
                    <w:sz w:val="24"/>
                  </w:rPr>
                </m:ctrlPr>
              </m:mPr>
              <m:mr>
                <m:e>
                  <m:r>
                    <w:rPr>
                      <w:rFonts w:ascii="Cambria Math" w:hAnsi="Cambria Math"/>
                      <w:sz w:val="24"/>
                    </w:rPr>
                    <m:t>1.5336</m:t>
                  </m:r>
                </m:e>
                <m:e>
                  <m:r>
                    <w:rPr>
                      <w:rFonts w:ascii="Cambria Math" w:hAnsi="Cambria Math"/>
                      <w:sz w:val="24"/>
                    </w:rPr>
                    <m:t>0.0075</m:t>
                  </m:r>
                </m:e>
              </m:mr>
              <m:mr>
                <m:e>
                  <m:r>
                    <w:rPr>
                      <w:rFonts w:ascii="Cambria Math" w:hAnsi="Cambria Math"/>
                      <w:sz w:val="24"/>
                    </w:rPr>
                    <m:t>1.5213</m:t>
                  </m:r>
                </m:e>
                <m:e>
                  <m:r>
                    <w:rPr>
                      <w:rFonts w:ascii="Cambria Math" w:hAnsi="Cambria Math"/>
                      <w:sz w:val="24"/>
                    </w:rPr>
                    <m:t>1.0432</m:t>
                  </m:r>
                </m:e>
              </m:mr>
            </m:m>
          </m:e>
        </m:d>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YP</m:t>
                      </m:r>
                    </m:e>
                    <m:sub>
                      <m:r>
                        <w:rPr>
                          <w:rFonts w:ascii="Cambria Math" w:hAnsi="Cambria Math"/>
                          <w:sz w:val="24"/>
                        </w:rPr>
                        <m:t>t-1</m:t>
                      </m:r>
                    </m:sub>
                  </m:sSub>
                </m:e>
              </m:mr>
              <m:mr>
                <m:e>
                  <m:sSub>
                    <m:sSubPr>
                      <m:ctrlPr>
                        <w:rPr>
                          <w:rFonts w:ascii="Cambria Math" w:hAnsi="Cambria Math"/>
                          <w:i/>
                          <w:sz w:val="24"/>
                        </w:rPr>
                      </m:ctrlPr>
                    </m:sSubPr>
                    <m:e>
                      <m:r>
                        <w:rPr>
                          <w:rFonts w:ascii="Cambria Math" w:hAnsi="Cambria Math"/>
                          <w:sz w:val="24"/>
                        </w:rPr>
                        <m:t>AS</m:t>
                      </m:r>
                    </m:e>
                    <m:sub>
                      <m:r>
                        <w:rPr>
                          <w:rFonts w:ascii="Cambria Math" w:hAnsi="Cambria Math"/>
                          <w:sz w:val="24"/>
                        </w:rPr>
                        <m:t>t-1</m:t>
                      </m:r>
                    </m:sub>
                  </m:sSub>
                </m:e>
              </m:mr>
            </m:m>
          </m:e>
        </m:d>
        <m:r>
          <w:rPr>
            <w:rFonts w:ascii="Cambria Math" w:hAnsi="Cambria Math"/>
            <w:sz w:val="24"/>
          </w:rPr>
          <m:t>+</m:t>
        </m:r>
        <m:d>
          <m:dPr>
            <m:ctrlPr>
              <w:rPr>
                <w:rFonts w:ascii="Cambria Math" w:hAnsi="Cambria Math"/>
                <w:i/>
                <w:sz w:val="24"/>
              </w:rPr>
            </m:ctrlPr>
          </m:dPr>
          <m:e>
            <m:m>
              <m:mPr>
                <m:mcs>
                  <m:mc>
                    <m:mcPr>
                      <m:count m:val="2"/>
                      <m:mcJc m:val="center"/>
                    </m:mcPr>
                  </m:mc>
                </m:mcs>
                <m:ctrlPr>
                  <w:rPr>
                    <w:rFonts w:ascii="Cambria Math" w:hAnsi="Cambria Math"/>
                    <w:i/>
                    <w:sz w:val="24"/>
                  </w:rPr>
                </m:ctrlPr>
              </m:mPr>
              <m:mr>
                <m:e>
                  <m:r>
                    <w:rPr>
                      <w:rFonts w:ascii="Cambria Math" w:hAnsi="Cambria Math"/>
                      <w:sz w:val="24"/>
                    </w:rPr>
                    <m:t>-0.5516</m:t>
                  </m:r>
                </m:e>
                <m:e>
                  <m:r>
                    <w:rPr>
                      <w:rFonts w:ascii="Cambria Math" w:hAnsi="Cambria Math"/>
                      <w:sz w:val="24"/>
                    </w:rPr>
                    <m:t>-0.0773</m:t>
                  </m:r>
                </m:e>
              </m:mr>
              <m:mr>
                <m:e>
                  <m:r>
                    <w:rPr>
                      <w:rFonts w:ascii="Cambria Math" w:hAnsi="Cambria Math"/>
                      <w:sz w:val="24"/>
                    </w:rPr>
                    <m:t>-1.8532</m:t>
                  </m:r>
                </m:e>
                <m:e>
                  <m:r>
                    <w:rPr>
                      <w:rFonts w:ascii="Cambria Math" w:hAnsi="Cambria Math"/>
                      <w:sz w:val="24"/>
                    </w:rPr>
                    <m:t>-0.1541</m:t>
                  </m:r>
                </m:e>
              </m:mr>
            </m:m>
          </m:e>
        </m:d>
        <m:d>
          <m:dPr>
            <m:ctrlPr>
              <w:rPr>
                <w:rFonts w:ascii="Cambria Math" w:hAnsi="Cambria Math"/>
                <w:i/>
                <w:sz w:val="24"/>
              </w:rPr>
            </m:ctrlPr>
          </m:dPr>
          <m:e>
            <m:m>
              <m:mPr>
                <m:mcs>
                  <m:mc>
                    <m:mcPr>
                      <m:count m:val="1"/>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TB</m:t>
                      </m:r>
                    </m:e>
                    <m:sub>
                      <m:r>
                        <w:rPr>
                          <w:rFonts w:ascii="Cambria Math" w:hAnsi="Cambria Math"/>
                          <w:sz w:val="24"/>
                        </w:rPr>
                        <m:t>t-2</m:t>
                      </m:r>
                    </m:sub>
                  </m:sSub>
                </m:e>
              </m:mr>
              <m:mr>
                <m:e>
                  <m:sSub>
                    <m:sSubPr>
                      <m:ctrlPr>
                        <w:rPr>
                          <w:rFonts w:ascii="Cambria Math" w:hAnsi="Cambria Math"/>
                          <w:i/>
                          <w:sz w:val="24"/>
                        </w:rPr>
                      </m:ctrlPr>
                    </m:sSubPr>
                    <m:e>
                      <m:r>
                        <w:rPr>
                          <w:rFonts w:ascii="Cambria Math" w:hAnsi="Cambria Math"/>
                          <w:sz w:val="24"/>
                        </w:rPr>
                        <m:t>AS</m:t>
                      </m:r>
                    </m:e>
                    <m:sub>
                      <m:r>
                        <w:rPr>
                          <w:rFonts w:ascii="Cambria Math" w:hAnsi="Cambria Math"/>
                          <w:sz w:val="24"/>
                        </w:rPr>
                        <m:t>t-2</m:t>
                      </m:r>
                    </m:sub>
                  </m:sSub>
                </m:e>
              </m:mr>
            </m:m>
          </m:e>
        </m:d>
      </m:oMath>
      <w:r w:rsidR="00400E98">
        <w:rPr>
          <w:rFonts w:hint="eastAsia"/>
          <w:sz w:val="24"/>
        </w:rPr>
        <w:t xml:space="preserve">  </w:t>
      </w:r>
      <w:r w:rsidR="00400E98">
        <w:rPr>
          <w:rFonts w:hint="eastAsia"/>
          <w:sz w:val="24"/>
        </w:rPr>
        <w:t>（</w:t>
      </w:r>
      <w:r w:rsidR="00400E98">
        <w:rPr>
          <w:rFonts w:hint="eastAsia"/>
          <w:sz w:val="24"/>
        </w:rPr>
        <w:t>4</w:t>
      </w:r>
      <w:r w:rsidR="00400E98">
        <w:rPr>
          <w:rFonts w:hint="eastAsia"/>
          <w:sz w:val="24"/>
        </w:rPr>
        <w:t>）</w:t>
      </w:r>
    </w:p>
    <w:p w14:paraId="35F3E75B" w14:textId="77777777" w:rsidR="00400E98" w:rsidRPr="009A1985" w:rsidRDefault="00400E98" w:rsidP="00400E98">
      <w:pPr>
        <w:spacing w:line="360" w:lineRule="auto"/>
        <w:rPr>
          <w:sz w:val="24"/>
        </w:rPr>
      </w:pPr>
      <w:r w:rsidRPr="009A1985">
        <w:rPr>
          <w:sz w:val="24"/>
        </w:rPr>
        <w:lastRenderedPageBreak/>
        <w:t>2.2.3</w:t>
      </w:r>
      <w:r w:rsidRPr="009A1985">
        <w:rPr>
          <w:sz w:val="24"/>
        </w:rPr>
        <w:t>系统稳健性检验</w:t>
      </w:r>
    </w:p>
    <w:p w14:paraId="68FF65A6" w14:textId="77777777" w:rsidR="00400E98" w:rsidRDefault="00400E98" w:rsidP="00400E98">
      <w:pPr>
        <w:spacing w:line="360" w:lineRule="auto"/>
        <w:ind w:firstLineChars="200" w:firstLine="480"/>
        <w:rPr>
          <w:sz w:val="24"/>
        </w:rPr>
      </w:pPr>
      <w:r w:rsidRPr="009A1985">
        <w:rPr>
          <w:rFonts w:hint="eastAsia"/>
          <w:sz w:val="24"/>
        </w:rPr>
        <w:t>在构建</w:t>
      </w:r>
      <w:r w:rsidRPr="009A1985">
        <w:rPr>
          <w:sz w:val="24"/>
        </w:rPr>
        <w:t>VAR</w:t>
      </w:r>
      <w:r w:rsidRPr="009A1985">
        <w:rPr>
          <w:sz w:val="24"/>
        </w:rPr>
        <w:t>模型之后，若模型内所有根模的倒数均</w:t>
      </w:r>
      <w:r w:rsidRPr="009A1985">
        <w:rPr>
          <w:rFonts w:hint="eastAsia"/>
          <w:sz w:val="24"/>
        </w:rPr>
        <w:t>不足</w:t>
      </w:r>
      <w:r w:rsidRPr="009A1985">
        <w:rPr>
          <w:sz w:val="24"/>
        </w:rPr>
        <w:t>1</w:t>
      </w:r>
      <w:r w:rsidRPr="009A1985">
        <w:rPr>
          <w:sz w:val="24"/>
        </w:rPr>
        <w:t>（即位于单位圆内），则表明</w:t>
      </w:r>
      <w:r w:rsidRPr="009A1985">
        <w:rPr>
          <w:sz w:val="24"/>
        </w:rPr>
        <w:t>VAR</w:t>
      </w:r>
      <w:r w:rsidRPr="009A1985">
        <w:rPr>
          <w:sz w:val="24"/>
        </w:rPr>
        <w:t>系统稳定，能够</w:t>
      </w:r>
      <w:r w:rsidRPr="009A1985">
        <w:rPr>
          <w:rFonts w:hint="eastAsia"/>
          <w:sz w:val="24"/>
        </w:rPr>
        <w:t>开展进一步脉冲响应函数分析及方差分解。学界普遍采用</w:t>
      </w:r>
      <w:r w:rsidRPr="009A1985">
        <w:rPr>
          <w:sz w:val="24"/>
        </w:rPr>
        <w:t>AR</w:t>
      </w:r>
      <w:r w:rsidRPr="009A1985">
        <w:rPr>
          <w:sz w:val="24"/>
        </w:rPr>
        <w:t>特征根图根进行检验</w:t>
      </w:r>
      <w:r w:rsidRPr="009A1985">
        <w:rPr>
          <w:sz w:val="24"/>
        </w:rPr>
        <w:t>VAR</w:t>
      </w:r>
      <w:r w:rsidRPr="009A1985">
        <w:rPr>
          <w:sz w:val="24"/>
        </w:rPr>
        <w:t>系统稳定性，若观察发</w:t>
      </w:r>
      <w:r w:rsidRPr="009A1985">
        <w:rPr>
          <w:rFonts w:hint="eastAsia"/>
          <w:sz w:val="24"/>
        </w:rPr>
        <w:t>现点全部在单位圆内，则表示模型参数通过特征根检验，模型参数具有稳定性</w:t>
      </w:r>
      <w:r w:rsidRPr="009940F6">
        <w:rPr>
          <w:sz w:val="24"/>
          <w:vertAlign w:val="superscript"/>
        </w:rPr>
        <w:t>[25-26]</w:t>
      </w:r>
      <w:r w:rsidRPr="009A1985">
        <w:rPr>
          <w:sz w:val="24"/>
        </w:rPr>
        <w:t>。因此，文章同样使用</w:t>
      </w:r>
      <w:r w:rsidRPr="009A1985">
        <w:rPr>
          <w:sz w:val="24"/>
        </w:rPr>
        <w:t>AR</w:t>
      </w:r>
      <w:r w:rsidRPr="009A1985">
        <w:rPr>
          <w:sz w:val="24"/>
        </w:rPr>
        <w:t>根图</w:t>
      </w:r>
      <w:r w:rsidRPr="009A1985">
        <w:rPr>
          <w:rFonts w:hint="eastAsia"/>
          <w:sz w:val="24"/>
        </w:rPr>
        <w:t>展开检验，</w:t>
      </w:r>
      <w:r w:rsidRPr="009A1985">
        <w:rPr>
          <w:sz w:val="24"/>
        </w:rPr>
        <w:t>VAR</w:t>
      </w:r>
      <w:r w:rsidRPr="009A1985">
        <w:rPr>
          <w:sz w:val="24"/>
        </w:rPr>
        <w:t>模型中</w:t>
      </w:r>
      <w:r w:rsidRPr="009A1985">
        <w:rPr>
          <w:sz w:val="24"/>
        </w:rPr>
        <w:t>AR</w:t>
      </w:r>
      <w:r w:rsidRPr="009A1985">
        <w:rPr>
          <w:sz w:val="24"/>
        </w:rPr>
        <w:t>根图见图</w:t>
      </w:r>
      <w:r w:rsidRPr="009A1985">
        <w:rPr>
          <w:sz w:val="24"/>
        </w:rPr>
        <w:t>1</w:t>
      </w:r>
      <w:r w:rsidRPr="009A1985">
        <w:rPr>
          <w:sz w:val="24"/>
        </w:rPr>
        <w:t>。由图</w:t>
      </w:r>
      <w:r w:rsidRPr="009A1985">
        <w:rPr>
          <w:sz w:val="24"/>
        </w:rPr>
        <w:t>1</w:t>
      </w:r>
      <w:r w:rsidRPr="009A1985">
        <w:rPr>
          <w:sz w:val="24"/>
        </w:rPr>
        <w:t>可知，</w:t>
      </w:r>
      <w:r w:rsidRPr="009A1985">
        <w:rPr>
          <w:rFonts w:hint="eastAsia"/>
          <w:sz w:val="24"/>
        </w:rPr>
        <w:t>图像表明所有单位根的模均落于单位圆中。因此，上述建立的</w:t>
      </w:r>
      <w:r w:rsidRPr="009A1985">
        <w:rPr>
          <w:sz w:val="24"/>
        </w:rPr>
        <w:t>VAR</w:t>
      </w:r>
      <w:r w:rsidRPr="009A1985">
        <w:rPr>
          <w:sz w:val="24"/>
        </w:rPr>
        <w:t>系统稳定。</w:t>
      </w:r>
    </w:p>
    <w:p w14:paraId="28EB781C" w14:textId="77777777" w:rsidR="00400E98" w:rsidRDefault="00400E98" w:rsidP="00400E98">
      <w:pPr>
        <w:spacing w:line="360" w:lineRule="auto"/>
        <w:jc w:val="center"/>
        <w:rPr>
          <w:sz w:val="24"/>
        </w:rPr>
      </w:pPr>
      <w:r>
        <w:rPr>
          <w:noProof/>
        </w:rPr>
        <w:drawing>
          <wp:inline distT="0" distB="0" distL="0" distR="0" wp14:anchorId="01E48C96" wp14:editId="6617EAFF">
            <wp:extent cx="3052706" cy="3219450"/>
            <wp:effectExtent l="0" t="0" r="0" b="0"/>
            <wp:docPr id="717142909" name="图片 717142909"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2909" name="图片 717142909" descr="图表, 图示&#10;&#10;AI 生成的内容可能不正确。"/>
                    <pic:cNvPicPr/>
                  </pic:nvPicPr>
                  <pic:blipFill>
                    <a:blip r:embed="rId14"/>
                    <a:stretch>
                      <a:fillRect/>
                    </a:stretch>
                  </pic:blipFill>
                  <pic:spPr>
                    <a:xfrm>
                      <a:off x="0" y="0"/>
                      <a:ext cx="3067454" cy="3235004"/>
                    </a:xfrm>
                    <a:prstGeom prst="rect">
                      <a:avLst/>
                    </a:prstGeom>
                  </pic:spPr>
                </pic:pic>
              </a:graphicData>
            </a:graphic>
          </wp:inline>
        </w:drawing>
      </w:r>
    </w:p>
    <w:p w14:paraId="6C6B85BD" w14:textId="77777777" w:rsidR="00400E98" w:rsidRPr="009A1985" w:rsidRDefault="00400E98" w:rsidP="00400E98">
      <w:pPr>
        <w:spacing w:line="360" w:lineRule="auto"/>
        <w:rPr>
          <w:sz w:val="24"/>
        </w:rPr>
      </w:pPr>
      <w:r w:rsidRPr="009A1985">
        <w:rPr>
          <w:sz w:val="24"/>
        </w:rPr>
        <w:t>2.3</w:t>
      </w:r>
      <w:r w:rsidRPr="009A1985">
        <w:rPr>
          <w:sz w:val="24"/>
        </w:rPr>
        <w:t>脉冲响应函数</w:t>
      </w:r>
    </w:p>
    <w:p w14:paraId="73F68D02" w14:textId="77777777" w:rsidR="00400E98" w:rsidRDefault="00400E98" w:rsidP="00400E98">
      <w:pPr>
        <w:spacing w:line="360" w:lineRule="auto"/>
        <w:ind w:firstLineChars="200" w:firstLine="480"/>
        <w:rPr>
          <w:sz w:val="24"/>
        </w:rPr>
      </w:pPr>
      <w:r w:rsidRPr="009A1985">
        <w:rPr>
          <w:rFonts w:hint="eastAsia"/>
          <w:sz w:val="24"/>
        </w:rPr>
        <w:t>脉冲响应函数主要用于解析在受到某种因素冲击时模型的动态变化，能够反映随机误差项在添加标准差大小的冲击后对内生变量的具体影响，进一步经由脉冲响应函数表现水产养殖饲料价格波动对养殖成本的脉冲响应，脉冲响应函数见图</w:t>
      </w:r>
      <w:r w:rsidRPr="009A1985">
        <w:rPr>
          <w:sz w:val="24"/>
        </w:rPr>
        <w:t>2</w:t>
      </w:r>
      <w:r w:rsidRPr="009A1985">
        <w:rPr>
          <w:sz w:val="24"/>
        </w:rPr>
        <w:t>。</w:t>
      </w:r>
    </w:p>
    <w:p w14:paraId="548C6E8D" w14:textId="77777777" w:rsidR="00400E98" w:rsidRDefault="00400E98" w:rsidP="00400E98">
      <w:pPr>
        <w:spacing w:line="360" w:lineRule="auto"/>
        <w:ind w:firstLineChars="200" w:firstLine="480"/>
        <w:rPr>
          <w:sz w:val="24"/>
        </w:rPr>
      </w:pPr>
      <w:r w:rsidRPr="009A1985">
        <w:rPr>
          <w:rFonts w:hint="eastAsia"/>
          <w:sz w:val="24"/>
        </w:rPr>
        <w:t>由图</w:t>
      </w:r>
      <w:r w:rsidRPr="009A1985">
        <w:rPr>
          <w:sz w:val="24"/>
        </w:rPr>
        <w:t>2</w:t>
      </w:r>
      <w:r w:rsidRPr="009A1985">
        <w:rPr>
          <w:sz w:val="24"/>
        </w:rPr>
        <w:t>可知，当给予水产养殖饲料价格</w:t>
      </w:r>
      <w:r w:rsidRPr="009A1985">
        <w:rPr>
          <w:sz w:val="24"/>
        </w:rPr>
        <w:t>1</w:t>
      </w:r>
      <w:r w:rsidRPr="009A1985">
        <w:rPr>
          <w:sz w:val="24"/>
        </w:rPr>
        <w:t>个标准差的</w:t>
      </w:r>
      <w:r w:rsidRPr="009A1985">
        <w:rPr>
          <w:rFonts w:hint="eastAsia"/>
          <w:sz w:val="24"/>
        </w:rPr>
        <w:t>正向冲击后，养殖成本由第</w:t>
      </w:r>
      <w:r w:rsidRPr="009A1985">
        <w:rPr>
          <w:sz w:val="24"/>
        </w:rPr>
        <w:t>2</w:t>
      </w:r>
      <w:r w:rsidRPr="009A1985">
        <w:rPr>
          <w:sz w:val="24"/>
        </w:rPr>
        <w:t>期产生</w:t>
      </w:r>
      <w:r w:rsidRPr="009A1985">
        <w:rPr>
          <w:sz w:val="24"/>
        </w:rPr>
        <w:t>0.003</w:t>
      </w:r>
      <w:r w:rsidRPr="009A1985">
        <w:rPr>
          <w:sz w:val="24"/>
        </w:rPr>
        <w:t>的响应开始逐</w:t>
      </w:r>
      <w:r w:rsidRPr="009A1985">
        <w:rPr>
          <w:rFonts w:hint="eastAsia"/>
          <w:sz w:val="24"/>
        </w:rPr>
        <w:t>步抬升，直至第</w:t>
      </w:r>
      <w:r w:rsidRPr="009A1985">
        <w:rPr>
          <w:sz w:val="24"/>
        </w:rPr>
        <w:t>7</w:t>
      </w:r>
      <w:r w:rsidRPr="009A1985">
        <w:rPr>
          <w:sz w:val="24"/>
        </w:rPr>
        <w:t>期达到巅峰响应值</w:t>
      </w:r>
      <w:r w:rsidRPr="009A1985">
        <w:rPr>
          <w:sz w:val="24"/>
        </w:rPr>
        <w:t>0.008</w:t>
      </w:r>
      <w:r w:rsidRPr="009A1985">
        <w:rPr>
          <w:sz w:val="24"/>
        </w:rPr>
        <w:t>。随后养殖成</w:t>
      </w:r>
      <w:r w:rsidRPr="009A1985">
        <w:rPr>
          <w:rFonts w:hint="eastAsia"/>
          <w:sz w:val="24"/>
        </w:rPr>
        <w:t>本的相应曲线渐趋下落，并在</w:t>
      </w:r>
      <w:r w:rsidRPr="009A1985">
        <w:rPr>
          <w:sz w:val="24"/>
        </w:rPr>
        <w:t>24</w:t>
      </w:r>
      <w:r w:rsidRPr="009A1985">
        <w:rPr>
          <w:sz w:val="24"/>
        </w:rPr>
        <w:t>个月之后无限趋近于</w:t>
      </w:r>
      <w:r w:rsidRPr="009A1985">
        <w:rPr>
          <w:sz w:val="24"/>
        </w:rPr>
        <w:t>0</w:t>
      </w:r>
      <w:r w:rsidRPr="009A1985">
        <w:rPr>
          <w:sz w:val="24"/>
        </w:rPr>
        <w:t>，</w:t>
      </w:r>
      <w:r w:rsidRPr="009A1985">
        <w:rPr>
          <w:rFonts w:hint="eastAsia"/>
          <w:sz w:val="24"/>
        </w:rPr>
        <w:t>水产养殖饲料价格对养殖成本的影响几乎消失。由此可以推断，水产养殖饲料价格增长将使得养殖成本上升</w:t>
      </w:r>
      <w:r w:rsidRPr="009940F6">
        <w:rPr>
          <w:sz w:val="24"/>
          <w:vertAlign w:val="superscript"/>
        </w:rPr>
        <w:t>[27]</w:t>
      </w:r>
      <w:r w:rsidRPr="009A1985">
        <w:rPr>
          <w:sz w:val="24"/>
        </w:rPr>
        <w:t>。</w:t>
      </w:r>
      <w:r w:rsidRPr="009A1985">
        <w:rPr>
          <w:rFonts w:hint="eastAsia"/>
          <w:sz w:val="24"/>
        </w:rPr>
        <w:t>当水产养殖饲料价格增加时，在养殖规模不变的情况下，养殖户购买饲料所用的资金投入有所增加，这将引起养殖成本提升</w:t>
      </w:r>
      <w:r w:rsidRPr="009940F6">
        <w:rPr>
          <w:sz w:val="24"/>
          <w:vertAlign w:val="superscript"/>
        </w:rPr>
        <w:t>[28]</w:t>
      </w:r>
      <w:r w:rsidRPr="009A1985">
        <w:rPr>
          <w:sz w:val="24"/>
        </w:rPr>
        <w:t>。由于价格变化波动对养殖成本的影响存</w:t>
      </w:r>
      <w:r w:rsidRPr="009A1985">
        <w:rPr>
          <w:rFonts w:hint="eastAsia"/>
          <w:sz w:val="24"/>
        </w:rPr>
        <w:t>在时间滞后性，响应大小在第</w:t>
      </w:r>
      <w:r w:rsidRPr="009A1985">
        <w:rPr>
          <w:sz w:val="24"/>
        </w:rPr>
        <w:t>7</w:t>
      </w:r>
      <w:r w:rsidRPr="009A1985">
        <w:rPr>
          <w:sz w:val="24"/>
        </w:rPr>
        <w:t>期响应达到最高值具有</w:t>
      </w:r>
      <w:r w:rsidRPr="009A1985">
        <w:rPr>
          <w:rFonts w:hint="eastAsia"/>
          <w:sz w:val="24"/>
        </w:rPr>
        <w:t>合理性。</w:t>
      </w:r>
    </w:p>
    <w:p w14:paraId="2A79F58F" w14:textId="77777777" w:rsidR="00400E98" w:rsidRDefault="00400E98" w:rsidP="00400E98">
      <w:pPr>
        <w:spacing w:line="360" w:lineRule="auto"/>
        <w:jc w:val="center"/>
        <w:rPr>
          <w:sz w:val="24"/>
        </w:rPr>
      </w:pPr>
      <w:r>
        <w:rPr>
          <w:noProof/>
        </w:rPr>
        <w:lastRenderedPageBreak/>
        <w:drawing>
          <wp:inline distT="0" distB="0" distL="0" distR="0" wp14:anchorId="5B3323BE" wp14:editId="5F8956AD">
            <wp:extent cx="3706016" cy="2438400"/>
            <wp:effectExtent l="0" t="0" r="8890" b="0"/>
            <wp:docPr id="5"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AI 生成的内容可能不正确。"/>
                    <pic:cNvPicPr/>
                  </pic:nvPicPr>
                  <pic:blipFill>
                    <a:blip r:embed="rId15"/>
                    <a:stretch>
                      <a:fillRect/>
                    </a:stretch>
                  </pic:blipFill>
                  <pic:spPr>
                    <a:xfrm>
                      <a:off x="0" y="0"/>
                      <a:ext cx="3708780" cy="2440219"/>
                    </a:xfrm>
                    <a:prstGeom prst="rect">
                      <a:avLst/>
                    </a:prstGeom>
                  </pic:spPr>
                </pic:pic>
              </a:graphicData>
            </a:graphic>
          </wp:inline>
        </w:drawing>
      </w:r>
    </w:p>
    <w:p w14:paraId="23CE3CBA" w14:textId="77777777" w:rsidR="00400E98" w:rsidRPr="009A1985" w:rsidRDefault="00400E98" w:rsidP="00400E98">
      <w:pPr>
        <w:spacing w:line="360" w:lineRule="auto"/>
        <w:rPr>
          <w:sz w:val="24"/>
        </w:rPr>
      </w:pPr>
      <w:r w:rsidRPr="009A1985">
        <w:rPr>
          <w:sz w:val="24"/>
        </w:rPr>
        <w:t>2.4</w:t>
      </w:r>
      <w:r w:rsidRPr="009A1985">
        <w:rPr>
          <w:sz w:val="24"/>
        </w:rPr>
        <w:t>养殖成本方差分解</w:t>
      </w:r>
    </w:p>
    <w:p w14:paraId="39FC73E0" w14:textId="77777777" w:rsidR="00400E98" w:rsidRDefault="00400E98" w:rsidP="00400E98">
      <w:pPr>
        <w:spacing w:line="360" w:lineRule="auto"/>
        <w:ind w:firstLineChars="200" w:firstLine="480"/>
        <w:rPr>
          <w:sz w:val="24"/>
        </w:rPr>
      </w:pPr>
      <w:r w:rsidRPr="009A1985">
        <w:rPr>
          <w:rFonts w:hint="eastAsia"/>
          <w:sz w:val="24"/>
        </w:rPr>
        <w:t>方差分解能够就每一结构冲击对内生变量的贡献程度进行分析，以此评价不同结构冲击对内生变量的重要性</w:t>
      </w:r>
      <w:r w:rsidRPr="009940F6">
        <w:rPr>
          <w:sz w:val="24"/>
          <w:vertAlign w:val="superscript"/>
        </w:rPr>
        <w:t>[29]</w:t>
      </w:r>
      <w:r w:rsidRPr="009A1985">
        <w:rPr>
          <w:sz w:val="24"/>
        </w:rPr>
        <w:t>。因此，借助方差分解法就前文构建的</w:t>
      </w:r>
      <w:r w:rsidRPr="009A1985">
        <w:rPr>
          <w:sz w:val="24"/>
        </w:rPr>
        <w:t>VAR</w:t>
      </w:r>
      <w:r w:rsidRPr="009A1985">
        <w:rPr>
          <w:sz w:val="24"/>
        </w:rPr>
        <w:t>（</w:t>
      </w:r>
      <w:r w:rsidRPr="009A1985">
        <w:rPr>
          <w:sz w:val="24"/>
        </w:rPr>
        <w:t>2</w:t>
      </w:r>
      <w:r w:rsidRPr="009A1985">
        <w:rPr>
          <w:sz w:val="24"/>
        </w:rPr>
        <w:t>）模</w:t>
      </w:r>
      <w:r w:rsidRPr="009A1985">
        <w:rPr>
          <w:rFonts w:hint="eastAsia"/>
          <w:sz w:val="24"/>
        </w:rPr>
        <w:t>型对变量间影响作用展开定量研究，养殖成本方差分解见表</w:t>
      </w:r>
      <w:r w:rsidRPr="009A1985">
        <w:rPr>
          <w:sz w:val="24"/>
        </w:rPr>
        <w:t>4</w:t>
      </w:r>
      <w:r w:rsidRPr="009A1985">
        <w:rPr>
          <w:sz w:val="24"/>
        </w:rPr>
        <w:t>。</w:t>
      </w:r>
    </w:p>
    <w:p w14:paraId="24F63D15" w14:textId="77777777" w:rsidR="00400E98" w:rsidRDefault="00400E98" w:rsidP="00400E98">
      <w:pPr>
        <w:spacing w:line="360" w:lineRule="auto"/>
        <w:ind w:firstLineChars="200" w:firstLine="480"/>
        <w:rPr>
          <w:sz w:val="24"/>
        </w:rPr>
      </w:pPr>
      <w:r w:rsidRPr="009A1985">
        <w:rPr>
          <w:rFonts w:hint="eastAsia"/>
          <w:sz w:val="24"/>
        </w:rPr>
        <w:t>由表</w:t>
      </w:r>
      <w:r w:rsidRPr="009A1985">
        <w:rPr>
          <w:sz w:val="24"/>
        </w:rPr>
        <w:t>4</w:t>
      </w:r>
      <w:r w:rsidRPr="009A1985">
        <w:rPr>
          <w:sz w:val="24"/>
        </w:rPr>
        <w:t>可知，养殖成本自身贡献率最大，在第</w:t>
      </w:r>
      <w:r w:rsidRPr="009A1985">
        <w:rPr>
          <w:sz w:val="24"/>
        </w:rPr>
        <w:t>10</w:t>
      </w:r>
      <w:r w:rsidRPr="009A1985">
        <w:rPr>
          <w:sz w:val="24"/>
        </w:rPr>
        <w:t>期</w:t>
      </w:r>
      <w:r w:rsidRPr="009A1985">
        <w:rPr>
          <w:rFonts w:hint="eastAsia"/>
          <w:sz w:val="24"/>
        </w:rPr>
        <w:t>达到最小值</w:t>
      </w:r>
      <w:r>
        <w:rPr>
          <w:sz w:val="24"/>
        </w:rPr>
        <w:t>91.553</w:t>
      </w:r>
      <w:r w:rsidRPr="009A1985">
        <w:rPr>
          <w:sz w:val="24"/>
        </w:rPr>
        <w:t>0%</w:t>
      </w:r>
      <w:r w:rsidRPr="009A1985">
        <w:rPr>
          <w:sz w:val="24"/>
        </w:rPr>
        <w:t>。水产养殖饲料价格对养殖成本的</w:t>
      </w:r>
      <w:r w:rsidRPr="009A1985">
        <w:rPr>
          <w:rFonts w:hint="eastAsia"/>
          <w:sz w:val="24"/>
        </w:rPr>
        <w:t>贡献率存有一定滞后性，并由第</w:t>
      </w:r>
      <w:r w:rsidRPr="009A1985">
        <w:rPr>
          <w:sz w:val="24"/>
        </w:rPr>
        <w:t>2</w:t>
      </w:r>
      <w:r w:rsidRPr="009A1985">
        <w:rPr>
          <w:sz w:val="24"/>
        </w:rPr>
        <w:t>期开始显现，在第</w:t>
      </w:r>
      <w:r w:rsidRPr="009A1985">
        <w:rPr>
          <w:sz w:val="24"/>
        </w:rPr>
        <w:t>9</w:t>
      </w:r>
      <w:r w:rsidRPr="009A1985">
        <w:rPr>
          <w:sz w:val="24"/>
        </w:rPr>
        <w:t>期</w:t>
      </w:r>
      <w:r w:rsidRPr="009A1985">
        <w:rPr>
          <w:rFonts w:hint="eastAsia"/>
          <w:sz w:val="24"/>
        </w:rPr>
        <w:t>达到最大值</w:t>
      </w:r>
      <w:r>
        <w:rPr>
          <w:sz w:val="24"/>
        </w:rPr>
        <w:t>8.232</w:t>
      </w:r>
      <w:r w:rsidRPr="009A1985">
        <w:rPr>
          <w:sz w:val="24"/>
        </w:rPr>
        <w:t>0%</w:t>
      </w:r>
      <w:r w:rsidRPr="009A1985">
        <w:rPr>
          <w:sz w:val="24"/>
        </w:rPr>
        <w:t>，随后开始缓慢降低，</w:t>
      </w:r>
      <w:r w:rsidRPr="009A1985">
        <w:rPr>
          <w:sz w:val="24"/>
        </w:rPr>
        <w:t>24</w:t>
      </w:r>
      <w:r w:rsidRPr="009A1985">
        <w:rPr>
          <w:sz w:val="24"/>
        </w:rPr>
        <w:t>个月后仍</w:t>
      </w:r>
      <w:r w:rsidRPr="009A1985">
        <w:rPr>
          <w:rFonts w:hint="eastAsia"/>
          <w:sz w:val="24"/>
        </w:rPr>
        <w:t>有</w:t>
      </w:r>
      <w:r>
        <w:rPr>
          <w:sz w:val="24"/>
        </w:rPr>
        <w:t>6.884</w:t>
      </w:r>
      <w:r w:rsidRPr="009A1985">
        <w:rPr>
          <w:sz w:val="24"/>
        </w:rPr>
        <w:t>9%</w:t>
      </w:r>
      <w:r w:rsidRPr="009A1985">
        <w:rPr>
          <w:sz w:val="24"/>
        </w:rPr>
        <w:t>的贡献率。细究其因，水产养殖成本中人工</w:t>
      </w:r>
      <w:r w:rsidRPr="009A1985">
        <w:rPr>
          <w:rFonts w:hint="eastAsia"/>
          <w:sz w:val="24"/>
        </w:rPr>
        <w:t>与饲料投入占整体养殖成本</w:t>
      </w:r>
      <w:r w:rsidRPr="009A1985">
        <w:rPr>
          <w:sz w:val="24"/>
        </w:rPr>
        <w:t>60%</w:t>
      </w:r>
      <w:r w:rsidRPr="009940F6">
        <w:rPr>
          <w:sz w:val="24"/>
          <w:vertAlign w:val="superscript"/>
        </w:rPr>
        <w:t>[30]</w:t>
      </w:r>
      <w:r w:rsidRPr="009A1985">
        <w:rPr>
          <w:sz w:val="24"/>
        </w:rPr>
        <w:t>。由此可见，水产饲</w:t>
      </w:r>
      <w:r w:rsidRPr="009A1985">
        <w:rPr>
          <w:rFonts w:hint="eastAsia"/>
          <w:sz w:val="24"/>
        </w:rPr>
        <w:t>料价格波动对养殖成本具有显著而直接的影响。因此，稳定水产饲料价格也有助于水产养殖行业、水产品加工等相关产业的发展，属于水产行业高质量发展的决定性因素。</w:t>
      </w:r>
    </w:p>
    <w:p w14:paraId="159206E7" w14:textId="77777777" w:rsidR="00400E98" w:rsidRDefault="00400E98" w:rsidP="00400E98">
      <w:pPr>
        <w:spacing w:line="360" w:lineRule="auto"/>
        <w:jc w:val="center"/>
        <w:rPr>
          <w:sz w:val="24"/>
        </w:rPr>
      </w:pPr>
      <w:r>
        <w:rPr>
          <w:noProof/>
        </w:rPr>
        <w:drawing>
          <wp:inline distT="0" distB="0" distL="0" distR="0" wp14:anchorId="14B07115" wp14:editId="18B4B9F9">
            <wp:extent cx="3421472" cy="3114675"/>
            <wp:effectExtent l="0" t="0" r="7620" b="0"/>
            <wp:docPr id="6" name="图片 6"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格&#10;&#10;AI 生成的内容可能不正确。"/>
                    <pic:cNvPicPr/>
                  </pic:nvPicPr>
                  <pic:blipFill>
                    <a:blip r:embed="rId16"/>
                    <a:stretch>
                      <a:fillRect/>
                    </a:stretch>
                  </pic:blipFill>
                  <pic:spPr>
                    <a:xfrm>
                      <a:off x="0" y="0"/>
                      <a:ext cx="3436372" cy="3128239"/>
                    </a:xfrm>
                    <a:prstGeom prst="rect">
                      <a:avLst/>
                    </a:prstGeom>
                  </pic:spPr>
                </pic:pic>
              </a:graphicData>
            </a:graphic>
          </wp:inline>
        </w:drawing>
      </w:r>
    </w:p>
    <w:p w14:paraId="1E1F8F35" w14:textId="77777777" w:rsidR="00400E98" w:rsidRPr="009A1985" w:rsidRDefault="00400E98" w:rsidP="00400E98">
      <w:pPr>
        <w:spacing w:line="360" w:lineRule="auto"/>
        <w:rPr>
          <w:sz w:val="24"/>
        </w:rPr>
      </w:pPr>
      <w:r w:rsidRPr="009A1985">
        <w:rPr>
          <w:sz w:val="24"/>
        </w:rPr>
        <w:lastRenderedPageBreak/>
        <w:t>3</w:t>
      </w:r>
      <w:r w:rsidRPr="009A1985">
        <w:rPr>
          <w:sz w:val="24"/>
        </w:rPr>
        <w:t>结论</w:t>
      </w:r>
    </w:p>
    <w:p w14:paraId="3BC59C13" w14:textId="77777777" w:rsidR="00400E98" w:rsidRDefault="00400E98" w:rsidP="00400E98">
      <w:pPr>
        <w:spacing w:line="360" w:lineRule="auto"/>
        <w:ind w:firstLineChars="200" w:firstLine="480"/>
        <w:rPr>
          <w:sz w:val="24"/>
        </w:rPr>
      </w:pPr>
      <w:r w:rsidRPr="009A1985">
        <w:rPr>
          <w:rFonts w:hint="eastAsia"/>
          <w:sz w:val="24"/>
        </w:rPr>
        <w:t>对于水产养殖业而言，稳定水产饲料价格是减少水产养殖成本的重要手段。基于</w:t>
      </w:r>
      <w:r w:rsidRPr="009A1985">
        <w:rPr>
          <w:sz w:val="24"/>
        </w:rPr>
        <w:t>2015</w:t>
      </w:r>
      <w:r w:rsidRPr="009A1985">
        <w:rPr>
          <w:sz w:val="24"/>
        </w:rPr>
        <w:t>年</w:t>
      </w:r>
      <w:r w:rsidRPr="009A1985">
        <w:rPr>
          <w:sz w:val="24"/>
        </w:rPr>
        <w:t>1</w:t>
      </w:r>
      <w:r w:rsidRPr="009A1985">
        <w:rPr>
          <w:sz w:val="24"/>
        </w:rPr>
        <w:t>月</w:t>
      </w:r>
      <w:r w:rsidRPr="009A1985">
        <w:rPr>
          <w:sz w:val="24"/>
        </w:rPr>
        <w:t>—2023</w:t>
      </w:r>
      <w:r w:rsidRPr="009A1985">
        <w:rPr>
          <w:sz w:val="24"/>
        </w:rPr>
        <w:t>年</w:t>
      </w:r>
      <w:r w:rsidRPr="009A1985">
        <w:rPr>
          <w:sz w:val="24"/>
        </w:rPr>
        <w:t>1</w:t>
      </w:r>
      <w:r w:rsidRPr="009A1985">
        <w:rPr>
          <w:sz w:val="24"/>
        </w:rPr>
        <w:t>月</w:t>
      </w:r>
      <w:r w:rsidRPr="009A1985">
        <w:rPr>
          <w:rFonts w:hint="eastAsia"/>
          <w:sz w:val="24"/>
        </w:rPr>
        <w:t>的月度数据，利用</w:t>
      </w:r>
      <w:r w:rsidRPr="009A1985">
        <w:rPr>
          <w:sz w:val="24"/>
        </w:rPr>
        <w:t>VAR</w:t>
      </w:r>
      <w:r w:rsidRPr="009A1985">
        <w:rPr>
          <w:sz w:val="24"/>
        </w:rPr>
        <w:t>模型、脉冲响应函数、方差分解</w:t>
      </w:r>
      <w:r w:rsidRPr="009A1985">
        <w:rPr>
          <w:rFonts w:hint="eastAsia"/>
          <w:sz w:val="24"/>
        </w:rPr>
        <w:t>法探析水产饲料价格波动对养殖成本的影响。结果表明：第一，实证测算水产饲料价格波动与养殖成本关系后可发现，水产饲料价格波动与养殖成本之间存在协整关系，即水产饲料价格与养殖成本之间存在联动关系。第二，估计协整方程可发现，水产饲料价格与养殖成本呈正相关，且两者之间的联动关系长期存在。第三，水产饲料价格对养殖成本冲击的响应期约为</w:t>
      </w:r>
      <w:r w:rsidRPr="009A1985">
        <w:rPr>
          <w:sz w:val="24"/>
        </w:rPr>
        <w:t>24</w:t>
      </w:r>
      <w:r w:rsidRPr="009A1985">
        <w:rPr>
          <w:sz w:val="24"/>
        </w:rPr>
        <w:t>个月，此后水产饲</w:t>
      </w:r>
      <w:r w:rsidRPr="009A1985">
        <w:rPr>
          <w:rFonts w:hint="eastAsia"/>
          <w:sz w:val="24"/>
        </w:rPr>
        <w:t>料价格对养殖成本的贡献率约为</w:t>
      </w:r>
      <w:r>
        <w:rPr>
          <w:sz w:val="24"/>
        </w:rPr>
        <w:t>6.884</w:t>
      </w:r>
      <w:r w:rsidRPr="009A1985">
        <w:rPr>
          <w:sz w:val="24"/>
        </w:rPr>
        <w:t>9%</w:t>
      </w:r>
      <w:r w:rsidRPr="009A1985">
        <w:rPr>
          <w:sz w:val="24"/>
        </w:rPr>
        <w:t>，这说明水产</w:t>
      </w:r>
      <w:r w:rsidRPr="009A1985">
        <w:rPr>
          <w:rFonts w:hint="eastAsia"/>
          <w:sz w:val="24"/>
        </w:rPr>
        <w:t>饲料价格总水平的上涨平均在</w:t>
      </w:r>
      <w:r w:rsidRPr="009A1985">
        <w:rPr>
          <w:sz w:val="24"/>
        </w:rPr>
        <w:t>24</w:t>
      </w:r>
      <w:r w:rsidRPr="009A1985">
        <w:rPr>
          <w:sz w:val="24"/>
        </w:rPr>
        <w:t>个月后内传导至养殖成</w:t>
      </w:r>
      <w:r w:rsidRPr="009A1985">
        <w:rPr>
          <w:rFonts w:hint="eastAsia"/>
          <w:sz w:val="24"/>
        </w:rPr>
        <w:t>本层面，并带动整体水产养殖成本水平发生上涨。第四，方差分解结果显示，水产饲料价格对水产养殖成本的贡献较高，再次证明水产饲料价格波动是影响养殖成本的重要因素。因此，相关行业企业应从以下方面切入，稳定水产品饲料价格、降低养殖成本，推进水产行业的进一步发展。第一，水产养殖主体应积极与农业部门开展技术合作，重点设立鱼粉、谷物原料等水产饲料的价格预警指标，以此观测水产饲料价格变化，自主调节生产经营策略。第二，水产养殖企业之间应构建“以大带小”利益联结机制，将自动化生产、标准化管理、数字化养殖的生产经营范式通过学习合作渗透至中小养殖场（户）内部，以此发挥一体化的规模经济效应，强化水产行业整体竞争力。</w:t>
      </w:r>
    </w:p>
    <w:p w14:paraId="27016B1B" w14:textId="77777777" w:rsidR="00400E98" w:rsidRPr="00C133DA" w:rsidRDefault="00400E98" w:rsidP="00400E98">
      <w:pPr>
        <w:spacing w:line="360" w:lineRule="auto"/>
        <w:rPr>
          <w:sz w:val="24"/>
        </w:rPr>
      </w:pPr>
      <w:r w:rsidRPr="00C133DA">
        <w:rPr>
          <w:sz w:val="24"/>
        </w:rPr>
        <w:t>参考文献：略</w:t>
      </w:r>
    </w:p>
    <w:p w14:paraId="7623DC4E" w14:textId="04E2C65C" w:rsidR="00FD661E" w:rsidRDefault="00400E98" w:rsidP="00FD661E">
      <w:pPr>
        <w:wordWrap w:val="0"/>
        <w:spacing w:line="360" w:lineRule="auto"/>
        <w:ind w:firstLineChars="200" w:firstLine="420"/>
        <w:jc w:val="right"/>
        <w:rPr>
          <w:sz w:val="24"/>
        </w:rPr>
      </w:pPr>
      <w:r w:rsidRPr="00C133DA">
        <w:rPr>
          <w:szCs w:val="21"/>
        </w:rPr>
        <w:t>原文刊登在《</w:t>
      </w:r>
      <w:r w:rsidRPr="008D15CF">
        <w:rPr>
          <w:rFonts w:hint="eastAsia"/>
          <w:szCs w:val="21"/>
        </w:rPr>
        <w:t>饲料</w:t>
      </w:r>
      <w:r w:rsidR="00E27993">
        <w:rPr>
          <w:rFonts w:hint="eastAsia"/>
          <w:szCs w:val="21"/>
        </w:rPr>
        <w:t>研究</w:t>
      </w:r>
      <w:r w:rsidRPr="00C133DA">
        <w:rPr>
          <w:szCs w:val="21"/>
        </w:rPr>
        <w:t>》</w:t>
      </w:r>
      <w:bookmarkStart w:id="41" w:name="_Toc219244796"/>
      <w:r w:rsidR="00FD661E" w:rsidRPr="009F0619">
        <w:rPr>
          <w:rFonts w:hint="eastAsia"/>
          <w:sz w:val="24"/>
        </w:rPr>
        <w:t>2025</w:t>
      </w:r>
      <w:r w:rsidR="00FD661E" w:rsidRPr="009F0619">
        <w:rPr>
          <w:rFonts w:hint="eastAsia"/>
          <w:sz w:val="24"/>
        </w:rPr>
        <w:t>年第</w:t>
      </w:r>
      <w:r w:rsidR="00E27993">
        <w:rPr>
          <w:rFonts w:hint="eastAsia"/>
          <w:sz w:val="24"/>
        </w:rPr>
        <w:t>2</w:t>
      </w:r>
      <w:r w:rsidR="00FD661E" w:rsidRPr="009F0619">
        <w:rPr>
          <w:rFonts w:hint="eastAsia"/>
          <w:sz w:val="24"/>
        </w:rPr>
        <w:t>期</w:t>
      </w:r>
    </w:p>
    <w:p w14:paraId="0B946D26" w14:textId="5181A856" w:rsidR="00121328" w:rsidRDefault="00121328" w:rsidP="00C116A1">
      <w:pPr>
        <w:spacing w:line="360" w:lineRule="auto"/>
        <w:ind w:right="641"/>
        <w:outlineLvl w:val="0"/>
        <w:rPr>
          <w:rFonts w:eastAsia="黑体"/>
          <w:b/>
          <w:bCs/>
          <w:sz w:val="32"/>
          <w:szCs w:val="32"/>
          <w:bdr w:val="single" w:sz="4" w:space="0" w:color="auto"/>
        </w:rPr>
      </w:pPr>
      <w:bookmarkStart w:id="42" w:name="_Toc220673117"/>
      <w:r w:rsidRPr="00613669">
        <w:rPr>
          <w:rFonts w:eastAsia="黑体"/>
          <w:b/>
          <w:bCs/>
          <w:sz w:val="32"/>
          <w:szCs w:val="32"/>
          <w:bdr w:val="single" w:sz="4" w:space="0" w:color="auto"/>
        </w:rPr>
        <w:t>饲料研发</w:t>
      </w:r>
      <w:bookmarkEnd w:id="41"/>
      <w:bookmarkEnd w:id="42"/>
    </w:p>
    <w:p w14:paraId="07385476" w14:textId="77777777" w:rsidR="002F2B2B" w:rsidRDefault="00400E98" w:rsidP="00C116A1">
      <w:pPr>
        <w:jc w:val="center"/>
        <w:outlineLvl w:val="1"/>
        <w:rPr>
          <w:rFonts w:eastAsia="黑体"/>
          <w:b/>
          <w:bCs/>
          <w:sz w:val="32"/>
          <w:szCs w:val="32"/>
        </w:rPr>
      </w:pPr>
      <w:bookmarkStart w:id="43" w:name="_Toc220673118"/>
      <w:r>
        <w:rPr>
          <w:rFonts w:eastAsia="黑体"/>
          <w:b/>
          <w:bCs/>
          <w:sz w:val="32"/>
          <w:szCs w:val="32"/>
        </w:rPr>
        <w:t>棉籽浓缩蛋白替代鱼粉对大鳞副泥鳅生长性能抗氧化能力、</w:t>
      </w:r>
    </w:p>
    <w:p w14:paraId="31014E2E" w14:textId="3FC5180C" w:rsidR="00400E98" w:rsidRDefault="00400E98" w:rsidP="00C116A1">
      <w:pPr>
        <w:jc w:val="center"/>
        <w:outlineLvl w:val="1"/>
        <w:rPr>
          <w:rFonts w:eastAsia="黑体"/>
          <w:b/>
          <w:bCs/>
          <w:sz w:val="32"/>
          <w:szCs w:val="32"/>
        </w:rPr>
      </w:pPr>
      <w:r>
        <w:rPr>
          <w:rFonts w:eastAsia="黑体"/>
          <w:b/>
          <w:bCs/>
          <w:sz w:val="32"/>
          <w:szCs w:val="32"/>
        </w:rPr>
        <w:t>免疫功能和肠道健康的影响</w:t>
      </w:r>
      <w:bookmarkEnd w:id="43"/>
    </w:p>
    <w:p w14:paraId="1A2105CB" w14:textId="77777777" w:rsidR="00400E98" w:rsidRDefault="00400E98" w:rsidP="00400E98">
      <w:pPr>
        <w:jc w:val="center"/>
        <w:rPr>
          <w:szCs w:val="21"/>
        </w:rPr>
      </w:pPr>
      <w:r>
        <w:rPr>
          <w:szCs w:val="21"/>
        </w:rPr>
        <w:t>陈琪</w:t>
      </w:r>
      <w:r>
        <w:rPr>
          <w:szCs w:val="21"/>
          <w:vertAlign w:val="superscript"/>
        </w:rPr>
        <w:t>1,2</w:t>
      </w:r>
      <w:r>
        <w:rPr>
          <w:szCs w:val="21"/>
        </w:rPr>
        <w:t>李佑杰</w:t>
      </w:r>
      <w:r>
        <w:rPr>
          <w:szCs w:val="21"/>
          <w:vertAlign w:val="superscript"/>
        </w:rPr>
        <w:t>1,2</w:t>
      </w:r>
      <w:r>
        <w:rPr>
          <w:szCs w:val="21"/>
        </w:rPr>
        <w:t>袁志文</w:t>
      </w:r>
      <w:r>
        <w:rPr>
          <w:szCs w:val="21"/>
          <w:vertAlign w:val="superscript"/>
        </w:rPr>
        <w:t>1,2</w:t>
      </w:r>
      <w:r>
        <w:rPr>
          <w:szCs w:val="21"/>
        </w:rPr>
        <w:t>潘杰</w:t>
      </w:r>
      <w:r>
        <w:rPr>
          <w:szCs w:val="21"/>
          <w:vertAlign w:val="superscript"/>
        </w:rPr>
        <w:t>1,2</w:t>
      </w:r>
      <w:r>
        <w:rPr>
          <w:szCs w:val="21"/>
        </w:rPr>
        <w:t>李雅萍</w:t>
      </w:r>
      <w:r>
        <w:rPr>
          <w:szCs w:val="21"/>
          <w:vertAlign w:val="superscript"/>
        </w:rPr>
        <w:t>1,2</w:t>
      </w:r>
      <w:r>
        <w:rPr>
          <w:szCs w:val="21"/>
        </w:rPr>
        <w:t>余传启</w:t>
      </w:r>
      <w:r>
        <w:rPr>
          <w:szCs w:val="21"/>
          <w:vertAlign w:val="superscript"/>
        </w:rPr>
        <w:t>1,2</w:t>
      </w:r>
      <w:r>
        <w:rPr>
          <w:szCs w:val="21"/>
        </w:rPr>
        <w:t>张亚洲</w:t>
      </w:r>
      <w:r>
        <w:rPr>
          <w:szCs w:val="21"/>
          <w:vertAlign w:val="superscript"/>
        </w:rPr>
        <w:t>1,2</w:t>
      </w:r>
      <w:r>
        <w:rPr>
          <w:szCs w:val="21"/>
        </w:rPr>
        <w:t>周秋白</w:t>
      </w:r>
      <w:r>
        <w:rPr>
          <w:szCs w:val="21"/>
          <w:vertAlign w:val="superscript"/>
        </w:rPr>
        <w:t>1,2*</w:t>
      </w:r>
      <w:r>
        <w:rPr>
          <w:szCs w:val="21"/>
        </w:rPr>
        <w:t>王自蕊</w:t>
      </w:r>
      <w:r>
        <w:rPr>
          <w:szCs w:val="21"/>
          <w:vertAlign w:val="superscript"/>
        </w:rPr>
        <w:t>1,2*</w:t>
      </w:r>
    </w:p>
    <w:p w14:paraId="7FE7F05E" w14:textId="77777777" w:rsidR="00400E98" w:rsidRDefault="00400E98" w:rsidP="00400E98">
      <w:pPr>
        <w:jc w:val="center"/>
        <w:rPr>
          <w:szCs w:val="21"/>
        </w:rPr>
      </w:pPr>
      <w:r>
        <w:rPr>
          <w:szCs w:val="21"/>
        </w:rPr>
        <w:t>（</w:t>
      </w:r>
      <w:r>
        <w:rPr>
          <w:szCs w:val="21"/>
        </w:rPr>
        <w:t>1.</w:t>
      </w:r>
      <w:r>
        <w:rPr>
          <w:szCs w:val="21"/>
        </w:rPr>
        <w:t>江西农业大学动物科学技术学院，南昌</w:t>
      </w:r>
      <w:r>
        <w:rPr>
          <w:szCs w:val="21"/>
        </w:rPr>
        <w:t>330045</w:t>
      </w:r>
      <w:r>
        <w:rPr>
          <w:szCs w:val="21"/>
        </w:rPr>
        <w:t>：</w:t>
      </w:r>
      <w:r>
        <w:rPr>
          <w:szCs w:val="21"/>
        </w:rPr>
        <w:t>2.</w:t>
      </w:r>
      <w:r>
        <w:rPr>
          <w:szCs w:val="21"/>
        </w:rPr>
        <w:t>南昌市特色水生生物营养生理与健康养殖重点实验室，南昌</w:t>
      </w:r>
      <w:r>
        <w:rPr>
          <w:szCs w:val="21"/>
        </w:rPr>
        <w:t>330045)</w:t>
      </w:r>
    </w:p>
    <w:p w14:paraId="335E1269" w14:textId="15E89717" w:rsidR="00400E98" w:rsidRDefault="00400E98" w:rsidP="00E27993">
      <w:pPr>
        <w:autoSpaceDE w:val="0"/>
        <w:rPr>
          <w:szCs w:val="21"/>
        </w:rPr>
      </w:pPr>
      <w:r>
        <w:rPr>
          <w:b/>
          <w:bCs/>
          <w:szCs w:val="21"/>
        </w:rPr>
        <w:t>摘要：</w:t>
      </w:r>
      <w:r>
        <w:rPr>
          <w:szCs w:val="21"/>
        </w:rPr>
        <w:t>本试验旨在研究棉籽浓缩蛋白替代鱼粉对大鳞副泥鳅生长性能、抗氧化能力、免疫功能和肠道健康的影响。试验选取</w:t>
      </w:r>
      <w:r>
        <w:rPr>
          <w:szCs w:val="21"/>
        </w:rPr>
        <w:t>960</w:t>
      </w:r>
      <w:r>
        <w:rPr>
          <w:szCs w:val="21"/>
        </w:rPr>
        <w:t>尾初始体质量为（</w:t>
      </w:r>
      <w:r>
        <w:rPr>
          <w:szCs w:val="21"/>
        </w:rPr>
        <w:t>2.60±0.01</w:t>
      </w:r>
      <w:r>
        <w:rPr>
          <w:szCs w:val="21"/>
        </w:rPr>
        <w:t>）</w:t>
      </w:r>
      <w:r>
        <w:rPr>
          <w:szCs w:val="21"/>
        </w:rPr>
        <w:t>g</w:t>
      </w:r>
      <w:r>
        <w:rPr>
          <w:szCs w:val="21"/>
        </w:rPr>
        <w:t>的健康大鳞副泥鳅，随机分为</w:t>
      </w:r>
      <w:r>
        <w:rPr>
          <w:szCs w:val="21"/>
        </w:rPr>
        <w:t>6</w:t>
      </w:r>
      <w:r>
        <w:rPr>
          <w:szCs w:val="21"/>
        </w:rPr>
        <w:t>组，每组</w:t>
      </w:r>
      <w:r>
        <w:rPr>
          <w:szCs w:val="21"/>
        </w:rPr>
        <w:t>4</w:t>
      </w:r>
      <w:r>
        <w:rPr>
          <w:szCs w:val="21"/>
        </w:rPr>
        <w:t>个重复，每个重复</w:t>
      </w:r>
      <w:r>
        <w:rPr>
          <w:szCs w:val="21"/>
        </w:rPr>
        <w:t>40</w:t>
      </w:r>
      <w:r>
        <w:rPr>
          <w:szCs w:val="21"/>
        </w:rPr>
        <w:t>尾。</w:t>
      </w:r>
      <w:r>
        <w:rPr>
          <w:szCs w:val="21"/>
        </w:rPr>
        <w:t>6</w:t>
      </w:r>
      <w:r>
        <w:rPr>
          <w:szCs w:val="21"/>
        </w:rPr>
        <w:t>组分别饲喂采用棉籽浓缩蛋白替代基础饲料中</w:t>
      </w:r>
      <w:r>
        <w:rPr>
          <w:szCs w:val="21"/>
        </w:rPr>
        <w:t>(</w:t>
      </w:r>
      <w:r>
        <w:rPr>
          <w:szCs w:val="21"/>
        </w:rPr>
        <w:t>对照，</w:t>
      </w:r>
      <w:r>
        <w:rPr>
          <w:szCs w:val="21"/>
        </w:rPr>
        <w:t>FM</w:t>
      </w:r>
      <w:r>
        <w:rPr>
          <w:szCs w:val="21"/>
        </w:rPr>
        <w:t>组）、</w:t>
      </w:r>
      <w:r>
        <w:rPr>
          <w:szCs w:val="21"/>
        </w:rPr>
        <w:t>32%</w:t>
      </w:r>
      <w:r>
        <w:rPr>
          <w:szCs w:val="21"/>
        </w:rPr>
        <w:t>（</w:t>
      </w:r>
      <w:r>
        <w:rPr>
          <w:szCs w:val="21"/>
        </w:rPr>
        <w:t>CPC32</w:t>
      </w:r>
      <w:r>
        <w:rPr>
          <w:szCs w:val="21"/>
        </w:rPr>
        <w:t>组）、</w:t>
      </w:r>
      <w:r>
        <w:rPr>
          <w:szCs w:val="21"/>
        </w:rPr>
        <w:t>44%</w:t>
      </w:r>
      <w:r>
        <w:rPr>
          <w:szCs w:val="21"/>
        </w:rPr>
        <w:t>（</w:t>
      </w:r>
      <w:r>
        <w:rPr>
          <w:szCs w:val="21"/>
        </w:rPr>
        <w:t>CPC44</w:t>
      </w:r>
      <w:r>
        <w:rPr>
          <w:szCs w:val="21"/>
        </w:rPr>
        <w:t>组</w:t>
      </w:r>
      <w:r>
        <w:rPr>
          <w:szCs w:val="21"/>
        </w:rPr>
        <w:t>)</w:t>
      </w:r>
      <w:r>
        <w:rPr>
          <w:szCs w:val="21"/>
        </w:rPr>
        <w:t>、</w:t>
      </w:r>
      <w:r>
        <w:rPr>
          <w:szCs w:val="21"/>
        </w:rPr>
        <w:t>56%(CPC56</w:t>
      </w:r>
      <w:r>
        <w:rPr>
          <w:szCs w:val="21"/>
        </w:rPr>
        <w:t>组）、</w:t>
      </w:r>
      <w:r>
        <w:rPr>
          <w:szCs w:val="21"/>
        </w:rPr>
        <w:t>68%</w:t>
      </w:r>
      <w:r>
        <w:rPr>
          <w:szCs w:val="21"/>
        </w:rPr>
        <w:t>（</w:t>
      </w:r>
      <w:r>
        <w:rPr>
          <w:szCs w:val="21"/>
        </w:rPr>
        <w:t>CPC68</w:t>
      </w:r>
      <w:r>
        <w:rPr>
          <w:szCs w:val="21"/>
        </w:rPr>
        <w:t>组）和</w:t>
      </w:r>
      <w:r>
        <w:rPr>
          <w:szCs w:val="21"/>
        </w:rPr>
        <w:t>80%</w:t>
      </w:r>
      <w:r>
        <w:rPr>
          <w:szCs w:val="21"/>
        </w:rPr>
        <w:t>（</w:t>
      </w:r>
      <w:r>
        <w:rPr>
          <w:szCs w:val="21"/>
        </w:rPr>
        <w:t>CPC80</w:t>
      </w:r>
      <w:r>
        <w:rPr>
          <w:szCs w:val="21"/>
        </w:rPr>
        <w:t>组）鱼粉的饲料。试验期</w:t>
      </w:r>
      <w:r>
        <w:rPr>
          <w:szCs w:val="21"/>
        </w:rPr>
        <w:t>8</w:t>
      </w:r>
      <w:r>
        <w:rPr>
          <w:szCs w:val="21"/>
        </w:rPr>
        <w:t>周。结果表明：</w:t>
      </w:r>
      <w:r>
        <w:rPr>
          <w:szCs w:val="21"/>
        </w:rPr>
        <w:t>1)</w:t>
      </w:r>
      <w:r>
        <w:rPr>
          <w:szCs w:val="21"/>
        </w:rPr>
        <w:t>与</w:t>
      </w:r>
      <w:r>
        <w:rPr>
          <w:szCs w:val="21"/>
        </w:rPr>
        <w:t>FM</w:t>
      </w:r>
      <w:r>
        <w:rPr>
          <w:szCs w:val="21"/>
        </w:rPr>
        <w:t>组相比，</w:t>
      </w:r>
      <w:r>
        <w:rPr>
          <w:szCs w:val="21"/>
        </w:rPr>
        <w:t>CPC56</w:t>
      </w:r>
      <w:r>
        <w:rPr>
          <w:szCs w:val="21"/>
        </w:rPr>
        <w:t>组</w:t>
      </w:r>
      <w:r>
        <w:rPr>
          <w:szCs w:val="21"/>
        </w:rPr>
        <w:t>CPC68</w:t>
      </w:r>
      <w:r>
        <w:rPr>
          <w:szCs w:val="21"/>
        </w:rPr>
        <w:t>组和</w:t>
      </w:r>
      <w:r>
        <w:rPr>
          <w:szCs w:val="21"/>
        </w:rPr>
        <w:t>CPC80</w:t>
      </w:r>
      <w:r>
        <w:rPr>
          <w:szCs w:val="21"/>
        </w:rPr>
        <w:t>组终末体质量、增重率（</w:t>
      </w:r>
      <w:r>
        <w:rPr>
          <w:szCs w:val="21"/>
        </w:rPr>
        <w:t>WGR</w:t>
      </w:r>
      <w:r>
        <w:rPr>
          <w:szCs w:val="21"/>
        </w:rPr>
        <w:t>）、特定生长率（</w:t>
      </w:r>
      <w:r>
        <w:rPr>
          <w:szCs w:val="21"/>
        </w:rPr>
        <w:t>SGR</w:t>
      </w:r>
      <w:r>
        <w:rPr>
          <w:szCs w:val="21"/>
        </w:rPr>
        <w:t>）、肝体比（</w:t>
      </w:r>
      <w:r>
        <w:rPr>
          <w:szCs w:val="21"/>
        </w:rPr>
        <w:t>HS|</w:t>
      </w:r>
      <w:r>
        <w:rPr>
          <w:szCs w:val="21"/>
        </w:rPr>
        <w:t>）和脏体比（</w:t>
      </w:r>
      <w:r>
        <w:rPr>
          <w:szCs w:val="21"/>
        </w:rPr>
        <w:t>VS1</w:t>
      </w:r>
      <w:r>
        <w:rPr>
          <w:szCs w:val="21"/>
        </w:rPr>
        <w:t>）显著降低（</w:t>
      </w:r>
      <w:r>
        <w:rPr>
          <w:rFonts w:hint="eastAsia"/>
          <w:i/>
          <w:szCs w:val="21"/>
        </w:rPr>
        <w:t>P</w:t>
      </w:r>
      <w:r>
        <w:rPr>
          <w:szCs w:val="21"/>
        </w:rPr>
        <w:t>≤0.05</w:t>
      </w:r>
      <w:r>
        <w:rPr>
          <w:szCs w:val="21"/>
        </w:rPr>
        <w:t>）</w:t>
      </w:r>
      <w:r>
        <w:rPr>
          <w:szCs w:val="21"/>
        </w:rPr>
        <w:t>CPC68</w:t>
      </w:r>
      <w:r>
        <w:rPr>
          <w:szCs w:val="21"/>
        </w:rPr>
        <w:t>组和</w:t>
      </w:r>
      <w:r>
        <w:rPr>
          <w:szCs w:val="21"/>
        </w:rPr>
        <w:t>CPC80</w:t>
      </w:r>
      <w:r>
        <w:rPr>
          <w:szCs w:val="21"/>
        </w:rPr>
        <w:t>组摄食率（</w:t>
      </w:r>
      <w:r>
        <w:rPr>
          <w:szCs w:val="21"/>
        </w:rPr>
        <w:t>FR</w:t>
      </w:r>
      <w:r>
        <w:rPr>
          <w:szCs w:val="21"/>
        </w:rPr>
        <w:t>）和饲料系数（</w:t>
      </w:r>
      <w:r>
        <w:rPr>
          <w:szCs w:val="21"/>
        </w:rPr>
        <w:t>FCR</w:t>
      </w:r>
      <w:r>
        <w:rPr>
          <w:szCs w:val="21"/>
        </w:rPr>
        <w:t>）显著提高（</w:t>
      </w:r>
      <w:r>
        <w:rPr>
          <w:rFonts w:hint="eastAsia"/>
          <w:i/>
          <w:szCs w:val="21"/>
        </w:rPr>
        <w:t>P</w:t>
      </w:r>
      <w:r>
        <w:rPr>
          <w:szCs w:val="21"/>
        </w:rPr>
        <w:t>&lt;0.05</w:t>
      </w:r>
      <w:r>
        <w:rPr>
          <w:szCs w:val="21"/>
        </w:rPr>
        <w:t>）。</w:t>
      </w:r>
      <w:r>
        <w:rPr>
          <w:szCs w:val="21"/>
        </w:rPr>
        <w:t>2)</w:t>
      </w:r>
      <w:r>
        <w:rPr>
          <w:szCs w:val="21"/>
        </w:rPr>
        <w:t>与</w:t>
      </w:r>
      <w:r>
        <w:rPr>
          <w:szCs w:val="21"/>
        </w:rPr>
        <w:t>FM</w:t>
      </w:r>
      <w:r>
        <w:rPr>
          <w:szCs w:val="21"/>
        </w:rPr>
        <w:t>组相比，</w:t>
      </w:r>
      <w:r>
        <w:rPr>
          <w:szCs w:val="21"/>
        </w:rPr>
        <w:t>CPC80</w:t>
      </w:r>
      <w:r>
        <w:rPr>
          <w:szCs w:val="21"/>
        </w:rPr>
        <w:t>组血清葡萄糖（</w:t>
      </w:r>
      <w:r>
        <w:rPr>
          <w:szCs w:val="21"/>
        </w:rPr>
        <w:t>GLU</w:t>
      </w:r>
      <w:r>
        <w:rPr>
          <w:szCs w:val="21"/>
        </w:rPr>
        <w:t>）、甘油三酯（</w:t>
      </w:r>
      <w:r>
        <w:rPr>
          <w:szCs w:val="21"/>
        </w:rPr>
        <w:t>TG</w:t>
      </w:r>
      <w:r>
        <w:rPr>
          <w:szCs w:val="21"/>
        </w:rPr>
        <w:t>）和高密度脂蛋白胆固醇（</w:t>
      </w:r>
      <w:r>
        <w:rPr>
          <w:szCs w:val="21"/>
        </w:rPr>
        <w:t>HDL-C</w:t>
      </w:r>
      <w:r>
        <w:rPr>
          <w:szCs w:val="21"/>
        </w:rPr>
        <w:t>）含量以及溶菌酶（</w:t>
      </w:r>
      <w:r>
        <w:rPr>
          <w:szCs w:val="21"/>
        </w:rPr>
        <w:t>LYS</w:t>
      </w:r>
      <w:r>
        <w:rPr>
          <w:szCs w:val="21"/>
        </w:rPr>
        <w:t>）和碱性磷酸酶（</w:t>
      </w:r>
      <w:r>
        <w:rPr>
          <w:szCs w:val="21"/>
        </w:rPr>
        <w:t>AKP</w:t>
      </w:r>
      <w:r>
        <w:rPr>
          <w:szCs w:val="21"/>
        </w:rPr>
        <w:t>）活性显著</w:t>
      </w:r>
      <w:r>
        <w:rPr>
          <w:szCs w:val="21"/>
        </w:rPr>
        <w:lastRenderedPageBreak/>
        <w:t>降低（</w:t>
      </w:r>
      <w:r>
        <w:rPr>
          <w:rFonts w:hint="eastAsia"/>
          <w:i/>
          <w:szCs w:val="21"/>
        </w:rPr>
        <w:t>P</w:t>
      </w:r>
      <w:r>
        <w:rPr>
          <w:szCs w:val="21"/>
        </w:rPr>
        <w:t>&lt;0.05</w:t>
      </w:r>
      <w:r>
        <w:rPr>
          <w:szCs w:val="21"/>
        </w:rPr>
        <w:t>）。</w:t>
      </w:r>
      <w:r>
        <w:rPr>
          <w:szCs w:val="21"/>
        </w:rPr>
        <w:t>3</w:t>
      </w:r>
      <w:r>
        <w:rPr>
          <w:szCs w:val="21"/>
        </w:rPr>
        <w:t>）与</w:t>
      </w:r>
      <w:r>
        <w:rPr>
          <w:szCs w:val="21"/>
        </w:rPr>
        <w:t>FM</w:t>
      </w:r>
      <w:r>
        <w:rPr>
          <w:szCs w:val="21"/>
        </w:rPr>
        <w:t>组相比，</w:t>
      </w:r>
      <w:r>
        <w:rPr>
          <w:szCs w:val="21"/>
        </w:rPr>
        <w:t>CPC32</w:t>
      </w:r>
      <w:r>
        <w:rPr>
          <w:szCs w:val="21"/>
        </w:rPr>
        <w:t>组肝脏丙二醛（</w:t>
      </w:r>
      <w:r>
        <w:rPr>
          <w:szCs w:val="21"/>
        </w:rPr>
        <w:t>MDA</w:t>
      </w:r>
      <w:r>
        <w:rPr>
          <w:szCs w:val="21"/>
        </w:rPr>
        <w:t>）含量显著降低（</w:t>
      </w:r>
      <w:r>
        <w:rPr>
          <w:rFonts w:hint="eastAsia"/>
          <w:i/>
          <w:szCs w:val="21"/>
        </w:rPr>
        <w:t>P</w:t>
      </w:r>
      <w:r>
        <w:rPr>
          <w:szCs w:val="21"/>
        </w:rPr>
        <w:t>≤0.05)CPC44</w:t>
      </w:r>
      <w:r>
        <w:rPr>
          <w:szCs w:val="21"/>
        </w:rPr>
        <w:t>组肝脏超氧化物歧化酶歧化酶（</w:t>
      </w:r>
      <w:r>
        <w:rPr>
          <w:szCs w:val="21"/>
        </w:rPr>
        <w:t>SOD</w:t>
      </w:r>
      <w:r>
        <w:rPr>
          <w:szCs w:val="21"/>
        </w:rPr>
        <w:t>）活性显著提高（</w:t>
      </w:r>
      <w:r>
        <w:rPr>
          <w:rFonts w:hint="eastAsia"/>
          <w:i/>
          <w:szCs w:val="21"/>
        </w:rPr>
        <w:t>P</w:t>
      </w:r>
      <w:r>
        <w:rPr>
          <w:szCs w:val="21"/>
        </w:rPr>
        <w:t>&lt;0.05)CPC68</w:t>
      </w:r>
      <w:r>
        <w:rPr>
          <w:szCs w:val="21"/>
        </w:rPr>
        <w:t>组和</w:t>
      </w:r>
      <w:r>
        <w:rPr>
          <w:szCs w:val="21"/>
        </w:rPr>
        <w:t>CPC80</w:t>
      </w:r>
      <w:r>
        <w:rPr>
          <w:szCs w:val="21"/>
        </w:rPr>
        <w:t>组肝脏谷丙转氨酶（</w:t>
      </w:r>
      <w:r>
        <w:rPr>
          <w:szCs w:val="21"/>
        </w:rPr>
        <w:t>ALT</w:t>
      </w:r>
      <w:r>
        <w:rPr>
          <w:szCs w:val="21"/>
        </w:rPr>
        <w:t>）活性、还原型谷胱甘肽（</w:t>
      </w:r>
      <w:r>
        <w:rPr>
          <w:szCs w:val="21"/>
        </w:rPr>
        <w:t>GSH</w:t>
      </w:r>
      <w:r>
        <w:rPr>
          <w:szCs w:val="21"/>
        </w:rPr>
        <w:t>）含量以及总抗氧化能力（</w:t>
      </w:r>
      <w:r>
        <w:rPr>
          <w:szCs w:val="21"/>
        </w:rPr>
        <w:t>T-AOC</w:t>
      </w:r>
      <w:r>
        <w:rPr>
          <w:szCs w:val="21"/>
        </w:rPr>
        <w:t>）显著降低（</w:t>
      </w:r>
      <w:r>
        <w:rPr>
          <w:rFonts w:hint="eastAsia"/>
          <w:i/>
          <w:szCs w:val="21"/>
        </w:rPr>
        <w:t>P</w:t>
      </w:r>
      <w:r>
        <w:rPr>
          <w:szCs w:val="21"/>
        </w:rPr>
        <w:t>&lt;0.05</w:t>
      </w:r>
      <w:r>
        <w:rPr>
          <w:szCs w:val="21"/>
        </w:rPr>
        <w:t>）。</w:t>
      </w:r>
      <w:r>
        <w:rPr>
          <w:szCs w:val="21"/>
        </w:rPr>
        <w:t>4</w:t>
      </w:r>
      <w:r>
        <w:rPr>
          <w:szCs w:val="21"/>
        </w:rPr>
        <w:t>）</w:t>
      </w:r>
      <w:r>
        <w:rPr>
          <w:szCs w:val="21"/>
        </w:rPr>
        <w:t>CPC44</w:t>
      </w:r>
      <w:r>
        <w:rPr>
          <w:szCs w:val="21"/>
        </w:rPr>
        <w:t>组和</w:t>
      </w:r>
      <w:r>
        <w:rPr>
          <w:szCs w:val="21"/>
        </w:rPr>
        <w:t>CPC56</w:t>
      </w:r>
      <w:r>
        <w:rPr>
          <w:szCs w:val="21"/>
        </w:rPr>
        <w:t>组肠道胰蛋白酶活性显著高于</w:t>
      </w:r>
      <w:r>
        <w:rPr>
          <w:szCs w:val="21"/>
        </w:rPr>
        <w:t>FM</w:t>
      </w:r>
      <w:r>
        <w:rPr>
          <w:szCs w:val="21"/>
        </w:rPr>
        <w:t>组（</w:t>
      </w:r>
      <w:r>
        <w:rPr>
          <w:rFonts w:hint="eastAsia"/>
          <w:i/>
          <w:szCs w:val="21"/>
        </w:rPr>
        <w:t>P</w:t>
      </w:r>
      <w:r>
        <w:rPr>
          <w:szCs w:val="21"/>
        </w:rPr>
        <w:t>&lt;0.05</w:t>
      </w:r>
      <w:r>
        <w:rPr>
          <w:szCs w:val="21"/>
        </w:rPr>
        <w:t>）</w:t>
      </w:r>
      <w:r>
        <w:rPr>
          <w:szCs w:val="21"/>
        </w:rPr>
        <w:t>CPC44</w:t>
      </w:r>
      <w:r>
        <w:rPr>
          <w:szCs w:val="21"/>
        </w:rPr>
        <w:t>组肠道脂肪酶活性显著高于其他各组</w:t>
      </w:r>
      <w:r>
        <w:rPr>
          <w:szCs w:val="21"/>
        </w:rPr>
        <w:t>(</w:t>
      </w:r>
      <w:r>
        <w:rPr>
          <w:rFonts w:hint="eastAsia"/>
          <w:i/>
          <w:szCs w:val="21"/>
        </w:rPr>
        <w:t>P</w:t>
      </w:r>
      <w:r>
        <w:rPr>
          <w:szCs w:val="21"/>
        </w:rPr>
        <w:t>&lt;0.05)</w:t>
      </w:r>
      <w:r>
        <w:rPr>
          <w:szCs w:val="21"/>
        </w:rPr>
        <w:t>与</w:t>
      </w:r>
      <w:r>
        <w:rPr>
          <w:szCs w:val="21"/>
        </w:rPr>
        <w:t>FM</w:t>
      </w:r>
      <w:r>
        <w:rPr>
          <w:szCs w:val="21"/>
        </w:rPr>
        <w:t>组相比，</w:t>
      </w:r>
      <w:r>
        <w:rPr>
          <w:szCs w:val="21"/>
        </w:rPr>
        <w:t>CPC80</w:t>
      </w:r>
      <w:r>
        <w:rPr>
          <w:szCs w:val="21"/>
        </w:rPr>
        <w:t>组肠道绒毛高度显著降低（</w:t>
      </w:r>
      <w:r>
        <w:rPr>
          <w:rFonts w:hint="eastAsia"/>
          <w:i/>
          <w:szCs w:val="21"/>
        </w:rPr>
        <w:t>P</w:t>
      </w:r>
      <w:r>
        <w:rPr>
          <w:szCs w:val="21"/>
        </w:rPr>
        <w:t>&lt;0.05</w:t>
      </w:r>
      <w:r>
        <w:rPr>
          <w:szCs w:val="21"/>
        </w:rPr>
        <w:t>）。</w:t>
      </w:r>
      <w:r>
        <w:rPr>
          <w:szCs w:val="21"/>
        </w:rPr>
        <w:t>5</w:t>
      </w:r>
      <w:r>
        <w:rPr>
          <w:szCs w:val="21"/>
        </w:rPr>
        <w:t>）与</w:t>
      </w:r>
      <w:r>
        <w:rPr>
          <w:szCs w:val="21"/>
        </w:rPr>
        <w:t>FM</w:t>
      </w:r>
      <w:r>
        <w:rPr>
          <w:szCs w:val="21"/>
        </w:rPr>
        <w:t>组相比，</w:t>
      </w:r>
      <w:r>
        <w:rPr>
          <w:szCs w:val="21"/>
        </w:rPr>
        <w:t>CPC80</w:t>
      </w:r>
      <w:r>
        <w:rPr>
          <w:szCs w:val="21"/>
        </w:rPr>
        <w:t>组肠道分枝杆菌属（</w:t>
      </w:r>
      <w:r w:rsidRPr="00E27993">
        <w:rPr>
          <w:i/>
          <w:iCs/>
          <w:szCs w:val="21"/>
        </w:rPr>
        <w:t>Mycobacterium</w:t>
      </w:r>
      <w:r>
        <w:rPr>
          <w:szCs w:val="21"/>
        </w:rPr>
        <w:t>）相对丰度显著提高（</w:t>
      </w:r>
      <w:r>
        <w:rPr>
          <w:rFonts w:hint="eastAsia"/>
          <w:i/>
          <w:szCs w:val="21"/>
        </w:rPr>
        <w:t>P</w:t>
      </w:r>
      <w:r>
        <w:rPr>
          <w:szCs w:val="21"/>
        </w:rPr>
        <w:t>&lt;0.05</w:t>
      </w:r>
      <w:r>
        <w:rPr>
          <w:szCs w:val="21"/>
        </w:rPr>
        <w:t>）；肠道厚壁菌门（</w:t>
      </w:r>
      <w:r>
        <w:rPr>
          <w:szCs w:val="21"/>
        </w:rPr>
        <w:t>Firmicutes)/</w:t>
      </w:r>
      <w:r>
        <w:rPr>
          <w:szCs w:val="21"/>
        </w:rPr>
        <w:t>拟杆菌门</w:t>
      </w:r>
      <w:r>
        <w:rPr>
          <w:szCs w:val="21"/>
        </w:rPr>
        <w:t>(Bacteroidetes)</w:t>
      </w:r>
      <w:r>
        <w:rPr>
          <w:szCs w:val="21"/>
        </w:rPr>
        <w:t>值随棉籽浓缩蛋白替代鱼粉比例的提高呈现逐渐升高的趋势。综上所述，在本试验条件下，饲料中棉籽浓缩蛋白替代鱼粉比例为</w:t>
      </w:r>
      <w:r>
        <w:rPr>
          <w:szCs w:val="21"/>
        </w:rPr>
        <w:t>32%</w:t>
      </w:r>
      <w:r>
        <w:rPr>
          <w:szCs w:val="21"/>
        </w:rPr>
        <w:t>和</w:t>
      </w:r>
      <w:r>
        <w:rPr>
          <w:szCs w:val="21"/>
        </w:rPr>
        <w:t>44%</w:t>
      </w:r>
      <w:r>
        <w:rPr>
          <w:szCs w:val="21"/>
        </w:rPr>
        <w:t>时对大鳞副泥鳅生长无负面影响，基于</w:t>
      </w:r>
      <w:r>
        <w:rPr>
          <w:szCs w:val="21"/>
        </w:rPr>
        <w:t>WGR</w:t>
      </w:r>
      <w:r>
        <w:rPr>
          <w:szCs w:val="21"/>
        </w:rPr>
        <w:t>的折线模型分析，大鳞副泥鳅饲料中棉籽浓缩蛋白替代鱼粉的适宜比例为</w:t>
      </w:r>
      <w:r>
        <w:rPr>
          <w:szCs w:val="21"/>
        </w:rPr>
        <w:t>30.46%</w:t>
      </w:r>
      <w:r>
        <w:rPr>
          <w:szCs w:val="21"/>
        </w:rPr>
        <w:t>。</w:t>
      </w:r>
    </w:p>
    <w:p w14:paraId="3AF51532" w14:textId="77777777" w:rsidR="00400E98" w:rsidRDefault="00400E98" w:rsidP="00400E98">
      <w:pPr>
        <w:rPr>
          <w:szCs w:val="21"/>
        </w:rPr>
      </w:pPr>
      <w:r>
        <w:rPr>
          <w:b/>
          <w:bCs/>
          <w:szCs w:val="21"/>
        </w:rPr>
        <w:t>关键词：</w:t>
      </w:r>
      <w:r>
        <w:rPr>
          <w:szCs w:val="21"/>
        </w:rPr>
        <w:t>大鳞副泥鳅：棉籽浓缩蛋白；鱼粉；生长性能；抗氧化能力：免疫功能：肠道健康</w:t>
      </w:r>
    </w:p>
    <w:p w14:paraId="4FBA9E53" w14:textId="6769E628" w:rsidR="00400E98" w:rsidRDefault="00400E98" w:rsidP="00E27993">
      <w:pPr>
        <w:jc w:val="center"/>
        <w:rPr>
          <w:b/>
          <w:bCs/>
          <w:sz w:val="24"/>
        </w:rPr>
      </w:pPr>
      <w:r>
        <w:rPr>
          <w:b/>
          <w:bCs/>
          <w:sz w:val="24"/>
        </w:rPr>
        <w:t>Effects of Replacing Fish Meal with Cottonseed Protein Concentrate on</w:t>
      </w:r>
      <w:r w:rsidR="00E27993">
        <w:rPr>
          <w:rFonts w:hint="eastAsia"/>
          <w:b/>
          <w:bCs/>
          <w:sz w:val="24"/>
        </w:rPr>
        <w:t xml:space="preserve"> </w:t>
      </w:r>
      <w:r>
        <w:rPr>
          <w:b/>
          <w:bCs/>
          <w:sz w:val="24"/>
        </w:rPr>
        <w:t>Growth Performance, Antioxidant Ability, Immune Function and</w:t>
      </w:r>
      <w:r w:rsidR="00E27993">
        <w:rPr>
          <w:rFonts w:hint="eastAsia"/>
          <w:b/>
          <w:bCs/>
          <w:sz w:val="24"/>
        </w:rPr>
        <w:t xml:space="preserve"> </w:t>
      </w:r>
      <w:r>
        <w:rPr>
          <w:b/>
          <w:bCs/>
          <w:sz w:val="24"/>
        </w:rPr>
        <w:t xml:space="preserve">Intestinal Health of </w:t>
      </w:r>
      <w:proofErr w:type="spellStart"/>
      <w:r>
        <w:rPr>
          <w:b/>
          <w:bCs/>
          <w:i/>
          <w:iCs/>
          <w:sz w:val="24"/>
        </w:rPr>
        <w:t>Paramisgurnus</w:t>
      </w:r>
      <w:proofErr w:type="spellEnd"/>
      <w:r>
        <w:rPr>
          <w:b/>
          <w:bCs/>
          <w:i/>
          <w:iCs/>
          <w:sz w:val="24"/>
        </w:rPr>
        <w:t xml:space="preserve"> </w:t>
      </w:r>
      <w:proofErr w:type="spellStart"/>
      <w:r>
        <w:rPr>
          <w:b/>
          <w:bCs/>
          <w:i/>
          <w:iCs/>
          <w:sz w:val="24"/>
        </w:rPr>
        <w:t>dabryanus</w:t>
      </w:r>
      <w:proofErr w:type="spellEnd"/>
    </w:p>
    <w:p w14:paraId="4558AA4C" w14:textId="77777777" w:rsidR="00400E98" w:rsidRDefault="00400E98" w:rsidP="00400E98">
      <w:pPr>
        <w:jc w:val="center"/>
        <w:rPr>
          <w:szCs w:val="22"/>
        </w:rPr>
      </w:pPr>
      <w:r>
        <w:rPr>
          <w:szCs w:val="22"/>
        </w:rPr>
        <w:t>CHEN Qi</w:t>
      </w:r>
      <w:r>
        <w:rPr>
          <w:rFonts w:hint="eastAsia"/>
          <w:szCs w:val="22"/>
          <w:vertAlign w:val="superscript"/>
        </w:rPr>
        <w:t>1,2</w:t>
      </w:r>
      <w:r>
        <w:rPr>
          <w:szCs w:val="22"/>
        </w:rPr>
        <w:t xml:space="preserve"> LI Youjie</w:t>
      </w:r>
      <w:r>
        <w:rPr>
          <w:rFonts w:hint="eastAsia"/>
          <w:szCs w:val="22"/>
          <w:vertAlign w:val="superscript"/>
        </w:rPr>
        <w:t>1,2</w:t>
      </w:r>
      <w:r>
        <w:rPr>
          <w:szCs w:val="22"/>
        </w:rPr>
        <w:t xml:space="preserve"> YUAN Zhiwen</w:t>
      </w:r>
      <w:r>
        <w:rPr>
          <w:rFonts w:hint="eastAsia"/>
          <w:szCs w:val="22"/>
          <w:vertAlign w:val="superscript"/>
        </w:rPr>
        <w:t>1,2</w:t>
      </w:r>
      <w:r>
        <w:rPr>
          <w:szCs w:val="22"/>
        </w:rPr>
        <w:t xml:space="preserve">  PAN Jie</w:t>
      </w:r>
      <w:r>
        <w:rPr>
          <w:rFonts w:hint="eastAsia"/>
          <w:szCs w:val="22"/>
          <w:vertAlign w:val="superscript"/>
        </w:rPr>
        <w:t>1,2</w:t>
      </w:r>
      <w:r>
        <w:rPr>
          <w:szCs w:val="22"/>
        </w:rPr>
        <w:t xml:space="preserve">  LI Yaping</w:t>
      </w:r>
      <w:r>
        <w:rPr>
          <w:rFonts w:hint="eastAsia"/>
          <w:szCs w:val="22"/>
          <w:vertAlign w:val="superscript"/>
        </w:rPr>
        <w:t>1,2</w:t>
      </w:r>
      <w:r>
        <w:rPr>
          <w:szCs w:val="22"/>
        </w:rPr>
        <w:t xml:space="preserve">  YU Chuanq</w:t>
      </w:r>
      <w:r>
        <w:rPr>
          <w:szCs w:val="22"/>
          <w:vertAlign w:val="superscript"/>
        </w:rPr>
        <w:t>i</w:t>
      </w:r>
      <w:r>
        <w:rPr>
          <w:rFonts w:hint="eastAsia"/>
          <w:szCs w:val="22"/>
          <w:vertAlign w:val="superscript"/>
        </w:rPr>
        <w:t>1,2</w:t>
      </w:r>
      <w:r>
        <w:rPr>
          <w:szCs w:val="22"/>
        </w:rPr>
        <w:t xml:space="preserve"> </w:t>
      </w:r>
    </w:p>
    <w:p w14:paraId="7589FEC5" w14:textId="77777777" w:rsidR="00400E98" w:rsidRDefault="00400E98" w:rsidP="00400E98">
      <w:pPr>
        <w:jc w:val="center"/>
        <w:rPr>
          <w:szCs w:val="22"/>
        </w:rPr>
      </w:pPr>
      <w:r>
        <w:rPr>
          <w:szCs w:val="22"/>
        </w:rPr>
        <w:t>ZHANG Yazhou</w:t>
      </w:r>
      <w:r>
        <w:rPr>
          <w:rFonts w:hint="eastAsia"/>
          <w:szCs w:val="22"/>
          <w:vertAlign w:val="superscript"/>
        </w:rPr>
        <w:t>1,2</w:t>
      </w:r>
      <w:r>
        <w:rPr>
          <w:szCs w:val="22"/>
        </w:rPr>
        <w:t xml:space="preserve"> ZHOU Qiubai</w:t>
      </w:r>
      <w:r>
        <w:rPr>
          <w:szCs w:val="22"/>
          <w:vertAlign w:val="superscript"/>
        </w:rPr>
        <w:t>l,2</w:t>
      </w:r>
      <w:r>
        <w:rPr>
          <w:rFonts w:hint="eastAsia"/>
          <w:szCs w:val="22"/>
          <w:vertAlign w:val="superscript"/>
        </w:rPr>
        <w:t>*</w:t>
      </w:r>
      <w:r>
        <w:rPr>
          <w:szCs w:val="22"/>
        </w:rPr>
        <w:t xml:space="preserve"> WANG Zirui</w:t>
      </w:r>
      <w:r>
        <w:rPr>
          <w:rFonts w:hint="eastAsia"/>
          <w:szCs w:val="22"/>
          <w:vertAlign w:val="superscript"/>
        </w:rPr>
        <w:t>1,2*</w:t>
      </w:r>
    </w:p>
    <w:p w14:paraId="49FFD19D" w14:textId="77777777" w:rsidR="00400E98" w:rsidRDefault="00400E98" w:rsidP="00400E98">
      <w:pPr>
        <w:jc w:val="center"/>
        <w:rPr>
          <w:i/>
          <w:iCs/>
          <w:szCs w:val="22"/>
        </w:rPr>
      </w:pPr>
      <w:r>
        <w:rPr>
          <w:i/>
          <w:iCs/>
          <w:szCs w:val="22"/>
        </w:rPr>
        <w:t>(</w:t>
      </w:r>
      <w:r w:rsidRPr="00E27993">
        <w:rPr>
          <w:szCs w:val="22"/>
        </w:rPr>
        <w:t>1</w:t>
      </w:r>
      <w:r>
        <w:rPr>
          <w:i/>
          <w:iCs/>
          <w:szCs w:val="22"/>
        </w:rPr>
        <w:t xml:space="preserve">. College of Animal Science and Technology, Jiangxi </w:t>
      </w:r>
      <w:proofErr w:type="spellStart"/>
      <w:r>
        <w:rPr>
          <w:i/>
          <w:iCs/>
          <w:szCs w:val="22"/>
        </w:rPr>
        <w:t>Agriculrural</w:t>
      </w:r>
      <w:proofErr w:type="spellEnd"/>
      <w:r>
        <w:rPr>
          <w:i/>
          <w:iCs/>
          <w:szCs w:val="22"/>
        </w:rPr>
        <w:t xml:space="preserve"> University, Nanchang </w:t>
      </w:r>
      <w:r w:rsidRPr="00E27993">
        <w:rPr>
          <w:szCs w:val="22"/>
        </w:rPr>
        <w:t>330045</w:t>
      </w:r>
      <w:r>
        <w:rPr>
          <w:i/>
          <w:iCs/>
          <w:szCs w:val="22"/>
        </w:rPr>
        <w:t>, China;</w:t>
      </w:r>
      <w:r w:rsidRPr="00E27993">
        <w:rPr>
          <w:szCs w:val="22"/>
        </w:rPr>
        <w:t>2</w:t>
      </w:r>
      <w:r>
        <w:rPr>
          <w:i/>
          <w:iCs/>
          <w:szCs w:val="22"/>
        </w:rPr>
        <w:t xml:space="preserve">. Nanchang Key Laboratory of Featured </w:t>
      </w:r>
      <w:proofErr w:type="spellStart"/>
      <w:r>
        <w:rPr>
          <w:i/>
          <w:iCs/>
          <w:szCs w:val="22"/>
        </w:rPr>
        <w:t>Hydrobios</w:t>
      </w:r>
      <w:proofErr w:type="spellEnd"/>
      <w:r>
        <w:rPr>
          <w:i/>
          <w:iCs/>
          <w:szCs w:val="22"/>
        </w:rPr>
        <w:t xml:space="preserve"> Nutritional Physiology and Healthy Breeding, Nanchang </w:t>
      </w:r>
      <w:r w:rsidRPr="00E27993">
        <w:rPr>
          <w:szCs w:val="22"/>
        </w:rPr>
        <w:t>330045</w:t>
      </w:r>
      <w:r>
        <w:rPr>
          <w:i/>
          <w:iCs/>
          <w:szCs w:val="22"/>
        </w:rPr>
        <w:t>, China)</w:t>
      </w:r>
    </w:p>
    <w:p w14:paraId="76194C39" w14:textId="77777777" w:rsidR="00400E98" w:rsidRDefault="00400E98" w:rsidP="00400E98">
      <w:pPr>
        <w:rPr>
          <w:szCs w:val="22"/>
        </w:rPr>
      </w:pPr>
      <w:r>
        <w:rPr>
          <w:b/>
          <w:bCs/>
          <w:szCs w:val="22"/>
        </w:rPr>
        <w:t>Abstract:</w:t>
      </w:r>
      <w:r>
        <w:rPr>
          <w:szCs w:val="22"/>
        </w:rPr>
        <w:t xml:space="preserve"> This experiment was conducted to investigate the effects of replacing fish meal with cottonseed protein concentrate on growth performance, antioxidant ability, immune function and intestinal health of </w:t>
      </w:r>
      <w:proofErr w:type="spellStart"/>
      <w:r>
        <w:rPr>
          <w:i/>
          <w:iCs/>
          <w:szCs w:val="22"/>
        </w:rPr>
        <w:t>Paramisgurnus</w:t>
      </w:r>
      <w:proofErr w:type="spellEnd"/>
      <w:r>
        <w:rPr>
          <w:i/>
          <w:iCs/>
          <w:szCs w:val="22"/>
        </w:rPr>
        <w:t xml:space="preserve"> </w:t>
      </w:r>
      <w:proofErr w:type="spellStart"/>
      <w:r>
        <w:rPr>
          <w:i/>
          <w:iCs/>
          <w:szCs w:val="22"/>
        </w:rPr>
        <w:t>dabryanus</w:t>
      </w:r>
      <w:proofErr w:type="spellEnd"/>
      <w:r>
        <w:rPr>
          <w:szCs w:val="22"/>
        </w:rPr>
        <w:t xml:space="preserve">. A total of 960 healthy </w:t>
      </w:r>
      <w:proofErr w:type="spellStart"/>
      <w:r>
        <w:rPr>
          <w:i/>
          <w:iCs/>
          <w:szCs w:val="22"/>
        </w:rPr>
        <w:t>Paramisgurnus</w:t>
      </w:r>
      <w:proofErr w:type="spellEnd"/>
      <w:r>
        <w:rPr>
          <w:i/>
          <w:iCs/>
          <w:szCs w:val="22"/>
        </w:rPr>
        <w:t xml:space="preserve"> </w:t>
      </w:r>
      <w:proofErr w:type="spellStart"/>
      <w:r>
        <w:rPr>
          <w:i/>
          <w:iCs/>
          <w:szCs w:val="22"/>
        </w:rPr>
        <w:t>dabryanus</w:t>
      </w:r>
      <w:proofErr w:type="spellEnd"/>
      <w:r>
        <w:rPr>
          <w:szCs w:val="22"/>
        </w:rPr>
        <w:t xml:space="preserve"> with initial body weight of (2.60±0.01) g were randomly divided into 6 groups with 4 replicates per group and 40 fish per replicate. The six groups were fed diets in which 0 (control, FM group),32%(CPC32 group),44%(CPC44 group),56%</w:t>
      </w:r>
      <w:r>
        <w:rPr>
          <w:szCs w:val="22"/>
        </w:rPr>
        <w:t>（</w:t>
      </w:r>
      <w:r>
        <w:rPr>
          <w:szCs w:val="22"/>
        </w:rPr>
        <w:t>CPC56 group),68%</w:t>
      </w:r>
      <w:r>
        <w:rPr>
          <w:szCs w:val="22"/>
        </w:rPr>
        <w:t>（</w:t>
      </w:r>
      <w:r>
        <w:rPr>
          <w:szCs w:val="22"/>
        </w:rPr>
        <w:t xml:space="preserve">CPC68 group) and 80%(CPC80 group) fish meal were replaced by cottonseed protein concentrate, respectively. The experiment lasted for 8 weeks. The results showed as follows: 1) compared with FM group, the final body weight, weight gain rate (WGR), specific growth rate(SGR), hepatosomatic index (HSI) and </w:t>
      </w:r>
      <w:proofErr w:type="spellStart"/>
      <w:r>
        <w:rPr>
          <w:szCs w:val="22"/>
        </w:rPr>
        <w:t>viscerosomatic</w:t>
      </w:r>
      <w:proofErr w:type="spellEnd"/>
      <w:r>
        <w:rPr>
          <w:szCs w:val="22"/>
        </w:rPr>
        <w:t xml:space="preserve"> index (VSI) in CPC56, CPC68 and CPC80 groups were significantly decreased (</w:t>
      </w:r>
      <w:r>
        <w:rPr>
          <w:rFonts w:hint="eastAsia"/>
          <w:i/>
          <w:szCs w:val="22"/>
        </w:rPr>
        <w:t>P</w:t>
      </w:r>
      <w:r>
        <w:rPr>
          <w:szCs w:val="22"/>
        </w:rPr>
        <w:t>&lt;0.05), and the feeding rate (FR) and feed coefficient(FCR) in CPC68 and CPC80 groups were significantly increased (</w:t>
      </w:r>
      <w:r>
        <w:rPr>
          <w:rFonts w:hint="eastAsia"/>
          <w:i/>
          <w:szCs w:val="22"/>
        </w:rPr>
        <w:t>P</w:t>
      </w:r>
      <w:r>
        <w:rPr>
          <w:szCs w:val="22"/>
        </w:rPr>
        <w:t>&lt;0.05).2) Compared with FM group, the contents of glucose (GLU), triglyceride(TG)and high-density lipoprotein cholesterol (HDL-C) and the activities of lysozyme (LYS) and alkaline phosphatase (AKP) in serum in CPC80 group were significantly decreased (</w:t>
      </w:r>
      <w:r>
        <w:rPr>
          <w:rFonts w:hint="eastAsia"/>
          <w:i/>
          <w:szCs w:val="22"/>
        </w:rPr>
        <w:t>P</w:t>
      </w:r>
      <w:r>
        <w:rPr>
          <w:szCs w:val="22"/>
        </w:rPr>
        <w:t>&lt;0.05).3) Compared with FM group, the malondialdehyde (MDA) content in liver in CPC32 group was significantly decreased (</w:t>
      </w:r>
      <w:r>
        <w:rPr>
          <w:i/>
          <w:iCs/>
          <w:szCs w:val="22"/>
        </w:rPr>
        <w:t>P</w:t>
      </w:r>
      <w:r>
        <w:rPr>
          <w:szCs w:val="22"/>
        </w:rPr>
        <w:t>&lt;0.05),the superoxide dismutase (SOD) activity in liver in CPC44 group was significantly increased (</w:t>
      </w:r>
      <w:r>
        <w:rPr>
          <w:i/>
          <w:iCs/>
          <w:szCs w:val="22"/>
        </w:rPr>
        <w:t>P</w:t>
      </w:r>
      <w:r>
        <w:rPr>
          <w:szCs w:val="22"/>
        </w:rPr>
        <w:t xml:space="preserve">&lt;0.05), and the alanine aminotransferase (ALT) activity, reduced glutathione (GSH) content and total </w:t>
      </w:r>
      <w:proofErr w:type="spellStart"/>
      <w:r>
        <w:rPr>
          <w:szCs w:val="22"/>
        </w:rPr>
        <w:t>antioxid</w:t>
      </w:r>
      <w:proofErr w:type="spellEnd"/>
      <w:r>
        <w:rPr>
          <w:szCs w:val="22"/>
        </w:rPr>
        <w:t xml:space="preserve"> ant capacity (T-AOC) in liver in CPC68 and CPC80 groups were significantly decreased (</w:t>
      </w:r>
      <w:r>
        <w:rPr>
          <w:i/>
          <w:iCs/>
          <w:szCs w:val="22"/>
        </w:rPr>
        <w:t>P</w:t>
      </w:r>
      <w:r>
        <w:rPr>
          <w:szCs w:val="22"/>
        </w:rPr>
        <w:t>&lt;0.05).4) The intestinal trypsin activity in CPC44 and CPC56 groups was significantly higher than that in FM group (</w:t>
      </w:r>
      <w:r>
        <w:rPr>
          <w:i/>
          <w:iCs/>
          <w:szCs w:val="22"/>
        </w:rPr>
        <w:t>P</w:t>
      </w:r>
      <w:r>
        <w:rPr>
          <w:szCs w:val="22"/>
        </w:rPr>
        <w:t xml:space="preserve">&lt;0.05), and the intestinal lipase activity in CPC44 group was significantly higher than that in the other groups </w:t>
      </w:r>
      <w:r>
        <w:rPr>
          <w:i/>
          <w:iCs/>
          <w:szCs w:val="22"/>
        </w:rPr>
        <w:t>(P</w:t>
      </w:r>
      <w:r>
        <w:rPr>
          <w:szCs w:val="22"/>
        </w:rPr>
        <w:t>&lt;0.05).Compared with FM group, the intestinal villi height in CPC80 group was significantly decreased (</w:t>
      </w:r>
      <w:r>
        <w:rPr>
          <w:i/>
          <w:iCs/>
          <w:szCs w:val="22"/>
        </w:rPr>
        <w:t>P</w:t>
      </w:r>
      <w:r>
        <w:rPr>
          <w:szCs w:val="22"/>
        </w:rPr>
        <w:t xml:space="preserve">&lt;0.05).5) Compared with FM group, the intestinal </w:t>
      </w:r>
      <w:r>
        <w:rPr>
          <w:i/>
          <w:iCs/>
          <w:szCs w:val="22"/>
        </w:rPr>
        <w:t>Mycobacterium</w:t>
      </w:r>
      <w:r>
        <w:rPr>
          <w:szCs w:val="22"/>
        </w:rPr>
        <w:t xml:space="preserve"> relative abundance in CPC8</w:t>
      </w:r>
      <w:r>
        <w:rPr>
          <w:rFonts w:hint="eastAsia"/>
          <w:szCs w:val="22"/>
        </w:rPr>
        <w:t>0</w:t>
      </w:r>
      <w:r>
        <w:rPr>
          <w:szCs w:val="22"/>
        </w:rPr>
        <w:t xml:space="preserve"> group was significantly increased (</w:t>
      </w:r>
      <w:r>
        <w:rPr>
          <w:i/>
          <w:iCs/>
          <w:szCs w:val="22"/>
        </w:rPr>
        <w:t>P</w:t>
      </w:r>
      <w:r>
        <w:rPr>
          <w:szCs w:val="22"/>
        </w:rPr>
        <w:t xml:space="preserve">&lt;0.05); the ratio of Firmicutes to Bacteroidetes in intestine was gradually increased with the increase of the proportion of cottonseed protein concentrate instead of fish meal. In conclusion, under the conditions of this experiment, 32% and 44%6 of cottonseed protein concentrate instead of fish meal in the diet has no negative effects on the growth of </w:t>
      </w:r>
      <w:proofErr w:type="spellStart"/>
      <w:r>
        <w:rPr>
          <w:i/>
          <w:iCs/>
          <w:szCs w:val="22"/>
        </w:rPr>
        <w:t>Paramisgumus</w:t>
      </w:r>
      <w:proofErr w:type="spellEnd"/>
      <w:r>
        <w:rPr>
          <w:i/>
          <w:iCs/>
          <w:szCs w:val="22"/>
        </w:rPr>
        <w:t xml:space="preserve"> </w:t>
      </w:r>
      <w:proofErr w:type="spellStart"/>
      <w:r>
        <w:rPr>
          <w:i/>
          <w:iCs/>
          <w:szCs w:val="22"/>
        </w:rPr>
        <w:t>dabryanus</w:t>
      </w:r>
      <w:proofErr w:type="spellEnd"/>
      <w:r>
        <w:rPr>
          <w:szCs w:val="22"/>
        </w:rPr>
        <w:t xml:space="preserve">. Based on the WGR broken line model analysis, the appropriate ratio of cottonseed protein concentrate to replace fish meal in the diet of </w:t>
      </w:r>
      <w:proofErr w:type="spellStart"/>
      <w:r>
        <w:rPr>
          <w:i/>
          <w:iCs/>
          <w:szCs w:val="22"/>
        </w:rPr>
        <w:t>Paramisgurnus</w:t>
      </w:r>
      <w:proofErr w:type="spellEnd"/>
      <w:r>
        <w:rPr>
          <w:i/>
          <w:iCs/>
          <w:szCs w:val="22"/>
        </w:rPr>
        <w:t xml:space="preserve"> </w:t>
      </w:r>
      <w:proofErr w:type="spellStart"/>
      <w:r>
        <w:rPr>
          <w:i/>
          <w:iCs/>
          <w:szCs w:val="22"/>
        </w:rPr>
        <w:t>dabryanus</w:t>
      </w:r>
      <w:proofErr w:type="spellEnd"/>
      <w:r>
        <w:rPr>
          <w:szCs w:val="22"/>
        </w:rPr>
        <w:t xml:space="preserve"> is 30.46%.</w:t>
      </w:r>
    </w:p>
    <w:p w14:paraId="438E1EE4" w14:textId="77777777" w:rsidR="00400E98" w:rsidRDefault="00400E98" w:rsidP="00400E98">
      <w:pPr>
        <w:rPr>
          <w:szCs w:val="22"/>
        </w:rPr>
      </w:pPr>
      <w:r>
        <w:rPr>
          <w:b/>
          <w:bCs/>
          <w:szCs w:val="22"/>
        </w:rPr>
        <w:lastRenderedPageBreak/>
        <w:t>Key words:</w:t>
      </w:r>
      <w:r>
        <w:rPr>
          <w:szCs w:val="22"/>
        </w:rPr>
        <w:t xml:space="preserve"> </w:t>
      </w:r>
      <w:proofErr w:type="spellStart"/>
      <w:r>
        <w:rPr>
          <w:i/>
          <w:iCs/>
          <w:szCs w:val="22"/>
        </w:rPr>
        <w:t>Paramisgurnus</w:t>
      </w:r>
      <w:proofErr w:type="spellEnd"/>
      <w:r>
        <w:rPr>
          <w:i/>
          <w:iCs/>
          <w:szCs w:val="22"/>
        </w:rPr>
        <w:t xml:space="preserve"> </w:t>
      </w:r>
      <w:proofErr w:type="spellStart"/>
      <w:r>
        <w:rPr>
          <w:i/>
          <w:iCs/>
          <w:szCs w:val="22"/>
        </w:rPr>
        <w:t>dabryanus</w:t>
      </w:r>
      <w:proofErr w:type="spellEnd"/>
      <w:r>
        <w:rPr>
          <w:szCs w:val="22"/>
        </w:rPr>
        <w:t>; cottonseed protein concentrate; fish meal; growth performance; an-</w:t>
      </w:r>
    </w:p>
    <w:p w14:paraId="3E43F828" w14:textId="77777777" w:rsidR="00400E98" w:rsidRDefault="00400E98" w:rsidP="00400E98">
      <w:pPr>
        <w:rPr>
          <w:szCs w:val="22"/>
        </w:rPr>
      </w:pPr>
      <w:proofErr w:type="spellStart"/>
      <w:r>
        <w:rPr>
          <w:szCs w:val="22"/>
        </w:rPr>
        <w:t>tioxidant</w:t>
      </w:r>
      <w:proofErr w:type="spellEnd"/>
      <w:r>
        <w:rPr>
          <w:szCs w:val="22"/>
        </w:rPr>
        <w:t xml:space="preserve"> ability; immune function; intestinal health</w:t>
      </w:r>
    </w:p>
    <w:p w14:paraId="5093DC83" w14:textId="77777777" w:rsidR="00400E98" w:rsidRDefault="00400E98" w:rsidP="00400E98"/>
    <w:p w14:paraId="537F8074" w14:textId="77777777" w:rsidR="00400E98" w:rsidRDefault="00400E98" w:rsidP="00E27993">
      <w:pPr>
        <w:autoSpaceDE w:val="0"/>
        <w:spacing w:line="360" w:lineRule="auto"/>
        <w:ind w:firstLineChars="200" w:firstLine="480"/>
        <w:rPr>
          <w:sz w:val="24"/>
          <w:szCs w:val="22"/>
        </w:rPr>
      </w:pPr>
      <w:r>
        <w:rPr>
          <w:sz w:val="24"/>
          <w:szCs w:val="22"/>
        </w:rPr>
        <w:t>鱼粉是水产动物饲料中极为重要的蛋白质源，具有适口性好、蛋白质含量高以及氨基酸平衡等特点</w:t>
      </w:r>
      <w:r>
        <w:rPr>
          <w:sz w:val="24"/>
          <w:szCs w:val="22"/>
          <w:vertAlign w:val="superscript"/>
        </w:rPr>
        <w:t>[1]</w:t>
      </w:r>
      <w:r>
        <w:rPr>
          <w:sz w:val="24"/>
          <w:szCs w:val="22"/>
        </w:rPr>
        <w:t>，但近年来水产养殖行业与水产饲料的快速发展加剧了鱼粉供需之间的不平衡</w:t>
      </w:r>
      <w:r>
        <w:rPr>
          <w:sz w:val="24"/>
          <w:szCs w:val="22"/>
          <w:vertAlign w:val="superscript"/>
        </w:rPr>
        <w:t>[2]</w:t>
      </w:r>
      <w:r>
        <w:rPr>
          <w:sz w:val="24"/>
          <w:szCs w:val="22"/>
        </w:rPr>
        <w:t>，同时由于全球捕捞业产量降低，造成鱼粉产量降低与价格暴涨，因此寻求新型蛋白质源替代鱼粉成为亟待解决的热点问题。目前，已有多种新型蛋白质源用于替代鱼粉，包括植物蛋白质</w:t>
      </w:r>
      <w:r>
        <w:rPr>
          <w:sz w:val="24"/>
          <w:szCs w:val="22"/>
          <w:vertAlign w:val="superscript"/>
        </w:rPr>
        <w:t>[3-6]</w:t>
      </w:r>
      <w:r>
        <w:rPr>
          <w:sz w:val="24"/>
          <w:szCs w:val="22"/>
        </w:rPr>
        <w:t>、昆虫蛋白质</w:t>
      </w:r>
      <w:r>
        <w:rPr>
          <w:sz w:val="24"/>
          <w:szCs w:val="22"/>
          <w:vertAlign w:val="superscript"/>
        </w:rPr>
        <w:t>[7-8]</w:t>
      </w:r>
      <w:r>
        <w:rPr>
          <w:sz w:val="24"/>
          <w:szCs w:val="22"/>
        </w:rPr>
        <w:t>、细菌蛋白质</w:t>
      </w:r>
      <w:r>
        <w:rPr>
          <w:sz w:val="24"/>
          <w:szCs w:val="22"/>
          <w:vertAlign w:val="superscript"/>
        </w:rPr>
        <w:t>[9-10]</w:t>
      </w:r>
      <w:r>
        <w:rPr>
          <w:sz w:val="24"/>
          <w:szCs w:val="22"/>
        </w:rPr>
        <w:t>以及微藻蛋白质</w:t>
      </w:r>
      <w:r>
        <w:rPr>
          <w:sz w:val="24"/>
          <w:szCs w:val="22"/>
          <w:vertAlign w:val="superscript"/>
        </w:rPr>
        <w:t>[11]</w:t>
      </w:r>
      <w:r>
        <w:rPr>
          <w:sz w:val="24"/>
          <w:szCs w:val="22"/>
        </w:rPr>
        <w:t>等，其中植物蛋白质来源广、价格低、供应稳定，已在水产饲料中进行了广泛研究。然而，植物蛋白质原料存在适口性差、氨基酸不平衡以及含有不同种类抗营养因子等缺陷，易导致水产动物生产性能下降，免疫力低下，引发肠炎或造成肝脏损伤等问题</w:t>
      </w:r>
      <w:r>
        <w:rPr>
          <w:sz w:val="24"/>
          <w:szCs w:val="22"/>
          <w:vertAlign w:val="superscript"/>
        </w:rPr>
        <w:t>[12]</w:t>
      </w:r>
      <w:r>
        <w:rPr>
          <w:sz w:val="24"/>
          <w:szCs w:val="22"/>
        </w:rPr>
        <w:t>。棉籽浓缩蛋白（</w:t>
      </w:r>
      <w:r>
        <w:rPr>
          <w:sz w:val="24"/>
          <w:szCs w:val="22"/>
        </w:rPr>
        <w:t>cottonseed</w:t>
      </w:r>
      <w:r>
        <w:rPr>
          <w:rFonts w:hint="eastAsia"/>
          <w:sz w:val="24"/>
          <w:szCs w:val="22"/>
        </w:rPr>
        <w:t xml:space="preserve"> </w:t>
      </w:r>
      <w:r>
        <w:rPr>
          <w:sz w:val="24"/>
          <w:szCs w:val="22"/>
        </w:rPr>
        <w:t>protein</w:t>
      </w:r>
      <w:r>
        <w:rPr>
          <w:rFonts w:hint="eastAsia"/>
          <w:sz w:val="24"/>
          <w:szCs w:val="22"/>
        </w:rPr>
        <w:t xml:space="preserve"> </w:t>
      </w:r>
      <w:r>
        <w:rPr>
          <w:sz w:val="24"/>
          <w:szCs w:val="22"/>
        </w:rPr>
        <w:t>con-</w:t>
      </w:r>
      <w:proofErr w:type="spellStart"/>
      <w:r>
        <w:rPr>
          <w:sz w:val="24"/>
          <w:szCs w:val="22"/>
        </w:rPr>
        <w:t>centrate</w:t>
      </w:r>
      <w:proofErr w:type="spellEnd"/>
      <w:r>
        <w:rPr>
          <w:sz w:val="24"/>
          <w:szCs w:val="22"/>
        </w:rPr>
        <w:t>,</w:t>
      </w:r>
      <w:r>
        <w:rPr>
          <w:rFonts w:hint="eastAsia"/>
          <w:sz w:val="24"/>
          <w:szCs w:val="22"/>
        </w:rPr>
        <w:t xml:space="preserve"> </w:t>
      </w:r>
      <w:r>
        <w:rPr>
          <w:sz w:val="24"/>
          <w:szCs w:val="22"/>
        </w:rPr>
        <w:t>CPC</w:t>
      </w:r>
      <w:r>
        <w:rPr>
          <w:sz w:val="24"/>
          <w:szCs w:val="22"/>
        </w:rPr>
        <w:t>）通过低温脱酚技术降低棉籽粕中抗营养因子棉酚含量，减少蛋白质变性，提高蛋白质含量</w:t>
      </w:r>
      <w:r>
        <w:rPr>
          <w:sz w:val="24"/>
          <w:szCs w:val="22"/>
          <w:vertAlign w:val="superscript"/>
        </w:rPr>
        <w:t>[13]</w:t>
      </w:r>
      <w:r>
        <w:rPr>
          <w:sz w:val="24"/>
          <w:szCs w:val="22"/>
        </w:rPr>
        <w:t>，是极具潜力的新型蛋白质源。近年来，已有研究报道，棉籽浓缩蛋白可有效替代大口黑鲈（</w:t>
      </w:r>
      <w:r>
        <w:rPr>
          <w:i/>
          <w:iCs/>
          <w:sz w:val="24"/>
          <w:szCs w:val="22"/>
        </w:rPr>
        <w:t>Micropterus</w:t>
      </w:r>
      <w:r>
        <w:rPr>
          <w:rFonts w:hint="eastAsia"/>
          <w:i/>
          <w:iCs/>
          <w:sz w:val="24"/>
          <w:szCs w:val="22"/>
        </w:rPr>
        <w:t xml:space="preserve"> </w:t>
      </w:r>
      <w:proofErr w:type="spellStart"/>
      <w:r>
        <w:rPr>
          <w:i/>
          <w:iCs/>
          <w:sz w:val="24"/>
          <w:szCs w:val="22"/>
        </w:rPr>
        <w:t>salmoides</w:t>
      </w:r>
      <w:proofErr w:type="spellEnd"/>
      <w:r>
        <w:rPr>
          <w:sz w:val="24"/>
          <w:szCs w:val="22"/>
        </w:rPr>
        <w:t>)</w:t>
      </w:r>
      <w:r>
        <w:rPr>
          <w:sz w:val="24"/>
          <w:szCs w:val="22"/>
          <w:vertAlign w:val="superscript"/>
        </w:rPr>
        <w:t>[14-15]</w:t>
      </w:r>
      <w:r>
        <w:rPr>
          <w:sz w:val="24"/>
          <w:szCs w:val="22"/>
        </w:rPr>
        <w:t>、虹鳟</w:t>
      </w:r>
      <w:r>
        <w:rPr>
          <w:sz w:val="24"/>
          <w:szCs w:val="22"/>
        </w:rPr>
        <w:t>(</w:t>
      </w:r>
      <w:r>
        <w:rPr>
          <w:i/>
          <w:iCs/>
          <w:sz w:val="24"/>
          <w:szCs w:val="22"/>
        </w:rPr>
        <w:t>Oncorhynchus</w:t>
      </w:r>
      <w:r>
        <w:rPr>
          <w:rFonts w:hint="eastAsia"/>
          <w:i/>
          <w:iCs/>
          <w:sz w:val="24"/>
          <w:szCs w:val="22"/>
        </w:rPr>
        <w:t xml:space="preserve"> </w:t>
      </w:r>
      <w:r>
        <w:rPr>
          <w:i/>
          <w:iCs/>
          <w:sz w:val="24"/>
          <w:szCs w:val="22"/>
        </w:rPr>
        <w:t>mykiss</w:t>
      </w:r>
      <w:r>
        <w:rPr>
          <w:sz w:val="24"/>
          <w:szCs w:val="22"/>
        </w:rPr>
        <w:t>）</w:t>
      </w:r>
      <w:r>
        <w:rPr>
          <w:sz w:val="24"/>
          <w:szCs w:val="22"/>
          <w:vertAlign w:val="superscript"/>
        </w:rPr>
        <w:t>[16]</w:t>
      </w:r>
      <w:r>
        <w:rPr>
          <w:sz w:val="24"/>
          <w:szCs w:val="22"/>
        </w:rPr>
        <w:t>、黄鳝（</w:t>
      </w:r>
      <w:proofErr w:type="spellStart"/>
      <w:r>
        <w:rPr>
          <w:i/>
          <w:iCs/>
          <w:sz w:val="24"/>
          <w:szCs w:val="22"/>
        </w:rPr>
        <w:t>Monopterus</w:t>
      </w:r>
      <w:proofErr w:type="spellEnd"/>
      <w:r>
        <w:rPr>
          <w:rFonts w:hint="eastAsia"/>
          <w:i/>
          <w:iCs/>
          <w:sz w:val="24"/>
          <w:szCs w:val="22"/>
        </w:rPr>
        <w:t xml:space="preserve"> </w:t>
      </w:r>
      <w:r>
        <w:rPr>
          <w:i/>
          <w:iCs/>
          <w:sz w:val="24"/>
          <w:szCs w:val="22"/>
        </w:rPr>
        <w:t>albus</w:t>
      </w:r>
      <w:r>
        <w:rPr>
          <w:sz w:val="24"/>
          <w:szCs w:val="22"/>
        </w:rPr>
        <w:t>)</w:t>
      </w:r>
      <w:r>
        <w:rPr>
          <w:sz w:val="24"/>
          <w:szCs w:val="22"/>
          <w:vertAlign w:val="superscript"/>
        </w:rPr>
        <w:t>[17]</w:t>
      </w:r>
      <w:r>
        <w:rPr>
          <w:sz w:val="24"/>
          <w:szCs w:val="22"/>
        </w:rPr>
        <w:t>、卵形鲳修（</w:t>
      </w:r>
      <w:r>
        <w:rPr>
          <w:i/>
          <w:iCs/>
          <w:sz w:val="24"/>
          <w:szCs w:val="22"/>
        </w:rPr>
        <w:t>Trachinotus</w:t>
      </w:r>
      <w:r>
        <w:rPr>
          <w:rFonts w:hint="eastAsia"/>
          <w:i/>
          <w:iCs/>
          <w:sz w:val="24"/>
          <w:szCs w:val="22"/>
        </w:rPr>
        <w:t xml:space="preserve"> </w:t>
      </w:r>
      <w:r>
        <w:rPr>
          <w:i/>
          <w:iCs/>
          <w:sz w:val="24"/>
          <w:szCs w:val="22"/>
        </w:rPr>
        <w:t>ovatus</w:t>
      </w:r>
      <w:r>
        <w:rPr>
          <w:sz w:val="24"/>
          <w:szCs w:val="22"/>
        </w:rPr>
        <w:t>)</w:t>
      </w:r>
      <w:r>
        <w:rPr>
          <w:sz w:val="24"/>
          <w:szCs w:val="22"/>
          <w:vertAlign w:val="superscript"/>
        </w:rPr>
        <w:t>[18]</w:t>
      </w:r>
      <w:r>
        <w:rPr>
          <w:sz w:val="24"/>
          <w:szCs w:val="22"/>
        </w:rPr>
        <w:t>、大黄鱼（</w:t>
      </w:r>
      <w:proofErr w:type="spellStart"/>
      <w:r>
        <w:rPr>
          <w:i/>
          <w:iCs/>
          <w:sz w:val="24"/>
          <w:szCs w:val="22"/>
        </w:rPr>
        <w:t>Larimichthys</w:t>
      </w:r>
      <w:proofErr w:type="spellEnd"/>
      <w:r>
        <w:rPr>
          <w:rFonts w:hint="eastAsia"/>
          <w:i/>
          <w:iCs/>
          <w:sz w:val="24"/>
          <w:szCs w:val="22"/>
        </w:rPr>
        <w:t xml:space="preserve"> </w:t>
      </w:r>
      <w:proofErr w:type="spellStart"/>
      <w:r>
        <w:rPr>
          <w:i/>
          <w:iCs/>
          <w:sz w:val="24"/>
          <w:szCs w:val="22"/>
        </w:rPr>
        <w:t>crocea</w:t>
      </w:r>
      <w:proofErr w:type="spellEnd"/>
      <w:r>
        <w:rPr>
          <w:sz w:val="24"/>
          <w:szCs w:val="22"/>
        </w:rPr>
        <w:t>)</w:t>
      </w:r>
      <w:r>
        <w:rPr>
          <w:sz w:val="24"/>
          <w:szCs w:val="22"/>
          <w:vertAlign w:val="superscript"/>
        </w:rPr>
        <w:t>[19]</w:t>
      </w:r>
      <w:r>
        <w:rPr>
          <w:sz w:val="24"/>
          <w:szCs w:val="22"/>
        </w:rPr>
        <w:t>、凡纳滨对虾（</w:t>
      </w:r>
      <w:proofErr w:type="spellStart"/>
      <w:r>
        <w:rPr>
          <w:i/>
          <w:iCs/>
          <w:sz w:val="24"/>
          <w:szCs w:val="22"/>
        </w:rPr>
        <w:t>Litopenaeus</w:t>
      </w:r>
      <w:proofErr w:type="spellEnd"/>
      <w:r>
        <w:rPr>
          <w:rFonts w:hint="eastAsia"/>
          <w:i/>
          <w:iCs/>
          <w:sz w:val="24"/>
          <w:szCs w:val="22"/>
        </w:rPr>
        <w:t xml:space="preserve"> </w:t>
      </w:r>
      <w:proofErr w:type="spellStart"/>
      <w:r>
        <w:rPr>
          <w:i/>
          <w:iCs/>
          <w:sz w:val="24"/>
          <w:szCs w:val="22"/>
        </w:rPr>
        <w:t>vannamei</w:t>
      </w:r>
      <w:proofErr w:type="spellEnd"/>
      <w:r>
        <w:rPr>
          <w:sz w:val="24"/>
          <w:szCs w:val="22"/>
        </w:rPr>
        <w:t>)</w:t>
      </w:r>
      <w:r>
        <w:rPr>
          <w:sz w:val="24"/>
          <w:szCs w:val="22"/>
          <w:vertAlign w:val="superscript"/>
        </w:rPr>
        <w:t>[20]</w:t>
      </w:r>
      <w:r>
        <w:rPr>
          <w:sz w:val="24"/>
          <w:szCs w:val="22"/>
        </w:rPr>
        <w:t>以及杂交石斑鱼（</w:t>
      </w:r>
      <w:r>
        <w:rPr>
          <w:i/>
          <w:iCs/>
          <w:sz w:val="24"/>
          <w:szCs w:val="22"/>
        </w:rPr>
        <w:t>Epinephelus</w:t>
      </w:r>
      <w:r>
        <w:rPr>
          <w:rFonts w:hint="eastAsia"/>
          <w:i/>
          <w:iCs/>
          <w:sz w:val="24"/>
          <w:szCs w:val="22"/>
        </w:rPr>
        <w:t xml:space="preserve"> </w:t>
      </w:r>
      <w:proofErr w:type="spellStart"/>
      <w:r>
        <w:rPr>
          <w:i/>
          <w:iCs/>
          <w:sz w:val="24"/>
          <w:szCs w:val="22"/>
        </w:rPr>
        <w:t>fuscoguttatuse</w:t>
      </w:r>
      <w:proofErr w:type="spellEnd"/>
      <w:r>
        <w:rPr>
          <w:rFonts w:hint="eastAsia"/>
          <w:sz w:val="24"/>
          <w:szCs w:val="22"/>
        </w:rPr>
        <w:t xml:space="preserve"> </w:t>
      </w:r>
      <w:r>
        <w:rPr>
          <w:rFonts w:hint="eastAsia"/>
          <w:sz w:val="24"/>
          <w:szCs w:val="22"/>
        </w:rPr>
        <w:t>×</w:t>
      </w:r>
      <w:r>
        <w:rPr>
          <w:rFonts w:hint="eastAsia"/>
          <w:sz w:val="24"/>
          <w:szCs w:val="22"/>
        </w:rPr>
        <w:t xml:space="preserve"> </w:t>
      </w:r>
      <w:r>
        <w:rPr>
          <w:i/>
          <w:iCs/>
          <w:sz w:val="24"/>
          <w:szCs w:val="22"/>
        </w:rPr>
        <w:t>Epinephelus</w:t>
      </w:r>
      <w:r>
        <w:rPr>
          <w:rFonts w:hint="eastAsia"/>
          <w:i/>
          <w:iCs/>
          <w:sz w:val="24"/>
          <w:szCs w:val="22"/>
        </w:rPr>
        <w:t xml:space="preserve"> </w:t>
      </w:r>
      <w:r>
        <w:rPr>
          <w:i/>
          <w:iCs/>
          <w:sz w:val="24"/>
          <w:szCs w:val="22"/>
        </w:rPr>
        <w:t>lanceolatus</w:t>
      </w:r>
      <w:r>
        <w:rPr>
          <w:sz w:val="24"/>
          <w:szCs w:val="22"/>
        </w:rPr>
        <w:t>)</w:t>
      </w:r>
      <w:r>
        <w:rPr>
          <w:sz w:val="24"/>
          <w:szCs w:val="22"/>
          <w:vertAlign w:val="superscript"/>
        </w:rPr>
        <w:t>[21]</w:t>
      </w:r>
      <w:r>
        <w:rPr>
          <w:sz w:val="24"/>
          <w:szCs w:val="22"/>
        </w:rPr>
        <w:t>等饲料中的鱼粉，这些研究表明，饲料中适量添加棉籽浓缩蛋白有利于水产动物生长性能的提高，改善肠道健康并提高抗氧化能力和免疫能力。大鳞副泥鳅（</w:t>
      </w:r>
      <w:proofErr w:type="spellStart"/>
      <w:r>
        <w:rPr>
          <w:i/>
          <w:iCs/>
          <w:sz w:val="24"/>
          <w:szCs w:val="22"/>
        </w:rPr>
        <w:t>Paramisgurnus</w:t>
      </w:r>
      <w:proofErr w:type="spellEnd"/>
      <w:r>
        <w:rPr>
          <w:rFonts w:hint="eastAsia"/>
          <w:i/>
          <w:iCs/>
          <w:sz w:val="24"/>
          <w:szCs w:val="22"/>
        </w:rPr>
        <w:t xml:space="preserve"> </w:t>
      </w:r>
      <w:proofErr w:type="spellStart"/>
      <w:r>
        <w:rPr>
          <w:i/>
          <w:iCs/>
          <w:sz w:val="24"/>
          <w:szCs w:val="22"/>
        </w:rPr>
        <w:t>dabryanus</w:t>
      </w:r>
      <w:proofErr w:type="spellEnd"/>
      <w:r>
        <w:rPr>
          <w:sz w:val="24"/>
          <w:szCs w:val="22"/>
        </w:rPr>
        <w:t>）属鲤形目、鳅科、副泥鳅属，具有肉质鲜美、生长速度快、适应能力强以及养殖成本低的特点，在我国广泛分布，具有优越的市场前景</w:t>
      </w:r>
      <w:r>
        <w:rPr>
          <w:sz w:val="24"/>
          <w:szCs w:val="22"/>
          <w:vertAlign w:val="superscript"/>
        </w:rPr>
        <w:t>[22]</w:t>
      </w:r>
      <w:r>
        <w:rPr>
          <w:sz w:val="24"/>
          <w:szCs w:val="22"/>
        </w:rPr>
        <w:t>。目前，使用棉籽浓缩蛋白替代饲料中鱼粉的研究在大鳞副泥鳅上鲜有报道。因此，本试验以大鳞副泥鳅为研究对象，探讨棉籽浓缩蛋白替代鱼粉对大鳞副泥鳅生长性能、血清生化指标、抗氧化能力、免疫功能和肠道健康的影响，用以探究棉籽浓缩蛋白替代大鳞副泥鳅饲料中鱼粉的可行性，从而为其在大鳞副泥鳅饲料中的应用提供科学依据。</w:t>
      </w:r>
    </w:p>
    <w:p w14:paraId="5D6FCD70" w14:textId="7AC2E4A5" w:rsidR="00400E98" w:rsidRDefault="00400E98" w:rsidP="00400E98">
      <w:pPr>
        <w:spacing w:line="360" w:lineRule="auto"/>
        <w:rPr>
          <w:sz w:val="24"/>
          <w:szCs w:val="22"/>
        </w:rPr>
      </w:pPr>
      <w:r>
        <w:rPr>
          <w:sz w:val="24"/>
          <w:szCs w:val="22"/>
        </w:rPr>
        <w:t>1</w:t>
      </w:r>
      <w:r>
        <w:rPr>
          <w:sz w:val="24"/>
          <w:szCs w:val="22"/>
        </w:rPr>
        <w:t>材料与方法</w:t>
      </w:r>
    </w:p>
    <w:p w14:paraId="25291FB9" w14:textId="21CA87DA" w:rsidR="00400E98" w:rsidRDefault="00400E98" w:rsidP="00400E98">
      <w:pPr>
        <w:spacing w:line="360" w:lineRule="auto"/>
        <w:rPr>
          <w:sz w:val="24"/>
          <w:szCs w:val="22"/>
        </w:rPr>
      </w:pPr>
      <w:r>
        <w:rPr>
          <w:sz w:val="24"/>
          <w:szCs w:val="22"/>
        </w:rPr>
        <w:t>1.1</w:t>
      </w:r>
      <w:r>
        <w:rPr>
          <w:sz w:val="24"/>
          <w:szCs w:val="22"/>
        </w:rPr>
        <w:t>试验材料</w:t>
      </w:r>
    </w:p>
    <w:p w14:paraId="35B2D479" w14:textId="77777777" w:rsidR="00400E98" w:rsidRDefault="00400E98" w:rsidP="00400E98">
      <w:pPr>
        <w:spacing w:line="360" w:lineRule="auto"/>
        <w:ind w:firstLineChars="200" w:firstLine="480"/>
        <w:rPr>
          <w:sz w:val="24"/>
          <w:szCs w:val="22"/>
        </w:rPr>
      </w:pPr>
      <w:r>
        <w:rPr>
          <w:sz w:val="24"/>
          <w:szCs w:val="22"/>
        </w:rPr>
        <w:t>试验所用棉籽浓缩蛋白为市购产品，其粗蛋白质含量为</w:t>
      </w:r>
      <w:r>
        <w:rPr>
          <w:sz w:val="24"/>
          <w:szCs w:val="22"/>
        </w:rPr>
        <w:t>62.53%</w:t>
      </w:r>
      <w:r>
        <w:rPr>
          <w:sz w:val="24"/>
          <w:szCs w:val="22"/>
        </w:rPr>
        <w:t>，游离棉酚含量为</w:t>
      </w:r>
      <w:r>
        <w:rPr>
          <w:sz w:val="24"/>
          <w:szCs w:val="22"/>
        </w:rPr>
        <w:t>228mg/k</w:t>
      </w:r>
      <w:r>
        <w:rPr>
          <w:sz w:val="24"/>
          <w:szCs w:val="22"/>
        </w:rPr>
        <w:t>。大鳞副泥鳅购自江西东乡泥鳅科技小院，正式试验前转运至江西农业大学水产基地暂养</w:t>
      </w:r>
      <w:r>
        <w:rPr>
          <w:sz w:val="24"/>
          <w:szCs w:val="22"/>
        </w:rPr>
        <w:t>2</w:t>
      </w:r>
      <w:r>
        <w:rPr>
          <w:sz w:val="24"/>
          <w:szCs w:val="22"/>
        </w:rPr>
        <w:t>周</w:t>
      </w:r>
      <w:r>
        <w:rPr>
          <w:sz w:val="24"/>
          <w:szCs w:val="22"/>
        </w:rPr>
        <w:t>,</w:t>
      </w:r>
      <w:r>
        <w:rPr>
          <w:sz w:val="24"/>
          <w:szCs w:val="22"/>
        </w:rPr>
        <w:t>投喂基础饲料，使其适应养殖条件，试验开始前禁食</w:t>
      </w:r>
      <w:r>
        <w:rPr>
          <w:sz w:val="24"/>
          <w:szCs w:val="22"/>
        </w:rPr>
        <w:t>24h</w:t>
      </w:r>
      <w:r>
        <w:rPr>
          <w:sz w:val="24"/>
          <w:szCs w:val="22"/>
        </w:rPr>
        <w:t>。</w:t>
      </w:r>
    </w:p>
    <w:p w14:paraId="005299FC" w14:textId="77777777" w:rsidR="00E27993" w:rsidRDefault="00E27993" w:rsidP="00400E98">
      <w:pPr>
        <w:spacing w:line="360" w:lineRule="auto"/>
        <w:rPr>
          <w:sz w:val="24"/>
          <w:szCs w:val="22"/>
        </w:rPr>
      </w:pPr>
    </w:p>
    <w:p w14:paraId="288DFEC0" w14:textId="7BEA0354" w:rsidR="00400E98" w:rsidRDefault="00400E98" w:rsidP="00400E98">
      <w:pPr>
        <w:spacing w:line="360" w:lineRule="auto"/>
        <w:rPr>
          <w:sz w:val="24"/>
          <w:szCs w:val="22"/>
        </w:rPr>
      </w:pPr>
      <w:r>
        <w:rPr>
          <w:sz w:val="24"/>
          <w:szCs w:val="22"/>
        </w:rPr>
        <w:lastRenderedPageBreak/>
        <w:t>1.2</w:t>
      </w:r>
      <w:r>
        <w:rPr>
          <w:sz w:val="24"/>
          <w:szCs w:val="22"/>
        </w:rPr>
        <w:t>试验设计和饲料</w:t>
      </w:r>
    </w:p>
    <w:p w14:paraId="6A72C897" w14:textId="77777777" w:rsidR="00400E98" w:rsidRDefault="00400E98" w:rsidP="00400E98">
      <w:pPr>
        <w:spacing w:line="360" w:lineRule="auto"/>
        <w:ind w:firstLineChars="200" w:firstLine="480"/>
        <w:rPr>
          <w:sz w:val="24"/>
          <w:szCs w:val="22"/>
        </w:rPr>
      </w:pPr>
      <w:r>
        <w:rPr>
          <w:sz w:val="24"/>
          <w:szCs w:val="22"/>
        </w:rPr>
        <w:t>本试验经江西农业大学动物保护与利用专业委员会批准（伦理批准号：</w:t>
      </w:r>
      <w:r>
        <w:rPr>
          <w:sz w:val="24"/>
          <w:szCs w:val="22"/>
        </w:rPr>
        <w:t>YU2005-0001</w:t>
      </w:r>
      <w:r>
        <w:rPr>
          <w:sz w:val="24"/>
          <w:szCs w:val="22"/>
        </w:rPr>
        <w:t>）。试验选取</w:t>
      </w:r>
      <w:r>
        <w:rPr>
          <w:sz w:val="24"/>
          <w:szCs w:val="22"/>
        </w:rPr>
        <w:t>960</w:t>
      </w:r>
      <w:r>
        <w:rPr>
          <w:sz w:val="24"/>
          <w:szCs w:val="22"/>
        </w:rPr>
        <w:t>尾体质健康、外观正常、初始体质量为（</w:t>
      </w:r>
      <w:r>
        <w:rPr>
          <w:sz w:val="24"/>
          <w:szCs w:val="22"/>
        </w:rPr>
        <w:t>2.60±0.01</w:t>
      </w:r>
      <w:r>
        <w:rPr>
          <w:sz w:val="24"/>
          <w:szCs w:val="22"/>
        </w:rPr>
        <w:t>）</w:t>
      </w:r>
      <w:r>
        <w:rPr>
          <w:sz w:val="24"/>
          <w:szCs w:val="22"/>
        </w:rPr>
        <w:t>g</w:t>
      </w:r>
      <w:r>
        <w:rPr>
          <w:sz w:val="24"/>
          <w:szCs w:val="22"/>
        </w:rPr>
        <w:t>的大鳞副泥鳅，随机分为</w:t>
      </w:r>
      <w:r>
        <w:rPr>
          <w:sz w:val="24"/>
          <w:szCs w:val="22"/>
        </w:rPr>
        <w:t>6</w:t>
      </w:r>
      <w:r>
        <w:rPr>
          <w:sz w:val="24"/>
          <w:szCs w:val="22"/>
        </w:rPr>
        <w:t>组，每组</w:t>
      </w:r>
      <w:r>
        <w:rPr>
          <w:sz w:val="24"/>
          <w:szCs w:val="22"/>
        </w:rPr>
        <w:t>4</w:t>
      </w:r>
      <w:r>
        <w:rPr>
          <w:sz w:val="24"/>
          <w:szCs w:val="22"/>
        </w:rPr>
        <w:t>个重复，每个重复</w:t>
      </w:r>
      <w:r>
        <w:rPr>
          <w:sz w:val="24"/>
          <w:szCs w:val="22"/>
        </w:rPr>
        <w:t>40</w:t>
      </w:r>
      <w:r>
        <w:rPr>
          <w:sz w:val="24"/>
          <w:szCs w:val="22"/>
        </w:rPr>
        <w:t>尾。</w:t>
      </w:r>
      <w:r>
        <w:rPr>
          <w:sz w:val="24"/>
          <w:szCs w:val="22"/>
        </w:rPr>
        <w:t>6</w:t>
      </w:r>
      <w:r>
        <w:rPr>
          <w:sz w:val="24"/>
          <w:szCs w:val="22"/>
        </w:rPr>
        <w:t>组分别饲喂采用棉籽浓缩蛋白替代基础饲料中</w:t>
      </w:r>
      <w:r>
        <w:rPr>
          <w:sz w:val="24"/>
          <w:szCs w:val="22"/>
        </w:rPr>
        <w:t>0</w:t>
      </w:r>
      <w:r>
        <w:rPr>
          <w:sz w:val="24"/>
          <w:szCs w:val="22"/>
        </w:rPr>
        <w:t>（对照，</w:t>
      </w:r>
      <w:r>
        <w:rPr>
          <w:sz w:val="24"/>
          <w:szCs w:val="22"/>
        </w:rPr>
        <w:t>FM</w:t>
      </w:r>
      <w:r>
        <w:rPr>
          <w:sz w:val="24"/>
          <w:szCs w:val="22"/>
        </w:rPr>
        <w:t>组）、</w:t>
      </w:r>
      <w:r>
        <w:rPr>
          <w:sz w:val="24"/>
          <w:szCs w:val="22"/>
        </w:rPr>
        <w:t>32%(CPC32</w:t>
      </w:r>
      <w:r>
        <w:rPr>
          <w:sz w:val="24"/>
          <w:szCs w:val="22"/>
        </w:rPr>
        <w:t>组）、</w:t>
      </w:r>
      <w:r>
        <w:rPr>
          <w:sz w:val="24"/>
          <w:szCs w:val="22"/>
        </w:rPr>
        <w:t>44%(CPC44</w:t>
      </w:r>
      <w:r>
        <w:rPr>
          <w:sz w:val="24"/>
          <w:szCs w:val="22"/>
        </w:rPr>
        <w:t>组）、</w:t>
      </w:r>
      <w:r>
        <w:rPr>
          <w:sz w:val="24"/>
          <w:szCs w:val="22"/>
        </w:rPr>
        <w:t>56%</w:t>
      </w:r>
      <w:r>
        <w:rPr>
          <w:sz w:val="24"/>
          <w:szCs w:val="22"/>
        </w:rPr>
        <w:t>（</w:t>
      </w:r>
      <w:r>
        <w:rPr>
          <w:sz w:val="24"/>
          <w:szCs w:val="22"/>
        </w:rPr>
        <w:t>CPC56</w:t>
      </w:r>
      <w:r>
        <w:rPr>
          <w:sz w:val="24"/>
          <w:szCs w:val="22"/>
        </w:rPr>
        <w:t>组）、</w:t>
      </w:r>
      <w:r>
        <w:rPr>
          <w:sz w:val="24"/>
          <w:szCs w:val="22"/>
        </w:rPr>
        <w:t>68%</w:t>
      </w:r>
      <w:r>
        <w:rPr>
          <w:sz w:val="24"/>
          <w:szCs w:val="22"/>
        </w:rPr>
        <w:t>（</w:t>
      </w:r>
      <w:r>
        <w:rPr>
          <w:sz w:val="24"/>
          <w:szCs w:val="22"/>
        </w:rPr>
        <w:t>CPC68</w:t>
      </w:r>
      <w:r>
        <w:rPr>
          <w:sz w:val="24"/>
          <w:szCs w:val="22"/>
        </w:rPr>
        <w:t>组）和</w:t>
      </w:r>
      <w:r>
        <w:rPr>
          <w:sz w:val="24"/>
          <w:szCs w:val="22"/>
        </w:rPr>
        <w:t>80%</w:t>
      </w:r>
      <w:r>
        <w:rPr>
          <w:sz w:val="24"/>
          <w:szCs w:val="22"/>
        </w:rPr>
        <w:t>（</w:t>
      </w:r>
      <w:r>
        <w:rPr>
          <w:sz w:val="24"/>
          <w:szCs w:val="22"/>
        </w:rPr>
        <w:t>CPC80</w:t>
      </w:r>
      <w:r>
        <w:rPr>
          <w:sz w:val="24"/>
          <w:szCs w:val="22"/>
        </w:rPr>
        <w:t>组）鱼粉的饲料。试验期</w:t>
      </w:r>
      <w:r>
        <w:rPr>
          <w:sz w:val="24"/>
          <w:szCs w:val="22"/>
        </w:rPr>
        <w:t>8</w:t>
      </w:r>
      <w:r>
        <w:rPr>
          <w:sz w:val="24"/>
          <w:szCs w:val="22"/>
        </w:rPr>
        <w:t>周。本试验以鱼粉、豆粕、菜籽粕和棉籽浓缩蛋白作为主要蛋白质源，以鱼油和大豆油作为脂肪源，设计基础饲料鱼粉（粗蛋白质含量实测值为</w:t>
      </w:r>
      <w:r>
        <w:rPr>
          <w:sz w:val="24"/>
          <w:szCs w:val="22"/>
        </w:rPr>
        <w:t>66.12%</w:t>
      </w:r>
      <w:r>
        <w:rPr>
          <w:sz w:val="24"/>
          <w:szCs w:val="22"/>
        </w:rPr>
        <w:t>）含量为</w:t>
      </w:r>
      <w:r>
        <w:rPr>
          <w:sz w:val="24"/>
          <w:szCs w:val="22"/>
        </w:rPr>
        <w:t>25%</w:t>
      </w:r>
      <w:r>
        <w:rPr>
          <w:sz w:val="24"/>
          <w:szCs w:val="22"/>
        </w:rPr>
        <w:t>，并通过添加精氨酸、赖氨酸和蛋氨酸，配制</w:t>
      </w:r>
      <w:r>
        <w:rPr>
          <w:sz w:val="24"/>
          <w:szCs w:val="22"/>
        </w:rPr>
        <w:t>6</w:t>
      </w:r>
      <w:r>
        <w:rPr>
          <w:sz w:val="24"/>
          <w:szCs w:val="22"/>
        </w:rPr>
        <w:t>种等氮等脂的饲料。试验原料粉碎后过</w:t>
      </w:r>
      <w:r>
        <w:rPr>
          <w:sz w:val="24"/>
          <w:szCs w:val="22"/>
        </w:rPr>
        <w:t>80</w:t>
      </w:r>
      <w:r>
        <w:rPr>
          <w:sz w:val="24"/>
          <w:szCs w:val="22"/>
        </w:rPr>
        <w:t>目筛，根据饲料配方准确称取原料，逐级混合，并采用小型制粒机制成直径为</w:t>
      </w:r>
      <w:r>
        <w:rPr>
          <w:sz w:val="24"/>
          <w:szCs w:val="22"/>
        </w:rPr>
        <w:t>1.0mm</w:t>
      </w:r>
      <w:r>
        <w:rPr>
          <w:sz w:val="24"/>
          <w:szCs w:val="22"/>
        </w:rPr>
        <w:t>的沉性颗粒饲料。饲料组成及营养水平见表</w:t>
      </w:r>
      <w:r>
        <w:rPr>
          <w:sz w:val="24"/>
          <w:szCs w:val="22"/>
        </w:rPr>
        <w:t>1</w:t>
      </w:r>
      <w:r>
        <w:rPr>
          <w:sz w:val="24"/>
          <w:szCs w:val="22"/>
        </w:rPr>
        <w:t>，饲料氨基酸组成见表</w:t>
      </w:r>
      <w:r>
        <w:rPr>
          <w:sz w:val="24"/>
          <w:szCs w:val="22"/>
        </w:rPr>
        <w:t>2</w:t>
      </w:r>
      <w:r>
        <w:rPr>
          <w:sz w:val="24"/>
          <w:szCs w:val="22"/>
        </w:rPr>
        <w:t>。</w:t>
      </w:r>
    </w:p>
    <w:p w14:paraId="0070D6DC" w14:textId="70A3166C" w:rsidR="00E27993" w:rsidRDefault="00E27993" w:rsidP="00E27993">
      <w:pPr>
        <w:spacing w:line="360" w:lineRule="auto"/>
        <w:rPr>
          <w:sz w:val="24"/>
          <w:szCs w:val="22"/>
        </w:rPr>
      </w:pPr>
      <w:r>
        <w:rPr>
          <w:sz w:val="24"/>
          <w:szCs w:val="22"/>
        </w:rPr>
        <w:t>1.3</w:t>
      </w:r>
      <w:r>
        <w:rPr>
          <w:sz w:val="24"/>
          <w:szCs w:val="22"/>
        </w:rPr>
        <w:t>饲养管理</w:t>
      </w:r>
    </w:p>
    <w:p w14:paraId="03EF614F" w14:textId="77777777" w:rsidR="00E27993" w:rsidRDefault="00E27993" w:rsidP="00E27993">
      <w:pPr>
        <w:spacing w:line="360" w:lineRule="auto"/>
        <w:ind w:firstLineChars="200" w:firstLine="480"/>
        <w:rPr>
          <w:sz w:val="24"/>
          <w:szCs w:val="22"/>
        </w:rPr>
      </w:pPr>
      <w:r>
        <w:rPr>
          <w:sz w:val="24"/>
          <w:szCs w:val="22"/>
        </w:rPr>
        <w:t>饲养试验在江西农业大学水产基地进行，养殖用桶规格为</w:t>
      </w:r>
      <w:r>
        <w:rPr>
          <w:sz w:val="24"/>
          <w:szCs w:val="22"/>
        </w:rPr>
        <w:t>80cm×66cm×64cm</w:t>
      </w:r>
      <w:r>
        <w:rPr>
          <w:sz w:val="24"/>
          <w:szCs w:val="22"/>
        </w:rPr>
        <w:t>，养殖水体为</w:t>
      </w:r>
      <w:r>
        <w:rPr>
          <w:sz w:val="24"/>
          <w:szCs w:val="22"/>
        </w:rPr>
        <w:t>270L</w:t>
      </w:r>
      <w:r>
        <w:rPr>
          <w:sz w:val="24"/>
          <w:szCs w:val="22"/>
        </w:rPr>
        <w:t>，养殖用水为曝气自来水。试验期间，每天</w:t>
      </w:r>
      <w:r>
        <w:rPr>
          <w:sz w:val="24"/>
          <w:szCs w:val="22"/>
        </w:rPr>
        <w:t>08</w:t>
      </w:r>
      <w:r>
        <w:rPr>
          <w:sz w:val="24"/>
          <w:szCs w:val="22"/>
        </w:rPr>
        <w:t>：</w:t>
      </w:r>
      <w:r>
        <w:rPr>
          <w:sz w:val="24"/>
          <w:szCs w:val="22"/>
        </w:rPr>
        <w:t>00</w:t>
      </w:r>
      <w:r>
        <w:rPr>
          <w:sz w:val="24"/>
          <w:szCs w:val="22"/>
        </w:rPr>
        <w:t>和</w:t>
      </w:r>
      <w:r>
        <w:rPr>
          <w:sz w:val="24"/>
          <w:szCs w:val="22"/>
        </w:rPr>
        <w:t>17</w:t>
      </w:r>
      <w:r>
        <w:rPr>
          <w:sz w:val="24"/>
          <w:szCs w:val="22"/>
        </w:rPr>
        <w:t>：</w:t>
      </w:r>
      <w:r>
        <w:rPr>
          <w:sz w:val="24"/>
          <w:szCs w:val="22"/>
        </w:rPr>
        <w:t>00</w:t>
      </w:r>
      <w:r>
        <w:rPr>
          <w:sz w:val="24"/>
          <w:szCs w:val="22"/>
        </w:rPr>
        <w:t>对大鳞副泥鳅进行饱食投喂，每隔</w:t>
      </w:r>
      <w:r>
        <w:rPr>
          <w:sz w:val="24"/>
          <w:szCs w:val="22"/>
        </w:rPr>
        <w:t>4d</w:t>
      </w:r>
      <w:r>
        <w:rPr>
          <w:sz w:val="24"/>
          <w:szCs w:val="22"/>
        </w:rPr>
        <w:t>更换</w:t>
      </w:r>
      <w:r>
        <w:rPr>
          <w:sz w:val="24"/>
          <w:szCs w:val="22"/>
        </w:rPr>
        <w:t>2/3</w:t>
      </w:r>
      <w:r>
        <w:rPr>
          <w:sz w:val="24"/>
          <w:szCs w:val="22"/>
        </w:rPr>
        <w:t>水量，每天观察试验泥鳅摄食情况和死亡情况并记录，每周对大鳞副泥鳅摄食量进行称重测定，根据泥鳅摄食情况对投喂量及时调整，并且对每次投喂后残饵进行打捞，烘干后称重，粪便则通过换水进行处理。饲养水温波动范围为</w:t>
      </w:r>
      <w:r>
        <w:rPr>
          <w:sz w:val="24"/>
          <w:szCs w:val="22"/>
        </w:rPr>
        <w:t>26~30℃</w:t>
      </w:r>
      <w:r>
        <w:rPr>
          <w:sz w:val="24"/>
          <w:szCs w:val="22"/>
        </w:rPr>
        <w:t>，</w:t>
      </w:r>
      <w:r>
        <w:rPr>
          <w:sz w:val="24"/>
          <w:szCs w:val="22"/>
        </w:rPr>
        <w:t>24h</w:t>
      </w:r>
      <w:r>
        <w:rPr>
          <w:sz w:val="24"/>
          <w:szCs w:val="22"/>
        </w:rPr>
        <w:t>不间断充氧，保证溶氧含量大于</w:t>
      </w:r>
      <w:r>
        <w:rPr>
          <w:sz w:val="24"/>
          <w:szCs w:val="22"/>
        </w:rPr>
        <w:t>5mg/L</w:t>
      </w:r>
      <w:r>
        <w:rPr>
          <w:sz w:val="24"/>
          <w:szCs w:val="22"/>
        </w:rPr>
        <w:t>，</w:t>
      </w:r>
      <w:r>
        <w:rPr>
          <w:sz w:val="24"/>
          <w:szCs w:val="22"/>
        </w:rPr>
        <w:t>pH</w:t>
      </w:r>
      <w:r>
        <w:rPr>
          <w:sz w:val="24"/>
          <w:szCs w:val="22"/>
        </w:rPr>
        <w:t>在</w:t>
      </w:r>
      <w:r>
        <w:rPr>
          <w:sz w:val="24"/>
          <w:szCs w:val="22"/>
        </w:rPr>
        <w:t>7.2</w:t>
      </w:r>
      <w:r>
        <w:rPr>
          <w:sz w:val="24"/>
          <w:szCs w:val="22"/>
        </w:rPr>
        <w:t>左右。</w:t>
      </w:r>
    </w:p>
    <w:p w14:paraId="1174CDB3" w14:textId="3BA01815" w:rsidR="00E27993" w:rsidRDefault="00E27993" w:rsidP="00E27993">
      <w:pPr>
        <w:spacing w:line="360" w:lineRule="auto"/>
        <w:rPr>
          <w:sz w:val="24"/>
          <w:szCs w:val="22"/>
        </w:rPr>
      </w:pPr>
      <w:r>
        <w:rPr>
          <w:sz w:val="24"/>
          <w:szCs w:val="22"/>
        </w:rPr>
        <w:t>1.4</w:t>
      </w:r>
      <w:r>
        <w:rPr>
          <w:sz w:val="24"/>
          <w:szCs w:val="22"/>
        </w:rPr>
        <w:t>样品采集</w:t>
      </w:r>
    </w:p>
    <w:p w14:paraId="4903FB44" w14:textId="77777777" w:rsidR="00E27993" w:rsidRDefault="00E27993" w:rsidP="00E27993">
      <w:pPr>
        <w:spacing w:line="360" w:lineRule="auto"/>
        <w:ind w:firstLineChars="200" w:firstLine="480"/>
        <w:rPr>
          <w:sz w:val="24"/>
          <w:szCs w:val="22"/>
        </w:rPr>
      </w:pPr>
      <w:r>
        <w:rPr>
          <w:sz w:val="24"/>
          <w:szCs w:val="22"/>
        </w:rPr>
        <w:t>饲养试验结束后，试验泥鳅禁食</w:t>
      </w:r>
      <w:r>
        <w:rPr>
          <w:sz w:val="24"/>
          <w:szCs w:val="22"/>
        </w:rPr>
        <w:t>24h</w:t>
      </w:r>
      <w:r>
        <w:rPr>
          <w:sz w:val="24"/>
          <w:szCs w:val="22"/>
        </w:rPr>
        <w:t>。采用</w:t>
      </w:r>
      <w:r>
        <w:rPr>
          <w:sz w:val="24"/>
          <w:szCs w:val="22"/>
        </w:rPr>
        <w:t>MS-222</w:t>
      </w:r>
      <w:r>
        <w:rPr>
          <w:sz w:val="24"/>
          <w:szCs w:val="22"/>
        </w:rPr>
        <w:t>麻醉后，统计每个养殖桶内的泥鳅尾数和总质量。每桶随机挑选</w:t>
      </w:r>
      <w:r>
        <w:rPr>
          <w:sz w:val="24"/>
          <w:szCs w:val="22"/>
        </w:rPr>
        <w:t>12</w:t>
      </w:r>
      <w:r>
        <w:rPr>
          <w:sz w:val="24"/>
          <w:szCs w:val="22"/>
        </w:rPr>
        <w:t>尾泥鳅，取</w:t>
      </w:r>
      <w:r>
        <w:rPr>
          <w:sz w:val="24"/>
          <w:szCs w:val="22"/>
        </w:rPr>
        <w:t>3</w:t>
      </w:r>
      <w:r>
        <w:rPr>
          <w:sz w:val="24"/>
          <w:szCs w:val="22"/>
        </w:rPr>
        <w:t>尾作为全鱼样品，用于常规营养成分的测定；另外</w:t>
      </w:r>
      <w:r>
        <w:rPr>
          <w:sz w:val="24"/>
          <w:szCs w:val="22"/>
        </w:rPr>
        <w:t>9</w:t>
      </w:r>
      <w:r>
        <w:rPr>
          <w:sz w:val="24"/>
          <w:szCs w:val="22"/>
        </w:rPr>
        <w:t>尾测量体长和体重，之后采取尾静脉抽血，</w:t>
      </w:r>
      <w:r>
        <w:rPr>
          <w:sz w:val="24"/>
          <w:szCs w:val="22"/>
        </w:rPr>
        <w:t>4C</w:t>
      </w:r>
      <w:r>
        <w:rPr>
          <w:sz w:val="24"/>
          <w:szCs w:val="22"/>
        </w:rPr>
        <w:t>静置，离心机</w:t>
      </w:r>
      <w:r>
        <w:rPr>
          <w:sz w:val="24"/>
          <w:szCs w:val="22"/>
        </w:rPr>
        <w:t>1006.2×g</w:t>
      </w:r>
      <w:r>
        <w:rPr>
          <w:sz w:val="24"/>
          <w:szCs w:val="22"/>
        </w:rPr>
        <w:t>离心</w:t>
      </w:r>
      <w:r>
        <w:rPr>
          <w:sz w:val="24"/>
          <w:szCs w:val="22"/>
        </w:rPr>
        <w:t>10min,</w:t>
      </w:r>
      <w:r>
        <w:rPr>
          <w:sz w:val="24"/>
          <w:szCs w:val="22"/>
        </w:rPr>
        <w:t>取上清液保存于</w:t>
      </w:r>
      <w:r>
        <w:rPr>
          <w:sz w:val="24"/>
          <w:szCs w:val="22"/>
        </w:rPr>
        <w:t>-80C</w:t>
      </w:r>
      <w:r>
        <w:rPr>
          <w:sz w:val="24"/>
          <w:szCs w:val="22"/>
        </w:rPr>
        <w:t>冰箱，用于血清生化和免疫指标的测定。采血后解剖鱼体，取出内脏团，分离肝脏和肠道，分别对内脏团和肝脏进行称重，快速放于液氮中速冻，储存于</w:t>
      </w:r>
      <w:r>
        <w:rPr>
          <w:sz w:val="24"/>
          <w:szCs w:val="22"/>
        </w:rPr>
        <w:t>-80C</w:t>
      </w:r>
      <w:r>
        <w:rPr>
          <w:sz w:val="24"/>
          <w:szCs w:val="22"/>
        </w:rPr>
        <w:t>冰箱中，用于后续肠道免疫指标和消化酶活性测定以及肠道菌群分析。每桶随机挑选</w:t>
      </w:r>
      <w:r>
        <w:rPr>
          <w:sz w:val="24"/>
          <w:szCs w:val="22"/>
        </w:rPr>
        <w:t>3</w:t>
      </w:r>
      <w:r>
        <w:rPr>
          <w:sz w:val="24"/>
          <w:szCs w:val="22"/>
        </w:rPr>
        <w:t>尾泥鳅，取肠道样品浸没在</w:t>
      </w:r>
      <w:r>
        <w:rPr>
          <w:sz w:val="24"/>
          <w:szCs w:val="22"/>
        </w:rPr>
        <w:t>4%</w:t>
      </w:r>
      <w:r>
        <w:rPr>
          <w:sz w:val="24"/>
          <w:szCs w:val="22"/>
        </w:rPr>
        <w:t>甲醛固定液中固定，用于后续肠道形态结构的观察。</w:t>
      </w:r>
    </w:p>
    <w:p w14:paraId="29CB89C3" w14:textId="77777777" w:rsidR="00E27993" w:rsidRPr="00E27993" w:rsidRDefault="00E27993" w:rsidP="00E27993">
      <w:pPr>
        <w:spacing w:line="360" w:lineRule="auto"/>
        <w:rPr>
          <w:sz w:val="24"/>
          <w:szCs w:val="22"/>
        </w:rPr>
      </w:pPr>
    </w:p>
    <w:p w14:paraId="50863593" w14:textId="77777777" w:rsidR="00400E98" w:rsidRDefault="00400E98" w:rsidP="00400E98">
      <w:pPr>
        <w:spacing w:line="360" w:lineRule="auto"/>
        <w:jc w:val="center"/>
        <w:rPr>
          <w:rFonts w:ascii="宋体" w:hAnsi="宋体" w:cs="宋体" w:hint="eastAsia"/>
          <w:sz w:val="24"/>
        </w:rPr>
      </w:pPr>
      <w:r>
        <w:rPr>
          <w:rFonts w:ascii="宋体" w:hAnsi="宋体" w:cs="宋体"/>
          <w:noProof/>
          <w:sz w:val="24"/>
        </w:rPr>
        <w:lastRenderedPageBreak/>
        <w:drawing>
          <wp:inline distT="0" distB="0" distL="114300" distR="114300" wp14:anchorId="61586BC0" wp14:editId="701AEEC8">
            <wp:extent cx="5894705" cy="2238375"/>
            <wp:effectExtent l="0" t="0" r="0" b="9525"/>
            <wp:docPr id="770555772" name="图片 7705557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rotWithShape="1">
                    <a:blip r:embed="rId17"/>
                    <a:srcRect b="3557"/>
                    <a:stretch>
                      <a:fillRect/>
                    </a:stretch>
                  </pic:blipFill>
                  <pic:spPr bwMode="auto">
                    <a:xfrm>
                      <a:off x="0" y="0"/>
                      <a:ext cx="589470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47C237BF" w14:textId="77777777" w:rsidR="00400E98" w:rsidRDefault="00400E98" w:rsidP="00400E98">
      <w:pPr>
        <w:spacing w:line="360" w:lineRule="auto"/>
        <w:jc w:val="center"/>
        <w:rPr>
          <w:rFonts w:ascii="宋体" w:hAnsi="宋体" w:cs="宋体" w:hint="eastAsia"/>
          <w:sz w:val="24"/>
        </w:rPr>
      </w:pPr>
      <w:r>
        <w:rPr>
          <w:rFonts w:ascii="宋体" w:hAnsi="宋体" w:cs="宋体"/>
          <w:noProof/>
          <w:sz w:val="24"/>
        </w:rPr>
        <w:drawing>
          <wp:inline distT="0" distB="0" distL="114300" distR="114300" wp14:anchorId="3668DD6D" wp14:editId="5015D542">
            <wp:extent cx="5775643" cy="3560781"/>
            <wp:effectExtent l="0" t="0" r="0" b="1905"/>
            <wp:docPr id="958292673" name="图片 9582926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rotWithShape="1">
                    <a:blip r:embed="rId18"/>
                    <a:srcRect t="13276"/>
                    <a:stretch>
                      <a:fillRect/>
                    </a:stretch>
                  </pic:blipFill>
                  <pic:spPr bwMode="auto">
                    <a:xfrm>
                      <a:off x="0" y="0"/>
                      <a:ext cx="5801080" cy="3576463"/>
                    </a:xfrm>
                    <a:prstGeom prst="rect">
                      <a:avLst/>
                    </a:prstGeom>
                    <a:noFill/>
                    <a:ln>
                      <a:noFill/>
                    </a:ln>
                    <a:extLst>
                      <a:ext uri="{53640926-AAD7-44D8-BBD7-CCE9431645EC}">
                        <a14:shadowObscured xmlns:a14="http://schemas.microsoft.com/office/drawing/2010/main"/>
                      </a:ext>
                    </a:extLst>
                  </pic:spPr>
                </pic:pic>
              </a:graphicData>
            </a:graphic>
          </wp:inline>
        </w:drawing>
      </w:r>
    </w:p>
    <w:p w14:paraId="6D827723" w14:textId="05E8961E" w:rsidR="00CE145F" w:rsidRDefault="00CE145F" w:rsidP="00CE145F">
      <w:pPr>
        <w:spacing w:line="360" w:lineRule="auto"/>
        <w:rPr>
          <w:sz w:val="24"/>
          <w:szCs w:val="22"/>
        </w:rPr>
      </w:pPr>
      <w:r>
        <w:rPr>
          <w:sz w:val="24"/>
          <w:szCs w:val="22"/>
        </w:rPr>
        <w:t>1.5</w:t>
      </w:r>
      <w:r>
        <w:rPr>
          <w:sz w:val="24"/>
          <w:szCs w:val="22"/>
        </w:rPr>
        <w:t>测定指标及方法</w:t>
      </w:r>
    </w:p>
    <w:p w14:paraId="41217D37" w14:textId="46D3A5F6" w:rsidR="00CE145F" w:rsidRDefault="00CE145F" w:rsidP="00CE145F">
      <w:pPr>
        <w:spacing w:line="360" w:lineRule="auto"/>
        <w:rPr>
          <w:sz w:val="24"/>
          <w:szCs w:val="22"/>
        </w:rPr>
      </w:pPr>
      <w:r>
        <w:rPr>
          <w:sz w:val="24"/>
          <w:szCs w:val="22"/>
        </w:rPr>
        <w:t>1.5.1</w:t>
      </w:r>
      <w:r>
        <w:rPr>
          <w:sz w:val="24"/>
          <w:szCs w:val="22"/>
        </w:rPr>
        <w:t>生长性能</w:t>
      </w:r>
    </w:p>
    <w:p w14:paraId="3CCD786E" w14:textId="77777777" w:rsidR="00CE145F" w:rsidRDefault="00CE145F" w:rsidP="00CE145F">
      <w:pPr>
        <w:spacing w:line="360" w:lineRule="auto"/>
        <w:ind w:firstLineChars="200" w:firstLine="480"/>
        <w:rPr>
          <w:sz w:val="24"/>
          <w:szCs w:val="22"/>
        </w:rPr>
      </w:pPr>
      <w:r>
        <w:rPr>
          <w:sz w:val="24"/>
          <w:szCs w:val="22"/>
        </w:rPr>
        <w:t>生长性能相关指标计算公式如下：</w:t>
      </w:r>
    </w:p>
    <w:p w14:paraId="3191D872" w14:textId="77777777" w:rsidR="00CE145F" w:rsidRDefault="00CE145F" w:rsidP="00CE145F">
      <w:pPr>
        <w:spacing w:line="360" w:lineRule="auto"/>
        <w:ind w:firstLineChars="200" w:firstLine="480"/>
        <w:rPr>
          <w:sz w:val="24"/>
          <w:szCs w:val="22"/>
        </w:rPr>
      </w:pPr>
      <w:r>
        <w:rPr>
          <w:sz w:val="24"/>
          <w:szCs w:val="22"/>
        </w:rPr>
        <w:t>增重率</w:t>
      </w:r>
      <w:r>
        <w:rPr>
          <w:sz w:val="24"/>
          <w:szCs w:val="22"/>
        </w:rPr>
        <w:t>(weight</w:t>
      </w:r>
      <w:r>
        <w:rPr>
          <w:rFonts w:hint="eastAsia"/>
          <w:sz w:val="24"/>
          <w:szCs w:val="22"/>
        </w:rPr>
        <w:t xml:space="preserve"> </w:t>
      </w:r>
      <w:r>
        <w:rPr>
          <w:sz w:val="24"/>
          <w:szCs w:val="22"/>
        </w:rPr>
        <w:t>gain</w:t>
      </w:r>
      <w:r>
        <w:rPr>
          <w:rFonts w:hint="eastAsia"/>
          <w:sz w:val="24"/>
          <w:szCs w:val="22"/>
        </w:rPr>
        <w:t xml:space="preserve"> </w:t>
      </w:r>
      <w:proofErr w:type="spellStart"/>
      <w:r>
        <w:rPr>
          <w:sz w:val="24"/>
          <w:szCs w:val="22"/>
        </w:rPr>
        <w:t>rate,WGR</w:t>
      </w:r>
      <w:proofErr w:type="spellEnd"/>
      <w:r>
        <w:rPr>
          <w:sz w:val="24"/>
          <w:szCs w:val="22"/>
        </w:rPr>
        <w:t>,%)=100×(</w:t>
      </w:r>
      <w:r>
        <w:rPr>
          <w:i/>
          <w:iCs/>
          <w:sz w:val="24"/>
          <w:szCs w:val="22"/>
        </w:rPr>
        <w:t>W</w:t>
      </w:r>
      <w:r>
        <w:rPr>
          <w:sz w:val="24"/>
          <w:szCs w:val="22"/>
          <w:vertAlign w:val="subscript"/>
        </w:rPr>
        <w:t>t</w:t>
      </w:r>
      <w:r>
        <w:rPr>
          <w:sz w:val="24"/>
          <w:szCs w:val="22"/>
        </w:rPr>
        <w:t>-</w:t>
      </w:r>
      <w:r>
        <w:rPr>
          <w:i/>
          <w:iCs/>
          <w:sz w:val="24"/>
          <w:szCs w:val="22"/>
        </w:rPr>
        <w:t>W</w:t>
      </w:r>
      <w:r>
        <w:rPr>
          <w:i/>
          <w:iCs/>
          <w:sz w:val="24"/>
          <w:szCs w:val="22"/>
          <w:vertAlign w:val="subscript"/>
        </w:rPr>
        <w:t>0</w:t>
      </w:r>
      <w:r>
        <w:rPr>
          <w:sz w:val="24"/>
          <w:szCs w:val="22"/>
        </w:rPr>
        <w:t>)/</w:t>
      </w:r>
      <w:r>
        <w:rPr>
          <w:i/>
          <w:iCs/>
          <w:sz w:val="24"/>
          <w:szCs w:val="22"/>
        </w:rPr>
        <w:t>W</w:t>
      </w:r>
      <w:r>
        <w:rPr>
          <w:rFonts w:hint="eastAsia"/>
          <w:i/>
          <w:iCs/>
          <w:sz w:val="24"/>
          <w:szCs w:val="22"/>
          <w:vertAlign w:val="subscript"/>
        </w:rPr>
        <w:t>0</w:t>
      </w:r>
      <w:r>
        <w:rPr>
          <w:sz w:val="24"/>
          <w:szCs w:val="22"/>
        </w:rPr>
        <w:t>;</w:t>
      </w:r>
    </w:p>
    <w:p w14:paraId="43296801" w14:textId="77777777" w:rsidR="00CE145F" w:rsidRDefault="00CE145F" w:rsidP="00CE145F">
      <w:pPr>
        <w:spacing w:line="360" w:lineRule="auto"/>
        <w:ind w:firstLineChars="200" w:firstLine="480"/>
        <w:rPr>
          <w:sz w:val="24"/>
          <w:szCs w:val="22"/>
        </w:rPr>
      </w:pPr>
      <w:r>
        <w:rPr>
          <w:sz w:val="24"/>
          <w:szCs w:val="22"/>
        </w:rPr>
        <w:t>特定生长率</w:t>
      </w:r>
      <w:r>
        <w:rPr>
          <w:sz w:val="24"/>
          <w:szCs w:val="22"/>
        </w:rPr>
        <w:t>(specific</w:t>
      </w:r>
      <w:r>
        <w:rPr>
          <w:rFonts w:hint="eastAsia"/>
          <w:sz w:val="24"/>
          <w:szCs w:val="22"/>
        </w:rPr>
        <w:t xml:space="preserve"> </w:t>
      </w:r>
      <w:r>
        <w:rPr>
          <w:sz w:val="24"/>
          <w:szCs w:val="22"/>
        </w:rPr>
        <w:t>growth</w:t>
      </w:r>
      <w:r>
        <w:rPr>
          <w:rFonts w:hint="eastAsia"/>
          <w:sz w:val="24"/>
          <w:szCs w:val="22"/>
        </w:rPr>
        <w:t xml:space="preserve"> </w:t>
      </w:r>
      <w:proofErr w:type="spellStart"/>
      <w:r>
        <w:rPr>
          <w:sz w:val="24"/>
          <w:szCs w:val="22"/>
        </w:rPr>
        <w:t>rate,SGR</w:t>
      </w:r>
      <w:proofErr w:type="spellEnd"/>
      <w:r>
        <w:rPr>
          <w:sz w:val="24"/>
          <w:szCs w:val="22"/>
        </w:rPr>
        <w:t>,%/d)=100x(ln</w:t>
      </w:r>
      <w:r>
        <w:rPr>
          <w:rFonts w:hint="eastAsia"/>
          <w:i/>
          <w:iCs/>
          <w:sz w:val="24"/>
          <w:szCs w:val="22"/>
        </w:rPr>
        <w:t>W</w:t>
      </w:r>
      <w:r>
        <w:rPr>
          <w:i/>
          <w:iCs/>
          <w:sz w:val="24"/>
          <w:szCs w:val="22"/>
          <w:vertAlign w:val="subscript"/>
        </w:rPr>
        <w:t>t</w:t>
      </w:r>
      <w:r>
        <w:rPr>
          <w:sz w:val="24"/>
          <w:szCs w:val="22"/>
        </w:rPr>
        <w:t>-ln</w:t>
      </w:r>
      <w:r>
        <w:rPr>
          <w:i/>
          <w:iCs/>
          <w:sz w:val="24"/>
          <w:szCs w:val="22"/>
        </w:rPr>
        <w:t>W</w:t>
      </w:r>
      <w:r>
        <w:rPr>
          <w:rFonts w:hint="eastAsia"/>
          <w:i/>
          <w:iCs/>
          <w:sz w:val="24"/>
          <w:szCs w:val="22"/>
          <w:vertAlign w:val="subscript"/>
        </w:rPr>
        <w:t>0</w:t>
      </w:r>
      <w:r>
        <w:rPr>
          <w:sz w:val="24"/>
          <w:szCs w:val="22"/>
        </w:rPr>
        <w:t>)/</w:t>
      </w:r>
      <w:r>
        <w:rPr>
          <w:i/>
          <w:iCs/>
          <w:sz w:val="24"/>
          <w:szCs w:val="22"/>
        </w:rPr>
        <w:t>t</w:t>
      </w:r>
      <w:r>
        <w:rPr>
          <w:sz w:val="24"/>
          <w:szCs w:val="22"/>
        </w:rPr>
        <w:t>;</w:t>
      </w:r>
    </w:p>
    <w:p w14:paraId="2687B8FE" w14:textId="77777777" w:rsidR="00CE145F" w:rsidRDefault="00CE145F" w:rsidP="00CE145F">
      <w:pPr>
        <w:spacing w:line="360" w:lineRule="auto"/>
        <w:ind w:firstLineChars="200" w:firstLine="480"/>
        <w:rPr>
          <w:sz w:val="24"/>
          <w:szCs w:val="22"/>
        </w:rPr>
      </w:pPr>
      <w:r>
        <w:rPr>
          <w:sz w:val="24"/>
          <w:szCs w:val="22"/>
        </w:rPr>
        <w:t>饲料系数</w:t>
      </w:r>
      <w:r>
        <w:rPr>
          <w:sz w:val="24"/>
          <w:szCs w:val="22"/>
        </w:rPr>
        <w:t>(feed</w:t>
      </w:r>
      <w:r>
        <w:rPr>
          <w:rFonts w:hint="eastAsia"/>
          <w:sz w:val="24"/>
          <w:szCs w:val="22"/>
        </w:rPr>
        <w:t xml:space="preserve"> </w:t>
      </w:r>
      <w:proofErr w:type="spellStart"/>
      <w:r>
        <w:rPr>
          <w:sz w:val="24"/>
          <w:szCs w:val="22"/>
        </w:rPr>
        <w:t>coefficient,FCR</w:t>
      </w:r>
      <w:proofErr w:type="spellEnd"/>
      <w:r>
        <w:rPr>
          <w:sz w:val="24"/>
          <w:szCs w:val="22"/>
        </w:rPr>
        <w:t>)=</w:t>
      </w:r>
      <w:r>
        <w:rPr>
          <w:i/>
          <w:iCs/>
          <w:sz w:val="24"/>
          <w:szCs w:val="22"/>
        </w:rPr>
        <w:t>F</w:t>
      </w:r>
      <w:r>
        <w:rPr>
          <w:i/>
          <w:iCs/>
          <w:sz w:val="24"/>
          <w:szCs w:val="22"/>
          <w:vertAlign w:val="subscript"/>
        </w:rPr>
        <w:t>c</w:t>
      </w:r>
      <w:r>
        <w:rPr>
          <w:sz w:val="24"/>
          <w:szCs w:val="22"/>
        </w:rPr>
        <w:t>/(</w:t>
      </w:r>
      <w:r>
        <w:rPr>
          <w:i/>
          <w:iCs/>
          <w:sz w:val="24"/>
          <w:szCs w:val="22"/>
        </w:rPr>
        <w:t>W</w:t>
      </w:r>
      <w:r>
        <w:rPr>
          <w:i/>
          <w:iCs/>
          <w:sz w:val="24"/>
          <w:szCs w:val="22"/>
          <w:vertAlign w:val="subscript"/>
        </w:rPr>
        <w:t>t</w:t>
      </w:r>
      <w:r>
        <w:rPr>
          <w:sz w:val="24"/>
          <w:szCs w:val="22"/>
        </w:rPr>
        <w:t>-</w:t>
      </w:r>
      <w:r>
        <w:rPr>
          <w:i/>
          <w:iCs/>
          <w:sz w:val="24"/>
          <w:szCs w:val="22"/>
        </w:rPr>
        <w:t>W</w:t>
      </w:r>
      <w:r>
        <w:rPr>
          <w:rFonts w:hint="eastAsia"/>
          <w:i/>
          <w:iCs/>
          <w:sz w:val="24"/>
          <w:szCs w:val="22"/>
          <w:vertAlign w:val="subscript"/>
        </w:rPr>
        <w:t>0</w:t>
      </w:r>
      <w:r>
        <w:rPr>
          <w:sz w:val="24"/>
          <w:szCs w:val="22"/>
        </w:rPr>
        <w:t>);</w:t>
      </w:r>
    </w:p>
    <w:p w14:paraId="3FD0BED1" w14:textId="77777777" w:rsidR="00CE145F" w:rsidRDefault="00CE145F" w:rsidP="00CE145F">
      <w:pPr>
        <w:spacing w:line="360" w:lineRule="auto"/>
        <w:ind w:firstLineChars="200" w:firstLine="480"/>
        <w:rPr>
          <w:sz w:val="24"/>
          <w:szCs w:val="22"/>
        </w:rPr>
      </w:pPr>
      <w:r>
        <w:rPr>
          <w:sz w:val="24"/>
          <w:szCs w:val="22"/>
        </w:rPr>
        <w:t>摄食率</w:t>
      </w:r>
      <w:r>
        <w:rPr>
          <w:sz w:val="24"/>
          <w:szCs w:val="22"/>
        </w:rPr>
        <w:t>(feeding</w:t>
      </w:r>
      <w:r>
        <w:rPr>
          <w:rFonts w:hint="eastAsia"/>
          <w:sz w:val="24"/>
          <w:szCs w:val="22"/>
        </w:rPr>
        <w:t xml:space="preserve"> </w:t>
      </w:r>
      <w:proofErr w:type="spellStart"/>
      <w:r>
        <w:rPr>
          <w:sz w:val="24"/>
          <w:szCs w:val="22"/>
        </w:rPr>
        <w:t>rate,FR</w:t>
      </w:r>
      <w:proofErr w:type="spellEnd"/>
      <w:r>
        <w:rPr>
          <w:sz w:val="24"/>
          <w:szCs w:val="22"/>
        </w:rPr>
        <w:t>,%/d)=100×</w:t>
      </w:r>
      <w:r>
        <w:rPr>
          <w:i/>
          <w:iCs/>
          <w:sz w:val="24"/>
          <w:szCs w:val="22"/>
        </w:rPr>
        <w:t>F</w:t>
      </w:r>
      <w:r>
        <w:rPr>
          <w:i/>
          <w:iCs/>
          <w:sz w:val="24"/>
          <w:szCs w:val="22"/>
          <w:vertAlign w:val="subscript"/>
        </w:rPr>
        <w:t>c</w:t>
      </w:r>
      <w:r>
        <w:rPr>
          <w:sz w:val="24"/>
          <w:szCs w:val="22"/>
        </w:rPr>
        <w:t>/[(</w:t>
      </w:r>
      <w:r>
        <w:rPr>
          <w:i/>
          <w:iCs/>
          <w:sz w:val="24"/>
          <w:szCs w:val="22"/>
        </w:rPr>
        <w:t>W</w:t>
      </w:r>
      <w:r>
        <w:rPr>
          <w:i/>
          <w:iCs/>
          <w:sz w:val="24"/>
          <w:szCs w:val="22"/>
          <w:vertAlign w:val="subscript"/>
        </w:rPr>
        <w:t>t</w:t>
      </w:r>
      <w:r>
        <w:rPr>
          <w:sz w:val="24"/>
          <w:szCs w:val="22"/>
        </w:rPr>
        <w:t>+</w:t>
      </w:r>
      <w:r>
        <w:rPr>
          <w:i/>
          <w:iCs/>
          <w:sz w:val="24"/>
          <w:szCs w:val="22"/>
        </w:rPr>
        <w:t>W</w:t>
      </w:r>
      <w:r>
        <w:rPr>
          <w:rFonts w:hint="eastAsia"/>
          <w:i/>
          <w:iCs/>
          <w:sz w:val="24"/>
          <w:szCs w:val="22"/>
          <w:vertAlign w:val="subscript"/>
        </w:rPr>
        <w:t>0</w:t>
      </w:r>
      <w:r>
        <w:rPr>
          <w:sz w:val="24"/>
          <w:szCs w:val="22"/>
        </w:rPr>
        <w:t>)|2×</w:t>
      </w:r>
      <w:r>
        <w:rPr>
          <w:i/>
          <w:iCs/>
          <w:sz w:val="24"/>
          <w:szCs w:val="22"/>
        </w:rPr>
        <w:t>t</w:t>
      </w:r>
      <w:r>
        <w:rPr>
          <w:sz w:val="24"/>
          <w:szCs w:val="22"/>
        </w:rPr>
        <w:t>]:</w:t>
      </w:r>
    </w:p>
    <w:p w14:paraId="463529E6" w14:textId="77777777" w:rsidR="00CE145F" w:rsidRDefault="00CE145F" w:rsidP="00CE145F">
      <w:pPr>
        <w:spacing w:line="360" w:lineRule="auto"/>
        <w:ind w:firstLineChars="200" w:firstLine="480"/>
        <w:rPr>
          <w:sz w:val="24"/>
          <w:szCs w:val="22"/>
        </w:rPr>
      </w:pPr>
      <w:r>
        <w:rPr>
          <w:sz w:val="24"/>
          <w:szCs w:val="22"/>
        </w:rPr>
        <w:t>肥满度（</w:t>
      </w:r>
      <w:r>
        <w:rPr>
          <w:sz w:val="24"/>
          <w:szCs w:val="22"/>
        </w:rPr>
        <w:t>condition</w:t>
      </w:r>
      <w:r>
        <w:rPr>
          <w:rFonts w:hint="eastAsia"/>
          <w:sz w:val="24"/>
          <w:szCs w:val="22"/>
        </w:rPr>
        <w:t xml:space="preserve"> </w:t>
      </w:r>
      <w:proofErr w:type="spellStart"/>
      <w:r>
        <w:rPr>
          <w:sz w:val="24"/>
          <w:szCs w:val="22"/>
        </w:rPr>
        <w:t>factor,CF,g</w:t>
      </w:r>
      <w:proofErr w:type="spellEnd"/>
      <w:r>
        <w:rPr>
          <w:rFonts w:hint="eastAsia"/>
          <w:sz w:val="24"/>
          <w:szCs w:val="22"/>
        </w:rPr>
        <w:t>/</w:t>
      </w:r>
      <w:r>
        <w:rPr>
          <w:sz w:val="24"/>
          <w:szCs w:val="22"/>
        </w:rPr>
        <w:t>cm</w:t>
      </w:r>
      <w:r>
        <w:rPr>
          <w:sz w:val="24"/>
          <w:szCs w:val="22"/>
          <w:vertAlign w:val="superscript"/>
        </w:rPr>
        <w:t>3</w:t>
      </w:r>
      <w:r>
        <w:rPr>
          <w:sz w:val="24"/>
          <w:szCs w:val="22"/>
        </w:rPr>
        <w:t>)=100×</w:t>
      </w:r>
      <w:r>
        <w:rPr>
          <w:i/>
          <w:iCs/>
          <w:sz w:val="24"/>
          <w:szCs w:val="22"/>
        </w:rPr>
        <w:t>W</w:t>
      </w:r>
      <w:r>
        <w:rPr>
          <w:sz w:val="24"/>
          <w:szCs w:val="22"/>
        </w:rPr>
        <w:t>/</w:t>
      </w:r>
      <w:r>
        <w:rPr>
          <w:i/>
          <w:iCs/>
          <w:sz w:val="24"/>
          <w:szCs w:val="22"/>
        </w:rPr>
        <w:t>L</w:t>
      </w:r>
      <w:r>
        <w:rPr>
          <w:i/>
          <w:iCs/>
          <w:sz w:val="24"/>
          <w:szCs w:val="22"/>
          <w:vertAlign w:val="superscript"/>
        </w:rPr>
        <w:t>3</w:t>
      </w:r>
      <w:r>
        <w:rPr>
          <w:sz w:val="24"/>
          <w:szCs w:val="22"/>
        </w:rPr>
        <w:t>;</w:t>
      </w:r>
    </w:p>
    <w:p w14:paraId="00952B75" w14:textId="77777777" w:rsidR="00CE145F" w:rsidRDefault="00CE145F" w:rsidP="00CE145F">
      <w:pPr>
        <w:spacing w:line="360" w:lineRule="auto"/>
        <w:ind w:firstLineChars="200" w:firstLine="480"/>
        <w:rPr>
          <w:sz w:val="24"/>
          <w:szCs w:val="22"/>
        </w:rPr>
      </w:pPr>
      <w:r>
        <w:rPr>
          <w:sz w:val="24"/>
          <w:szCs w:val="22"/>
        </w:rPr>
        <w:t>肝体比</w:t>
      </w:r>
      <w:r>
        <w:rPr>
          <w:sz w:val="24"/>
          <w:szCs w:val="22"/>
        </w:rPr>
        <w:t>(hepatosomatic</w:t>
      </w:r>
      <w:r>
        <w:rPr>
          <w:rFonts w:hint="eastAsia"/>
          <w:sz w:val="24"/>
          <w:szCs w:val="22"/>
        </w:rPr>
        <w:t xml:space="preserve"> </w:t>
      </w:r>
      <w:proofErr w:type="spellStart"/>
      <w:r>
        <w:rPr>
          <w:sz w:val="24"/>
          <w:szCs w:val="22"/>
        </w:rPr>
        <w:t>index,HSI</w:t>
      </w:r>
      <w:proofErr w:type="spellEnd"/>
      <w:r>
        <w:rPr>
          <w:sz w:val="24"/>
          <w:szCs w:val="22"/>
        </w:rPr>
        <w:t>,%)=100×</w:t>
      </w:r>
      <w:r>
        <w:rPr>
          <w:i/>
          <w:iCs/>
          <w:sz w:val="24"/>
          <w:szCs w:val="22"/>
        </w:rPr>
        <w:t>W</w:t>
      </w:r>
      <w:r>
        <w:rPr>
          <w:i/>
          <w:iCs/>
          <w:sz w:val="24"/>
          <w:szCs w:val="22"/>
          <w:vertAlign w:val="subscript"/>
        </w:rPr>
        <w:t>h</w:t>
      </w:r>
      <w:r>
        <w:rPr>
          <w:sz w:val="24"/>
          <w:szCs w:val="22"/>
        </w:rPr>
        <w:t>/</w:t>
      </w:r>
      <w:r>
        <w:rPr>
          <w:i/>
          <w:iCs/>
          <w:sz w:val="24"/>
          <w:szCs w:val="22"/>
        </w:rPr>
        <w:t>W</w:t>
      </w:r>
      <w:r>
        <w:rPr>
          <w:sz w:val="24"/>
          <w:szCs w:val="22"/>
        </w:rPr>
        <w:t>;</w:t>
      </w:r>
    </w:p>
    <w:p w14:paraId="75B0E53E" w14:textId="77777777" w:rsidR="00CE145F" w:rsidRDefault="00CE145F" w:rsidP="00CE145F">
      <w:pPr>
        <w:spacing w:line="360" w:lineRule="auto"/>
        <w:ind w:firstLineChars="200" w:firstLine="480"/>
        <w:rPr>
          <w:sz w:val="24"/>
          <w:szCs w:val="22"/>
        </w:rPr>
      </w:pPr>
      <w:r>
        <w:rPr>
          <w:sz w:val="24"/>
          <w:szCs w:val="22"/>
        </w:rPr>
        <w:lastRenderedPageBreak/>
        <w:t>脏体比（</w:t>
      </w:r>
      <w:proofErr w:type="spellStart"/>
      <w:r>
        <w:rPr>
          <w:sz w:val="24"/>
          <w:szCs w:val="22"/>
        </w:rPr>
        <w:t>viscerosomatic</w:t>
      </w:r>
      <w:proofErr w:type="spellEnd"/>
      <w:r>
        <w:rPr>
          <w:rFonts w:hint="eastAsia"/>
          <w:sz w:val="24"/>
          <w:szCs w:val="22"/>
        </w:rPr>
        <w:t xml:space="preserve"> </w:t>
      </w:r>
      <w:proofErr w:type="spellStart"/>
      <w:r>
        <w:rPr>
          <w:sz w:val="24"/>
          <w:szCs w:val="22"/>
        </w:rPr>
        <w:t>index,VSI</w:t>
      </w:r>
      <w:proofErr w:type="spellEnd"/>
      <w:r>
        <w:rPr>
          <w:sz w:val="24"/>
          <w:szCs w:val="22"/>
        </w:rPr>
        <w:t>,%)=100×</w:t>
      </w:r>
      <w:r>
        <w:rPr>
          <w:i/>
          <w:iCs/>
          <w:sz w:val="24"/>
          <w:szCs w:val="22"/>
        </w:rPr>
        <w:t>W</w:t>
      </w:r>
      <w:r>
        <w:rPr>
          <w:i/>
          <w:iCs/>
          <w:sz w:val="24"/>
          <w:szCs w:val="22"/>
          <w:vertAlign w:val="subscript"/>
        </w:rPr>
        <w:t>v</w:t>
      </w:r>
      <w:r>
        <w:rPr>
          <w:sz w:val="24"/>
          <w:szCs w:val="22"/>
        </w:rPr>
        <w:t>/</w:t>
      </w:r>
      <w:r>
        <w:rPr>
          <w:i/>
          <w:iCs/>
          <w:sz w:val="24"/>
          <w:szCs w:val="22"/>
        </w:rPr>
        <w:t>W</w:t>
      </w:r>
      <w:r>
        <w:rPr>
          <w:sz w:val="24"/>
          <w:szCs w:val="22"/>
        </w:rPr>
        <w:t>;</w:t>
      </w:r>
    </w:p>
    <w:p w14:paraId="1E576F24" w14:textId="77777777" w:rsidR="00CE145F" w:rsidRDefault="00CE145F" w:rsidP="00CE145F">
      <w:pPr>
        <w:spacing w:line="360" w:lineRule="auto"/>
        <w:ind w:firstLineChars="200" w:firstLine="480"/>
        <w:rPr>
          <w:sz w:val="24"/>
          <w:szCs w:val="22"/>
        </w:rPr>
      </w:pPr>
      <w:r>
        <w:rPr>
          <w:sz w:val="24"/>
          <w:szCs w:val="22"/>
        </w:rPr>
        <w:t>存活率（</w:t>
      </w:r>
      <w:r>
        <w:rPr>
          <w:sz w:val="24"/>
          <w:szCs w:val="22"/>
        </w:rPr>
        <w:t>survival</w:t>
      </w:r>
      <w:r>
        <w:rPr>
          <w:rFonts w:hint="eastAsia"/>
          <w:sz w:val="24"/>
          <w:szCs w:val="22"/>
        </w:rPr>
        <w:t xml:space="preserve"> </w:t>
      </w:r>
      <w:proofErr w:type="spellStart"/>
      <w:r>
        <w:rPr>
          <w:sz w:val="24"/>
          <w:szCs w:val="22"/>
        </w:rPr>
        <w:t>rate,SR</w:t>
      </w:r>
      <w:proofErr w:type="spellEnd"/>
      <w:r>
        <w:rPr>
          <w:sz w:val="24"/>
          <w:szCs w:val="22"/>
        </w:rPr>
        <w:t>,%)=100×</w:t>
      </w:r>
      <w:r>
        <w:rPr>
          <w:i/>
          <w:iCs/>
          <w:sz w:val="24"/>
          <w:szCs w:val="22"/>
        </w:rPr>
        <w:t>N</w:t>
      </w:r>
      <w:r>
        <w:rPr>
          <w:i/>
          <w:iCs/>
          <w:sz w:val="24"/>
          <w:szCs w:val="22"/>
          <w:vertAlign w:val="subscript"/>
        </w:rPr>
        <w:t>t</w:t>
      </w:r>
      <w:r>
        <w:rPr>
          <w:sz w:val="24"/>
          <w:szCs w:val="22"/>
        </w:rPr>
        <w:t>/</w:t>
      </w:r>
      <w:r>
        <w:rPr>
          <w:i/>
          <w:iCs/>
          <w:sz w:val="24"/>
          <w:szCs w:val="22"/>
        </w:rPr>
        <w:t>N</w:t>
      </w:r>
      <w:r>
        <w:rPr>
          <w:i/>
          <w:iCs/>
          <w:sz w:val="24"/>
          <w:szCs w:val="22"/>
          <w:vertAlign w:val="subscript"/>
        </w:rPr>
        <w:t>0</w:t>
      </w:r>
      <w:r>
        <w:rPr>
          <w:sz w:val="24"/>
          <w:szCs w:val="22"/>
        </w:rPr>
        <w:t>。</w:t>
      </w:r>
    </w:p>
    <w:p w14:paraId="1B4F8196" w14:textId="77777777" w:rsidR="00CE145F" w:rsidRDefault="00CE145F" w:rsidP="00CE145F">
      <w:pPr>
        <w:spacing w:line="360" w:lineRule="auto"/>
        <w:ind w:firstLineChars="200" w:firstLine="480"/>
        <w:rPr>
          <w:sz w:val="24"/>
          <w:szCs w:val="22"/>
        </w:rPr>
      </w:pPr>
      <w:r>
        <w:rPr>
          <w:sz w:val="24"/>
          <w:szCs w:val="22"/>
        </w:rPr>
        <w:t>式中：</w:t>
      </w:r>
      <w:proofErr w:type="spellStart"/>
      <w:r>
        <w:rPr>
          <w:i/>
          <w:iCs/>
          <w:sz w:val="24"/>
          <w:szCs w:val="22"/>
        </w:rPr>
        <w:t>W</w:t>
      </w:r>
      <w:r>
        <w:rPr>
          <w:i/>
          <w:iCs/>
          <w:sz w:val="24"/>
          <w:szCs w:val="22"/>
          <w:vertAlign w:val="subscript"/>
        </w:rPr>
        <w:t>t</w:t>
      </w:r>
      <w:proofErr w:type="spellEnd"/>
      <w:r>
        <w:rPr>
          <w:sz w:val="24"/>
          <w:szCs w:val="22"/>
        </w:rPr>
        <w:t>和</w:t>
      </w:r>
      <w:r>
        <w:rPr>
          <w:i/>
          <w:iCs/>
          <w:sz w:val="24"/>
          <w:szCs w:val="22"/>
        </w:rPr>
        <w:t>W</w:t>
      </w:r>
      <w:r>
        <w:rPr>
          <w:i/>
          <w:iCs/>
          <w:sz w:val="24"/>
          <w:szCs w:val="22"/>
          <w:vertAlign w:val="subscript"/>
        </w:rPr>
        <w:t>0</w:t>
      </w:r>
      <w:r>
        <w:rPr>
          <w:sz w:val="24"/>
          <w:szCs w:val="22"/>
        </w:rPr>
        <w:t>分别为终末体质量和初始体质量（</w:t>
      </w:r>
      <w:r>
        <w:rPr>
          <w:sz w:val="24"/>
          <w:szCs w:val="22"/>
        </w:rPr>
        <w:t>g</w:t>
      </w:r>
      <w:r>
        <w:rPr>
          <w:sz w:val="24"/>
          <w:szCs w:val="22"/>
        </w:rPr>
        <w:t>）；</w:t>
      </w:r>
      <w:r>
        <w:rPr>
          <w:i/>
          <w:iCs/>
          <w:sz w:val="24"/>
          <w:szCs w:val="22"/>
        </w:rPr>
        <w:t>t</w:t>
      </w:r>
      <w:r>
        <w:rPr>
          <w:sz w:val="24"/>
          <w:szCs w:val="22"/>
        </w:rPr>
        <w:t>为养殖试验天数（</w:t>
      </w:r>
      <w:r>
        <w:rPr>
          <w:sz w:val="24"/>
          <w:szCs w:val="22"/>
        </w:rPr>
        <w:t>d</w:t>
      </w:r>
      <w:r>
        <w:rPr>
          <w:sz w:val="24"/>
          <w:szCs w:val="22"/>
        </w:rPr>
        <w:t>）；</w:t>
      </w:r>
      <w:r>
        <w:rPr>
          <w:i/>
          <w:iCs/>
          <w:sz w:val="24"/>
          <w:szCs w:val="22"/>
        </w:rPr>
        <w:t>F</w:t>
      </w:r>
      <w:r>
        <w:rPr>
          <w:i/>
          <w:iCs/>
          <w:sz w:val="24"/>
          <w:szCs w:val="22"/>
          <w:vertAlign w:val="subscript"/>
        </w:rPr>
        <w:t>c</w:t>
      </w:r>
      <w:r>
        <w:rPr>
          <w:sz w:val="24"/>
          <w:szCs w:val="22"/>
        </w:rPr>
        <w:t>为饲料干物质总摄食量（</w:t>
      </w:r>
      <w:r>
        <w:rPr>
          <w:sz w:val="24"/>
          <w:szCs w:val="22"/>
        </w:rPr>
        <w:t>g</w:t>
      </w:r>
      <w:r>
        <w:rPr>
          <w:sz w:val="24"/>
          <w:szCs w:val="22"/>
        </w:rPr>
        <w:t>）；</w:t>
      </w:r>
      <w:proofErr w:type="spellStart"/>
      <w:r>
        <w:rPr>
          <w:i/>
          <w:iCs/>
          <w:sz w:val="24"/>
          <w:szCs w:val="22"/>
        </w:rPr>
        <w:t>N</w:t>
      </w:r>
      <w:r>
        <w:rPr>
          <w:i/>
          <w:iCs/>
          <w:sz w:val="24"/>
          <w:szCs w:val="22"/>
          <w:vertAlign w:val="subscript"/>
        </w:rPr>
        <w:t>t</w:t>
      </w:r>
      <w:proofErr w:type="spellEnd"/>
      <w:r>
        <w:rPr>
          <w:sz w:val="24"/>
          <w:szCs w:val="22"/>
        </w:rPr>
        <w:t>和</w:t>
      </w:r>
      <w:r>
        <w:rPr>
          <w:i/>
          <w:iCs/>
          <w:sz w:val="24"/>
          <w:szCs w:val="22"/>
        </w:rPr>
        <w:t>N</w:t>
      </w:r>
      <w:r>
        <w:rPr>
          <w:i/>
          <w:iCs/>
          <w:sz w:val="24"/>
          <w:szCs w:val="22"/>
          <w:vertAlign w:val="subscript"/>
        </w:rPr>
        <w:t>0</w:t>
      </w:r>
      <w:r>
        <w:rPr>
          <w:sz w:val="24"/>
          <w:szCs w:val="22"/>
        </w:rPr>
        <w:t>分别为终末尾数和初始尾数（尾）；</w:t>
      </w:r>
      <w:r>
        <w:rPr>
          <w:i/>
          <w:iCs/>
          <w:sz w:val="24"/>
          <w:szCs w:val="22"/>
        </w:rPr>
        <w:t>W</w:t>
      </w:r>
      <w:r>
        <w:rPr>
          <w:sz w:val="24"/>
          <w:szCs w:val="22"/>
        </w:rPr>
        <w:t>为体质量（</w:t>
      </w:r>
      <w:r>
        <w:rPr>
          <w:sz w:val="24"/>
          <w:szCs w:val="22"/>
        </w:rPr>
        <w:t>g</w:t>
      </w:r>
      <w:r>
        <w:rPr>
          <w:sz w:val="24"/>
          <w:szCs w:val="22"/>
        </w:rPr>
        <w:t>）；</w:t>
      </w:r>
      <w:r>
        <w:rPr>
          <w:i/>
          <w:iCs/>
          <w:sz w:val="24"/>
          <w:szCs w:val="22"/>
        </w:rPr>
        <w:t>L</w:t>
      </w:r>
      <w:r>
        <w:rPr>
          <w:sz w:val="24"/>
          <w:szCs w:val="22"/>
        </w:rPr>
        <w:t>为体长（</w:t>
      </w:r>
      <w:r>
        <w:rPr>
          <w:sz w:val="24"/>
          <w:szCs w:val="22"/>
        </w:rPr>
        <w:t>cm</w:t>
      </w:r>
      <w:r>
        <w:rPr>
          <w:sz w:val="24"/>
          <w:szCs w:val="22"/>
        </w:rPr>
        <w:t>）；</w:t>
      </w:r>
      <w:r>
        <w:rPr>
          <w:i/>
          <w:iCs/>
          <w:sz w:val="24"/>
          <w:szCs w:val="22"/>
        </w:rPr>
        <w:t>W</w:t>
      </w:r>
      <w:r>
        <w:rPr>
          <w:i/>
          <w:iCs/>
          <w:sz w:val="24"/>
          <w:szCs w:val="22"/>
          <w:vertAlign w:val="subscript"/>
        </w:rPr>
        <w:t>v</w:t>
      </w:r>
      <w:r>
        <w:rPr>
          <w:sz w:val="24"/>
          <w:szCs w:val="22"/>
        </w:rPr>
        <w:t>为内脏重（</w:t>
      </w:r>
      <w:r>
        <w:rPr>
          <w:sz w:val="24"/>
          <w:szCs w:val="22"/>
        </w:rPr>
        <w:t>g</w:t>
      </w:r>
      <w:r>
        <w:rPr>
          <w:sz w:val="24"/>
          <w:szCs w:val="22"/>
        </w:rPr>
        <w:t>）；</w:t>
      </w:r>
      <w:proofErr w:type="spellStart"/>
      <w:r>
        <w:rPr>
          <w:i/>
          <w:iCs/>
          <w:sz w:val="24"/>
          <w:szCs w:val="22"/>
        </w:rPr>
        <w:t>W</w:t>
      </w:r>
      <w:r>
        <w:rPr>
          <w:i/>
          <w:iCs/>
          <w:sz w:val="24"/>
          <w:szCs w:val="22"/>
          <w:vertAlign w:val="subscript"/>
        </w:rPr>
        <w:t>h</w:t>
      </w:r>
      <w:proofErr w:type="spellEnd"/>
      <w:r>
        <w:rPr>
          <w:sz w:val="24"/>
          <w:szCs w:val="22"/>
        </w:rPr>
        <w:t>为肝脏重（</w:t>
      </w:r>
      <w:r>
        <w:rPr>
          <w:sz w:val="24"/>
          <w:szCs w:val="22"/>
        </w:rPr>
        <w:t>g</w:t>
      </w:r>
      <w:r>
        <w:rPr>
          <w:sz w:val="24"/>
          <w:szCs w:val="22"/>
        </w:rPr>
        <w:t>）。</w:t>
      </w:r>
    </w:p>
    <w:p w14:paraId="542B123C" w14:textId="4092AD84" w:rsidR="00CE145F" w:rsidRDefault="00CE145F" w:rsidP="00CE145F">
      <w:pPr>
        <w:spacing w:line="360" w:lineRule="auto"/>
        <w:rPr>
          <w:sz w:val="24"/>
          <w:szCs w:val="22"/>
        </w:rPr>
      </w:pPr>
      <w:r>
        <w:rPr>
          <w:sz w:val="24"/>
          <w:szCs w:val="22"/>
        </w:rPr>
        <w:t>1.5.2</w:t>
      </w:r>
      <w:r>
        <w:rPr>
          <w:sz w:val="24"/>
          <w:szCs w:val="22"/>
        </w:rPr>
        <w:t>营养成分</w:t>
      </w:r>
    </w:p>
    <w:p w14:paraId="2F190285" w14:textId="026F60FE" w:rsidR="00CE145F" w:rsidRPr="00CE145F" w:rsidRDefault="00CE145F" w:rsidP="00CE145F">
      <w:pPr>
        <w:spacing w:line="360" w:lineRule="auto"/>
        <w:ind w:firstLineChars="200" w:firstLine="480"/>
        <w:rPr>
          <w:sz w:val="24"/>
          <w:szCs w:val="22"/>
        </w:rPr>
      </w:pPr>
      <w:r>
        <w:rPr>
          <w:sz w:val="24"/>
          <w:szCs w:val="22"/>
        </w:rPr>
        <w:t>采用国标方法测定饲料和大鳞副泥鳅鱼体水分（</w:t>
      </w:r>
      <w:r>
        <w:rPr>
          <w:sz w:val="24"/>
          <w:szCs w:val="22"/>
        </w:rPr>
        <w:t>GB/T6435-2014</w:t>
      </w:r>
      <w:r>
        <w:rPr>
          <w:sz w:val="24"/>
          <w:szCs w:val="22"/>
        </w:rPr>
        <w:t>）、粗蛋白质（</w:t>
      </w:r>
      <w:r>
        <w:rPr>
          <w:sz w:val="24"/>
          <w:szCs w:val="22"/>
        </w:rPr>
        <w:t>GB/T6432-2018</w:t>
      </w:r>
      <w:r>
        <w:rPr>
          <w:sz w:val="24"/>
          <w:szCs w:val="22"/>
        </w:rPr>
        <w:t>）、粗脂肪（</w:t>
      </w:r>
      <w:r>
        <w:rPr>
          <w:sz w:val="24"/>
          <w:szCs w:val="22"/>
        </w:rPr>
        <w:t>GB/T6433-2006</w:t>
      </w:r>
      <w:r>
        <w:rPr>
          <w:sz w:val="24"/>
          <w:szCs w:val="22"/>
        </w:rPr>
        <w:t>）和粗灰分</w:t>
      </w:r>
      <w:r>
        <w:rPr>
          <w:sz w:val="24"/>
          <w:szCs w:val="22"/>
        </w:rPr>
        <w:t>(GB/T6438-2007</w:t>
      </w:r>
      <w:r>
        <w:rPr>
          <w:sz w:val="24"/>
          <w:szCs w:val="22"/>
        </w:rPr>
        <w:t>）含量，饲料氨基酸含量采用</w:t>
      </w:r>
      <w:r>
        <w:rPr>
          <w:sz w:val="24"/>
          <w:szCs w:val="22"/>
        </w:rPr>
        <w:t>GB/T18246-2019</w:t>
      </w:r>
      <w:r>
        <w:rPr>
          <w:sz w:val="24"/>
          <w:szCs w:val="22"/>
        </w:rPr>
        <w:t>测定</w:t>
      </w:r>
      <w:r>
        <w:rPr>
          <w:sz w:val="24"/>
          <w:szCs w:val="22"/>
        </w:rPr>
        <w:t>;</w:t>
      </w:r>
      <w:r>
        <w:rPr>
          <w:sz w:val="24"/>
          <w:szCs w:val="22"/>
        </w:rPr>
        <w:t>饲料总能参照国际标准</w:t>
      </w:r>
      <w:r>
        <w:rPr>
          <w:sz w:val="24"/>
          <w:szCs w:val="22"/>
        </w:rPr>
        <w:t>1SO9831</w:t>
      </w:r>
      <w:r>
        <w:rPr>
          <w:sz w:val="24"/>
          <w:szCs w:val="22"/>
        </w:rPr>
        <w:t>：</w:t>
      </w:r>
      <w:r>
        <w:rPr>
          <w:sz w:val="24"/>
          <w:szCs w:val="22"/>
        </w:rPr>
        <w:t>1998</w:t>
      </w:r>
      <w:r>
        <w:rPr>
          <w:sz w:val="24"/>
          <w:szCs w:val="22"/>
        </w:rPr>
        <w:t>，采用全自动氧弹热仪测定；游离棉酚含量采用</w:t>
      </w:r>
      <w:r>
        <w:rPr>
          <w:sz w:val="24"/>
          <w:szCs w:val="22"/>
        </w:rPr>
        <w:t>GB/T13086-2020</w:t>
      </w:r>
      <w:r>
        <w:rPr>
          <w:sz w:val="24"/>
          <w:szCs w:val="22"/>
        </w:rPr>
        <w:t>测定。</w:t>
      </w:r>
    </w:p>
    <w:p w14:paraId="00E17115" w14:textId="77777777" w:rsidR="00400E98" w:rsidRDefault="00400E98" w:rsidP="00400E98">
      <w:pPr>
        <w:spacing w:line="360" w:lineRule="auto"/>
        <w:jc w:val="center"/>
        <w:rPr>
          <w:rFonts w:ascii="宋体" w:hAnsi="宋体" w:cs="宋体" w:hint="eastAsia"/>
          <w:sz w:val="24"/>
        </w:rPr>
      </w:pPr>
      <w:r>
        <w:rPr>
          <w:rFonts w:ascii="宋体" w:hAnsi="宋体" w:cs="宋体"/>
          <w:noProof/>
          <w:sz w:val="24"/>
        </w:rPr>
        <w:drawing>
          <wp:inline distT="0" distB="0" distL="114300" distR="114300" wp14:anchorId="4F97D937" wp14:editId="1179C6BD">
            <wp:extent cx="6117693" cy="3781425"/>
            <wp:effectExtent l="0" t="0" r="0" b="0"/>
            <wp:docPr id="180035953" name="图片 1800359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9"/>
                    <a:stretch>
                      <a:fillRect/>
                    </a:stretch>
                  </pic:blipFill>
                  <pic:spPr>
                    <a:xfrm>
                      <a:off x="0" y="0"/>
                      <a:ext cx="6140826" cy="3795724"/>
                    </a:xfrm>
                    <a:prstGeom prst="rect">
                      <a:avLst/>
                    </a:prstGeom>
                    <a:noFill/>
                    <a:ln w="9525">
                      <a:noFill/>
                    </a:ln>
                  </pic:spPr>
                </pic:pic>
              </a:graphicData>
            </a:graphic>
          </wp:inline>
        </w:drawing>
      </w:r>
    </w:p>
    <w:p w14:paraId="0D7B6142" w14:textId="561785BB" w:rsidR="00400E98" w:rsidRDefault="00400E98" w:rsidP="00400E98">
      <w:pPr>
        <w:spacing w:line="360" w:lineRule="auto"/>
        <w:rPr>
          <w:sz w:val="24"/>
          <w:szCs w:val="22"/>
        </w:rPr>
      </w:pPr>
      <w:r>
        <w:rPr>
          <w:sz w:val="24"/>
          <w:szCs w:val="22"/>
        </w:rPr>
        <w:t>1.5.3</w:t>
      </w:r>
      <w:r>
        <w:rPr>
          <w:sz w:val="24"/>
          <w:szCs w:val="22"/>
        </w:rPr>
        <w:t>血清生化指标</w:t>
      </w:r>
    </w:p>
    <w:p w14:paraId="759EC7BD" w14:textId="77777777" w:rsidR="00CE145F" w:rsidRDefault="00400E98" w:rsidP="00CE145F">
      <w:pPr>
        <w:autoSpaceDE w:val="0"/>
        <w:spacing w:line="360" w:lineRule="auto"/>
        <w:ind w:firstLineChars="200" w:firstLine="480"/>
        <w:rPr>
          <w:sz w:val="24"/>
          <w:szCs w:val="22"/>
        </w:rPr>
      </w:pPr>
      <w:r>
        <w:rPr>
          <w:sz w:val="24"/>
          <w:szCs w:val="22"/>
        </w:rPr>
        <w:t>采用全自动生化仪测定血清总蛋白（</w:t>
      </w:r>
      <w:r>
        <w:rPr>
          <w:sz w:val="24"/>
          <w:szCs w:val="22"/>
        </w:rPr>
        <w:t>TP</w:t>
      </w:r>
      <w:r>
        <w:rPr>
          <w:sz w:val="24"/>
          <w:szCs w:val="22"/>
        </w:rPr>
        <w:t>）、白蛋白（</w:t>
      </w:r>
      <w:r>
        <w:rPr>
          <w:sz w:val="24"/>
          <w:szCs w:val="22"/>
        </w:rPr>
        <w:t>ALB</w:t>
      </w:r>
      <w:r>
        <w:rPr>
          <w:sz w:val="24"/>
          <w:szCs w:val="22"/>
        </w:rPr>
        <w:t>）、葡萄糖（</w:t>
      </w:r>
      <w:r>
        <w:rPr>
          <w:sz w:val="24"/>
          <w:szCs w:val="22"/>
        </w:rPr>
        <w:t>GLU</w:t>
      </w:r>
      <w:r>
        <w:rPr>
          <w:sz w:val="24"/>
          <w:szCs w:val="22"/>
        </w:rPr>
        <w:t>）、甘油三酯（</w:t>
      </w:r>
      <w:r>
        <w:rPr>
          <w:sz w:val="24"/>
          <w:szCs w:val="22"/>
        </w:rPr>
        <w:t>TG</w:t>
      </w:r>
      <w:r>
        <w:rPr>
          <w:sz w:val="24"/>
          <w:szCs w:val="22"/>
        </w:rPr>
        <w:t>）、总胆固醇（</w:t>
      </w:r>
      <w:r>
        <w:rPr>
          <w:sz w:val="24"/>
          <w:szCs w:val="22"/>
        </w:rPr>
        <w:t>TC</w:t>
      </w:r>
      <w:r>
        <w:rPr>
          <w:sz w:val="24"/>
          <w:szCs w:val="22"/>
        </w:rPr>
        <w:t>）、高密度脂蛋白胆固醇（</w:t>
      </w:r>
      <w:r>
        <w:rPr>
          <w:sz w:val="24"/>
          <w:szCs w:val="22"/>
        </w:rPr>
        <w:t>HDL-C</w:t>
      </w:r>
      <w:r>
        <w:rPr>
          <w:sz w:val="24"/>
          <w:szCs w:val="22"/>
        </w:rPr>
        <w:t>）和低密度脂蛋白胆固醇（</w:t>
      </w:r>
      <w:r>
        <w:rPr>
          <w:sz w:val="24"/>
          <w:szCs w:val="22"/>
        </w:rPr>
        <w:t>LDL-C</w:t>
      </w:r>
      <w:r>
        <w:rPr>
          <w:sz w:val="24"/>
          <w:szCs w:val="22"/>
        </w:rPr>
        <w:t>）含量；谷丙转氨酶（</w:t>
      </w:r>
      <w:r>
        <w:rPr>
          <w:sz w:val="24"/>
          <w:szCs w:val="22"/>
        </w:rPr>
        <w:t>ALT</w:t>
      </w:r>
      <w:r>
        <w:rPr>
          <w:sz w:val="24"/>
          <w:szCs w:val="22"/>
        </w:rPr>
        <w:t>）和谷草转氨酶（</w:t>
      </w:r>
      <w:r>
        <w:rPr>
          <w:sz w:val="24"/>
          <w:szCs w:val="22"/>
        </w:rPr>
        <w:t>AST</w:t>
      </w:r>
      <w:r>
        <w:rPr>
          <w:sz w:val="24"/>
          <w:szCs w:val="22"/>
        </w:rPr>
        <w:t>）活性采用南京建成生物工程研究所试剂盒测定。</w:t>
      </w:r>
    </w:p>
    <w:p w14:paraId="00AA6AE3" w14:textId="77777777" w:rsidR="00CE145F" w:rsidRDefault="00CE145F" w:rsidP="00CE145F">
      <w:pPr>
        <w:spacing w:line="360" w:lineRule="auto"/>
        <w:rPr>
          <w:sz w:val="24"/>
          <w:szCs w:val="22"/>
        </w:rPr>
      </w:pPr>
    </w:p>
    <w:p w14:paraId="563F4E93" w14:textId="5776B92A" w:rsidR="00400E98" w:rsidRDefault="00400E98" w:rsidP="00CE145F">
      <w:pPr>
        <w:spacing w:line="360" w:lineRule="auto"/>
        <w:rPr>
          <w:sz w:val="24"/>
          <w:szCs w:val="22"/>
        </w:rPr>
      </w:pPr>
      <w:r>
        <w:rPr>
          <w:sz w:val="24"/>
          <w:szCs w:val="22"/>
        </w:rPr>
        <w:lastRenderedPageBreak/>
        <w:t>1.5.4</w:t>
      </w:r>
      <w:r>
        <w:rPr>
          <w:sz w:val="24"/>
          <w:szCs w:val="22"/>
        </w:rPr>
        <w:t>肝脏抗氧化指标和肠道消化酶活性</w:t>
      </w:r>
    </w:p>
    <w:p w14:paraId="55B63332" w14:textId="77777777" w:rsidR="00400E98" w:rsidRDefault="00400E98" w:rsidP="00CE145F">
      <w:pPr>
        <w:autoSpaceDE w:val="0"/>
        <w:spacing w:line="360" w:lineRule="auto"/>
        <w:ind w:firstLineChars="200" w:firstLine="480"/>
        <w:rPr>
          <w:sz w:val="24"/>
          <w:szCs w:val="22"/>
        </w:rPr>
      </w:pPr>
      <w:r>
        <w:rPr>
          <w:sz w:val="24"/>
          <w:szCs w:val="22"/>
        </w:rPr>
        <w:t>肝脏谷胱甘肽过氧化物酶（</w:t>
      </w:r>
      <w:r>
        <w:rPr>
          <w:sz w:val="24"/>
          <w:szCs w:val="22"/>
        </w:rPr>
        <w:t>GSH-</w:t>
      </w:r>
      <w:proofErr w:type="spellStart"/>
      <w:r>
        <w:rPr>
          <w:sz w:val="24"/>
          <w:szCs w:val="22"/>
        </w:rPr>
        <w:t>Px</w:t>
      </w:r>
      <w:proofErr w:type="spellEnd"/>
      <w:r>
        <w:rPr>
          <w:sz w:val="24"/>
          <w:szCs w:val="22"/>
        </w:rPr>
        <w:t>）活性、还原型谷胱甘肽（</w:t>
      </w:r>
      <w:r>
        <w:rPr>
          <w:sz w:val="24"/>
          <w:szCs w:val="22"/>
        </w:rPr>
        <w:t>GSH</w:t>
      </w:r>
      <w:r>
        <w:rPr>
          <w:sz w:val="24"/>
          <w:szCs w:val="22"/>
        </w:rPr>
        <w:t>）含量、超氧化物歧化酶（</w:t>
      </w:r>
      <w:r>
        <w:rPr>
          <w:sz w:val="24"/>
          <w:szCs w:val="22"/>
        </w:rPr>
        <w:t>SOD</w:t>
      </w:r>
      <w:r>
        <w:rPr>
          <w:sz w:val="24"/>
          <w:szCs w:val="22"/>
        </w:rPr>
        <w:t>）活性、过氧化氢酶（</w:t>
      </w:r>
      <w:r>
        <w:rPr>
          <w:sz w:val="24"/>
          <w:szCs w:val="22"/>
        </w:rPr>
        <w:t>CAT</w:t>
      </w:r>
      <w:r>
        <w:rPr>
          <w:sz w:val="24"/>
          <w:szCs w:val="22"/>
        </w:rPr>
        <w:t>）活性、丙二醛（</w:t>
      </w:r>
      <w:r>
        <w:rPr>
          <w:sz w:val="24"/>
          <w:szCs w:val="22"/>
        </w:rPr>
        <w:t>MDA</w:t>
      </w:r>
      <w:r>
        <w:rPr>
          <w:sz w:val="24"/>
          <w:szCs w:val="22"/>
        </w:rPr>
        <w:t>）含量、总抗氧化能力（</w:t>
      </w:r>
      <w:r>
        <w:rPr>
          <w:sz w:val="24"/>
          <w:szCs w:val="22"/>
        </w:rPr>
        <w:t>T-AOC</w:t>
      </w:r>
      <w:r>
        <w:rPr>
          <w:sz w:val="24"/>
          <w:szCs w:val="22"/>
        </w:rPr>
        <w:t>）以及肠道脂肪酶（</w:t>
      </w:r>
      <w:r>
        <w:rPr>
          <w:sz w:val="24"/>
          <w:szCs w:val="22"/>
        </w:rPr>
        <w:t>LPS</w:t>
      </w:r>
      <w:r>
        <w:rPr>
          <w:sz w:val="24"/>
          <w:szCs w:val="22"/>
        </w:rPr>
        <w:t>）、胰蛋白酶（</w:t>
      </w:r>
      <w:r>
        <w:rPr>
          <w:sz w:val="24"/>
          <w:szCs w:val="22"/>
        </w:rPr>
        <w:t>TPS</w:t>
      </w:r>
      <w:r>
        <w:rPr>
          <w:sz w:val="24"/>
          <w:szCs w:val="22"/>
        </w:rPr>
        <w:t>）、</w:t>
      </w:r>
      <w:r>
        <w:rPr>
          <w:sz w:val="24"/>
          <w:szCs w:val="22"/>
        </w:rPr>
        <w:t>α-</w:t>
      </w:r>
      <w:r>
        <w:rPr>
          <w:sz w:val="24"/>
          <w:szCs w:val="22"/>
        </w:rPr>
        <w:t>淀粉酶（</w:t>
      </w:r>
      <w:r>
        <w:rPr>
          <w:sz w:val="24"/>
          <w:szCs w:val="22"/>
        </w:rPr>
        <w:t>AMS</w:t>
      </w:r>
      <w:r>
        <w:rPr>
          <w:sz w:val="24"/>
          <w:szCs w:val="22"/>
        </w:rPr>
        <w:t>）活性采用南京建成生物工程研究所试剂盒测定。</w:t>
      </w:r>
    </w:p>
    <w:p w14:paraId="49D6DE2E" w14:textId="68EA6F89" w:rsidR="00400E98" w:rsidRDefault="00400E98" w:rsidP="00400E98">
      <w:pPr>
        <w:spacing w:line="360" w:lineRule="auto"/>
        <w:rPr>
          <w:sz w:val="24"/>
          <w:szCs w:val="22"/>
        </w:rPr>
      </w:pPr>
      <w:r>
        <w:rPr>
          <w:sz w:val="24"/>
          <w:szCs w:val="22"/>
        </w:rPr>
        <w:t>1.5.5</w:t>
      </w:r>
      <w:r>
        <w:rPr>
          <w:sz w:val="24"/>
          <w:szCs w:val="22"/>
        </w:rPr>
        <w:t>血清和肠道免疫指标</w:t>
      </w:r>
    </w:p>
    <w:p w14:paraId="53165C75" w14:textId="77777777" w:rsidR="00400E98" w:rsidRDefault="00400E98" w:rsidP="00400E98">
      <w:pPr>
        <w:spacing w:line="360" w:lineRule="auto"/>
        <w:ind w:firstLineChars="200" w:firstLine="480"/>
        <w:rPr>
          <w:sz w:val="24"/>
          <w:szCs w:val="22"/>
        </w:rPr>
      </w:pPr>
      <w:r>
        <w:rPr>
          <w:sz w:val="24"/>
          <w:szCs w:val="22"/>
        </w:rPr>
        <w:t>血清和肠道碱性磷酸酶（</w:t>
      </w:r>
      <w:r>
        <w:rPr>
          <w:sz w:val="24"/>
          <w:szCs w:val="22"/>
        </w:rPr>
        <w:t>AKP</w:t>
      </w:r>
      <w:r>
        <w:rPr>
          <w:sz w:val="24"/>
          <w:szCs w:val="22"/>
        </w:rPr>
        <w:t>）和酸性磷酸酶（</w:t>
      </w:r>
      <w:r>
        <w:rPr>
          <w:sz w:val="24"/>
          <w:szCs w:val="22"/>
        </w:rPr>
        <w:t>ACP</w:t>
      </w:r>
      <w:r>
        <w:rPr>
          <w:sz w:val="24"/>
          <w:szCs w:val="22"/>
        </w:rPr>
        <w:t>）活性采用南京建成生物工程研究所试剂盒测定，免疫球蛋白</w:t>
      </w:r>
      <w:r>
        <w:rPr>
          <w:sz w:val="24"/>
          <w:szCs w:val="22"/>
        </w:rPr>
        <w:t>M(IgM</w:t>
      </w:r>
      <w:r>
        <w:rPr>
          <w:sz w:val="24"/>
          <w:szCs w:val="22"/>
        </w:rPr>
        <w:t>）含量和溶菌酶（</w:t>
      </w:r>
      <w:r>
        <w:rPr>
          <w:sz w:val="24"/>
          <w:szCs w:val="22"/>
        </w:rPr>
        <w:t>LYS</w:t>
      </w:r>
      <w:r>
        <w:rPr>
          <w:sz w:val="24"/>
          <w:szCs w:val="22"/>
        </w:rPr>
        <w:t>）活性采用上海优选生物科技有限公司试剂盒测定。</w:t>
      </w:r>
    </w:p>
    <w:p w14:paraId="1BE5D4DD" w14:textId="04C5D32F" w:rsidR="00400E98" w:rsidRDefault="00400E98" w:rsidP="00400E98">
      <w:pPr>
        <w:spacing w:line="360" w:lineRule="auto"/>
        <w:rPr>
          <w:sz w:val="24"/>
          <w:szCs w:val="22"/>
        </w:rPr>
      </w:pPr>
      <w:r>
        <w:rPr>
          <w:sz w:val="24"/>
          <w:szCs w:val="22"/>
        </w:rPr>
        <w:t>1.5.6</w:t>
      </w:r>
      <w:r>
        <w:rPr>
          <w:sz w:val="24"/>
          <w:szCs w:val="22"/>
        </w:rPr>
        <w:t>肠道形态结构</w:t>
      </w:r>
    </w:p>
    <w:p w14:paraId="5B23EC63" w14:textId="77777777" w:rsidR="00400E98" w:rsidRDefault="00400E98" w:rsidP="00400E98">
      <w:pPr>
        <w:spacing w:line="360" w:lineRule="auto"/>
        <w:ind w:firstLineChars="200" w:firstLine="480"/>
        <w:rPr>
          <w:sz w:val="24"/>
          <w:szCs w:val="22"/>
        </w:rPr>
      </w:pPr>
      <w:r>
        <w:rPr>
          <w:sz w:val="24"/>
          <w:szCs w:val="22"/>
        </w:rPr>
        <w:t>将肠道组织固定于</w:t>
      </w:r>
      <w:r>
        <w:rPr>
          <w:sz w:val="24"/>
          <w:szCs w:val="22"/>
        </w:rPr>
        <w:t>4%</w:t>
      </w:r>
      <w:r>
        <w:rPr>
          <w:sz w:val="24"/>
          <w:szCs w:val="22"/>
        </w:rPr>
        <w:t>多聚甲醛固定液中，对组织样品进行修剪，随后经梯度乙醇脱水，（乙醇的浓度从</w:t>
      </w:r>
      <w:r>
        <w:rPr>
          <w:sz w:val="24"/>
          <w:szCs w:val="22"/>
        </w:rPr>
        <w:t>75%</w:t>
      </w:r>
      <w:r>
        <w:rPr>
          <w:sz w:val="24"/>
          <w:szCs w:val="22"/>
        </w:rPr>
        <w:t>提高到</w:t>
      </w:r>
      <w:r>
        <w:rPr>
          <w:sz w:val="24"/>
          <w:szCs w:val="22"/>
        </w:rPr>
        <w:t>100%</w:t>
      </w:r>
      <w:r>
        <w:rPr>
          <w:sz w:val="24"/>
          <w:szCs w:val="22"/>
        </w:rPr>
        <w:t>）；然后将样品包埋在石蜡中，并切成</w:t>
      </w:r>
      <w:r>
        <w:rPr>
          <w:sz w:val="24"/>
          <w:szCs w:val="22"/>
        </w:rPr>
        <w:t>4μm</w:t>
      </w:r>
      <w:r>
        <w:rPr>
          <w:sz w:val="24"/>
          <w:szCs w:val="22"/>
        </w:rPr>
        <w:t>的切片；最后进行苏木精一伊红（</w:t>
      </w:r>
      <w:r>
        <w:rPr>
          <w:sz w:val="24"/>
          <w:szCs w:val="22"/>
        </w:rPr>
        <w:t>HE</w:t>
      </w:r>
      <w:r>
        <w:rPr>
          <w:sz w:val="24"/>
          <w:szCs w:val="22"/>
        </w:rPr>
        <w:t>）染色，在光学显微镜下观察肠道组织切片（</w:t>
      </w:r>
      <w:r>
        <w:rPr>
          <w:sz w:val="24"/>
          <w:szCs w:val="22"/>
        </w:rPr>
        <w:t>100×</w:t>
      </w:r>
      <w:r>
        <w:rPr>
          <w:sz w:val="24"/>
          <w:szCs w:val="22"/>
        </w:rPr>
        <w:t>）。每组选取</w:t>
      </w:r>
      <w:r>
        <w:rPr>
          <w:sz w:val="24"/>
          <w:szCs w:val="22"/>
        </w:rPr>
        <w:t>4</w:t>
      </w:r>
      <w:r>
        <w:rPr>
          <w:sz w:val="24"/>
          <w:szCs w:val="22"/>
        </w:rPr>
        <w:t>张不连续切片，每张切片选取</w:t>
      </w:r>
      <w:r>
        <w:rPr>
          <w:sz w:val="24"/>
          <w:szCs w:val="22"/>
        </w:rPr>
        <w:t>4</w:t>
      </w:r>
      <w:r>
        <w:rPr>
          <w:sz w:val="24"/>
          <w:szCs w:val="22"/>
        </w:rPr>
        <w:t>个视野，采用</w:t>
      </w:r>
      <w:r>
        <w:rPr>
          <w:sz w:val="24"/>
          <w:szCs w:val="22"/>
        </w:rPr>
        <w:t>Image</w:t>
      </w:r>
      <w:r>
        <w:rPr>
          <w:rFonts w:hint="eastAsia"/>
          <w:sz w:val="24"/>
          <w:szCs w:val="22"/>
        </w:rPr>
        <w:t xml:space="preserve"> </w:t>
      </w:r>
      <w:r>
        <w:rPr>
          <w:sz w:val="24"/>
          <w:szCs w:val="22"/>
        </w:rPr>
        <w:t>Pro</w:t>
      </w:r>
      <w:r>
        <w:rPr>
          <w:rFonts w:hint="eastAsia"/>
          <w:sz w:val="24"/>
          <w:szCs w:val="22"/>
        </w:rPr>
        <w:t xml:space="preserve"> </w:t>
      </w:r>
      <w:r>
        <w:rPr>
          <w:sz w:val="24"/>
          <w:szCs w:val="22"/>
        </w:rPr>
        <w:t>Plus</w:t>
      </w:r>
      <w:r>
        <w:rPr>
          <w:rFonts w:hint="eastAsia"/>
          <w:sz w:val="24"/>
          <w:szCs w:val="22"/>
        </w:rPr>
        <w:t xml:space="preserve"> </w:t>
      </w:r>
      <w:r>
        <w:rPr>
          <w:sz w:val="24"/>
          <w:szCs w:val="22"/>
        </w:rPr>
        <w:t>6.0</w:t>
      </w:r>
      <w:r>
        <w:rPr>
          <w:sz w:val="24"/>
          <w:szCs w:val="22"/>
        </w:rPr>
        <w:t>软件测量</w:t>
      </w:r>
      <w:r>
        <w:rPr>
          <w:sz w:val="24"/>
          <w:szCs w:val="22"/>
        </w:rPr>
        <w:t>5</w:t>
      </w:r>
      <w:r>
        <w:rPr>
          <w:sz w:val="24"/>
          <w:szCs w:val="22"/>
        </w:rPr>
        <w:t>根完整肠绒毛高度（</w:t>
      </w:r>
      <w:r>
        <w:rPr>
          <w:sz w:val="24"/>
          <w:szCs w:val="22"/>
        </w:rPr>
        <w:t>VH</w:t>
      </w:r>
      <w:r>
        <w:rPr>
          <w:sz w:val="24"/>
          <w:szCs w:val="22"/>
        </w:rPr>
        <w:t>）和对应的</w:t>
      </w:r>
      <w:r>
        <w:rPr>
          <w:sz w:val="24"/>
          <w:szCs w:val="22"/>
        </w:rPr>
        <w:t>5</w:t>
      </w:r>
      <w:r>
        <w:rPr>
          <w:sz w:val="24"/>
          <w:szCs w:val="22"/>
        </w:rPr>
        <w:t>处隐窝深度（</w:t>
      </w:r>
      <w:r>
        <w:rPr>
          <w:sz w:val="24"/>
          <w:szCs w:val="22"/>
        </w:rPr>
        <w:t>CD</w:t>
      </w:r>
      <w:r>
        <w:rPr>
          <w:sz w:val="24"/>
          <w:szCs w:val="22"/>
        </w:rPr>
        <w:t>）以及</w:t>
      </w:r>
      <w:r>
        <w:rPr>
          <w:sz w:val="24"/>
          <w:szCs w:val="22"/>
        </w:rPr>
        <w:t>5</w:t>
      </w:r>
      <w:r>
        <w:rPr>
          <w:sz w:val="24"/>
          <w:szCs w:val="22"/>
        </w:rPr>
        <w:t>处肌层厚度（</w:t>
      </w:r>
      <w:r>
        <w:rPr>
          <w:sz w:val="24"/>
          <w:szCs w:val="22"/>
        </w:rPr>
        <w:t>MT</w:t>
      </w:r>
      <w:r>
        <w:rPr>
          <w:sz w:val="24"/>
          <w:szCs w:val="22"/>
        </w:rPr>
        <w:t>）。</w:t>
      </w:r>
    </w:p>
    <w:p w14:paraId="0C308475" w14:textId="34436194" w:rsidR="00400E98" w:rsidRDefault="00400E98" w:rsidP="00400E98">
      <w:pPr>
        <w:spacing w:line="360" w:lineRule="auto"/>
        <w:rPr>
          <w:sz w:val="24"/>
          <w:szCs w:val="22"/>
        </w:rPr>
      </w:pPr>
      <w:r>
        <w:rPr>
          <w:sz w:val="24"/>
          <w:szCs w:val="22"/>
        </w:rPr>
        <w:t>1.5.7</w:t>
      </w:r>
      <w:r>
        <w:rPr>
          <w:sz w:val="24"/>
          <w:szCs w:val="22"/>
        </w:rPr>
        <w:t>肠道菌群</w:t>
      </w:r>
    </w:p>
    <w:p w14:paraId="3C5644F6" w14:textId="77777777" w:rsidR="00400E98" w:rsidRDefault="00400E98" w:rsidP="00400E98">
      <w:pPr>
        <w:spacing w:line="360" w:lineRule="auto"/>
        <w:ind w:firstLineChars="200" w:firstLine="480"/>
        <w:rPr>
          <w:sz w:val="24"/>
          <w:szCs w:val="22"/>
        </w:rPr>
      </w:pPr>
      <w:r>
        <w:rPr>
          <w:sz w:val="24"/>
          <w:szCs w:val="22"/>
        </w:rPr>
        <w:t>采用</w:t>
      </w:r>
      <w:r>
        <w:rPr>
          <w:sz w:val="24"/>
          <w:szCs w:val="22"/>
        </w:rPr>
        <w:t>OMEGA</w:t>
      </w:r>
      <w:r>
        <w:rPr>
          <w:rFonts w:hint="eastAsia"/>
          <w:sz w:val="24"/>
          <w:szCs w:val="22"/>
        </w:rPr>
        <w:t xml:space="preserve"> </w:t>
      </w:r>
      <w:proofErr w:type="spellStart"/>
      <w:r>
        <w:rPr>
          <w:sz w:val="24"/>
          <w:szCs w:val="22"/>
        </w:rPr>
        <w:t>SOil</w:t>
      </w:r>
      <w:proofErr w:type="spellEnd"/>
      <w:r>
        <w:rPr>
          <w:rFonts w:hint="eastAsia"/>
          <w:sz w:val="24"/>
          <w:szCs w:val="22"/>
        </w:rPr>
        <w:t xml:space="preserve"> </w:t>
      </w:r>
      <w:r>
        <w:rPr>
          <w:sz w:val="24"/>
          <w:szCs w:val="22"/>
        </w:rPr>
        <w:t>DNA</w:t>
      </w:r>
      <w:r>
        <w:rPr>
          <w:rFonts w:hint="eastAsia"/>
          <w:sz w:val="24"/>
          <w:szCs w:val="22"/>
        </w:rPr>
        <w:t xml:space="preserve"> </w:t>
      </w:r>
      <w:r>
        <w:rPr>
          <w:sz w:val="24"/>
          <w:szCs w:val="22"/>
        </w:rPr>
        <w:t>Kit(D5635-02</w:t>
      </w:r>
      <w:r>
        <w:rPr>
          <w:sz w:val="24"/>
          <w:szCs w:val="22"/>
        </w:rPr>
        <w:t>，</w:t>
      </w:r>
      <w:r>
        <w:rPr>
          <w:sz w:val="24"/>
          <w:szCs w:val="22"/>
        </w:rPr>
        <w:t>Omega</w:t>
      </w:r>
      <w:r>
        <w:rPr>
          <w:rFonts w:hint="eastAsia"/>
          <w:sz w:val="24"/>
          <w:szCs w:val="22"/>
        </w:rPr>
        <w:t xml:space="preserve"> </w:t>
      </w:r>
      <w:r>
        <w:rPr>
          <w:sz w:val="24"/>
          <w:szCs w:val="22"/>
        </w:rPr>
        <w:t>Bio-Tek</w:t>
      </w:r>
      <w:r>
        <w:rPr>
          <w:sz w:val="24"/>
          <w:szCs w:val="22"/>
        </w:rPr>
        <w:t>，美国</w:t>
      </w:r>
      <w:r>
        <w:rPr>
          <w:sz w:val="24"/>
          <w:szCs w:val="22"/>
        </w:rPr>
        <w:t>)</w:t>
      </w:r>
      <w:r>
        <w:rPr>
          <w:sz w:val="24"/>
          <w:szCs w:val="22"/>
        </w:rPr>
        <w:t>试剂盒提取肠道内容物中细菌的总</w:t>
      </w:r>
      <w:r>
        <w:rPr>
          <w:sz w:val="24"/>
          <w:szCs w:val="22"/>
        </w:rPr>
        <w:t>DNA</w:t>
      </w:r>
      <w:r>
        <w:rPr>
          <w:sz w:val="24"/>
          <w:szCs w:val="22"/>
        </w:rPr>
        <w:t>；利用</w:t>
      </w:r>
      <w:r>
        <w:rPr>
          <w:sz w:val="24"/>
          <w:szCs w:val="22"/>
        </w:rPr>
        <w:t>2%</w:t>
      </w:r>
      <w:r>
        <w:rPr>
          <w:sz w:val="24"/>
          <w:szCs w:val="22"/>
        </w:rPr>
        <w:t>琼脂糖凝胶回收</w:t>
      </w:r>
      <w:r>
        <w:rPr>
          <w:sz w:val="24"/>
          <w:szCs w:val="22"/>
        </w:rPr>
        <w:t>PCR</w:t>
      </w:r>
      <w:r>
        <w:rPr>
          <w:sz w:val="24"/>
          <w:szCs w:val="22"/>
        </w:rPr>
        <w:t>的产物，对其进行纯化和定量检测：随后利用纯化后的</w:t>
      </w:r>
      <w:r>
        <w:rPr>
          <w:sz w:val="24"/>
          <w:szCs w:val="22"/>
        </w:rPr>
        <w:t>PCR</w:t>
      </w:r>
      <w:r>
        <w:rPr>
          <w:sz w:val="24"/>
          <w:szCs w:val="22"/>
        </w:rPr>
        <w:t>扩增片段构建高通量测序文库（</w:t>
      </w:r>
      <w:r>
        <w:rPr>
          <w:sz w:val="24"/>
          <w:szCs w:val="22"/>
        </w:rPr>
        <w:t>I1lumina</w:t>
      </w:r>
      <w:r>
        <w:rPr>
          <w:rFonts w:hint="eastAsia"/>
          <w:sz w:val="24"/>
          <w:szCs w:val="22"/>
        </w:rPr>
        <w:t xml:space="preserve"> </w:t>
      </w:r>
      <w:proofErr w:type="spellStart"/>
      <w:r>
        <w:rPr>
          <w:sz w:val="24"/>
          <w:szCs w:val="22"/>
        </w:rPr>
        <w:t>MiSeq</w:t>
      </w:r>
      <w:proofErr w:type="spellEnd"/>
      <w:r>
        <w:rPr>
          <w:sz w:val="24"/>
          <w:szCs w:val="22"/>
        </w:rPr>
        <w:t>平台）。采用</w:t>
      </w:r>
      <w:r>
        <w:rPr>
          <w:sz w:val="24"/>
          <w:szCs w:val="22"/>
        </w:rPr>
        <w:t>QIIME2</w:t>
      </w:r>
      <w:r>
        <w:rPr>
          <w:sz w:val="24"/>
          <w:szCs w:val="22"/>
        </w:rPr>
        <w:t>软件</w:t>
      </w:r>
      <w:r>
        <w:rPr>
          <w:sz w:val="24"/>
          <w:szCs w:val="22"/>
        </w:rPr>
        <w:t>DADA2</w:t>
      </w:r>
      <w:r>
        <w:rPr>
          <w:sz w:val="24"/>
          <w:szCs w:val="22"/>
        </w:rPr>
        <w:t>方法对得到的原始序列进行序列去噪和质控分析，按</w:t>
      </w:r>
      <w:r>
        <w:rPr>
          <w:sz w:val="24"/>
          <w:szCs w:val="22"/>
        </w:rPr>
        <w:t>100%</w:t>
      </w:r>
      <w:r>
        <w:rPr>
          <w:sz w:val="24"/>
          <w:szCs w:val="22"/>
        </w:rPr>
        <w:t>的序列相似度进行归并，获得扩增子序列变异（</w:t>
      </w:r>
      <w:r>
        <w:rPr>
          <w:sz w:val="24"/>
          <w:szCs w:val="22"/>
        </w:rPr>
        <w:t>ASV</w:t>
      </w:r>
      <w:r>
        <w:rPr>
          <w:sz w:val="24"/>
          <w:szCs w:val="22"/>
        </w:rPr>
        <w:t>）特征序列；采用</w:t>
      </w:r>
      <w:r>
        <w:rPr>
          <w:sz w:val="24"/>
          <w:szCs w:val="22"/>
        </w:rPr>
        <w:t>classify-</w:t>
      </w:r>
      <w:proofErr w:type="spellStart"/>
      <w:r>
        <w:rPr>
          <w:sz w:val="24"/>
          <w:szCs w:val="22"/>
        </w:rPr>
        <w:t>sklearn</w:t>
      </w:r>
      <w:proofErr w:type="spellEnd"/>
      <w:r>
        <w:rPr>
          <w:sz w:val="24"/>
          <w:szCs w:val="22"/>
        </w:rPr>
        <w:t>算法进行物种注释，在门和属水平上统计各个样本的群落结构。</w:t>
      </w:r>
    </w:p>
    <w:p w14:paraId="54A05DA5" w14:textId="18034AC0" w:rsidR="00400E98" w:rsidRDefault="00400E98" w:rsidP="00400E98">
      <w:pPr>
        <w:spacing w:line="360" w:lineRule="auto"/>
        <w:rPr>
          <w:sz w:val="24"/>
          <w:szCs w:val="22"/>
        </w:rPr>
      </w:pPr>
      <w:r>
        <w:rPr>
          <w:sz w:val="24"/>
          <w:szCs w:val="22"/>
        </w:rPr>
        <w:t>1.6</w:t>
      </w:r>
      <w:r>
        <w:rPr>
          <w:sz w:val="24"/>
          <w:szCs w:val="22"/>
        </w:rPr>
        <w:t>数据统计与分析</w:t>
      </w:r>
    </w:p>
    <w:p w14:paraId="27355956" w14:textId="77777777" w:rsidR="00400E98" w:rsidRDefault="00400E98" w:rsidP="00400E98">
      <w:pPr>
        <w:spacing w:line="360" w:lineRule="auto"/>
        <w:ind w:firstLineChars="200" w:firstLine="480"/>
        <w:rPr>
          <w:sz w:val="24"/>
          <w:szCs w:val="22"/>
        </w:rPr>
      </w:pPr>
      <w:r>
        <w:rPr>
          <w:sz w:val="24"/>
          <w:szCs w:val="22"/>
        </w:rPr>
        <w:t>采用</w:t>
      </w:r>
      <w:r>
        <w:rPr>
          <w:sz w:val="24"/>
          <w:szCs w:val="22"/>
        </w:rPr>
        <w:t>SPSS26.0</w:t>
      </w:r>
      <w:r>
        <w:rPr>
          <w:sz w:val="24"/>
          <w:szCs w:val="22"/>
        </w:rPr>
        <w:t>软件对试验数据进行单因素方差分析（</w:t>
      </w:r>
      <w:r>
        <w:rPr>
          <w:sz w:val="24"/>
          <w:szCs w:val="22"/>
        </w:rPr>
        <w:t>one-</w:t>
      </w:r>
      <w:proofErr w:type="spellStart"/>
      <w:r>
        <w:rPr>
          <w:sz w:val="24"/>
          <w:szCs w:val="22"/>
        </w:rPr>
        <w:t>wayANOVA</w:t>
      </w:r>
      <w:proofErr w:type="spellEnd"/>
      <w:r>
        <w:rPr>
          <w:sz w:val="24"/>
          <w:szCs w:val="22"/>
        </w:rPr>
        <w:t>），并采用</w:t>
      </w:r>
      <w:r>
        <w:rPr>
          <w:sz w:val="24"/>
          <w:szCs w:val="22"/>
        </w:rPr>
        <w:t>Duncan</w:t>
      </w:r>
      <w:r>
        <w:rPr>
          <w:sz w:val="24"/>
          <w:szCs w:val="22"/>
        </w:rPr>
        <w:t>氏法进行多重比较检验，结果数据采用</w:t>
      </w:r>
      <w:r>
        <w:rPr>
          <w:sz w:val="24"/>
          <w:szCs w:val="22"/>
        </w:rPr>
        <w:t>“</w:t>
      </w:r>
      <w:r>
        <w:rPr>
          <w:sz w:val="24"/>
          <w:szCs w:val="22"/>
        </w:rPr>
        <w:t>平均值土标准误</w:t>
      </w:r>
      <w:r>
        <w:rPr>
          <w:sz w:val="24"/>
          <w:szCs w:val="22"/>
        </w:rPr>
        <w:t>”</w:t>
      </w:r>
      <w:r>
        <w:rPr>
          <w:sz w:val="24"/>
          <w:szCs w:val="22"/>
        </w:rPr>
        <w:t>表示，</w:t>
      </w:r>
      <w:r>
        <w:rPr>
          <w:i/>
          <w:iCs/>
          <w:sz w:val="24"/>
          <w:szCs w:val="22"/>
        </w:rPr>
        <w:t>P</w:t>
      </w:r>
      <w:r>
        <w:rPr>
          <w:sz w:val="24"/>
          <w:szCs w:val="22"/>
        </w:rPr>
        <w:t>&lt;0.05</w:t>
      </w:r>
      <w:r>
        <w:rPr>
          <w:sz w:val="24"/>
          <w:szCs w:val="22"/>
        </w:rPr>
        <w:t>为差异显著。</w:t>
      </w:r>
    </w:p>
    <w:p w14:paraId="44B0FC47" w14:textId="51577560" w:rsidR="00400E98" w:rsidRDefault="00400E98" w:rsidP="00400E98">
      <w:pPr>
        <w:spacing w:line="360" w:lineRule="auto"/>
        <w:rPr>
          <w:sz w:val="24"/>
          <w:szCs w:val="22"/>
        </w:rPr>
      </w:pPr>
      <w:r>
        <w:rPr>
          <w:sz w:val="24"/>
          <w:szCs w:val="22"/>
        </w:rPr>
        <w:t>2</w:t>
      </w:r>
      <w:r>
        <w:rPr>
          <w:sz w:val="24"/>
          <w:szCs w:val="22"/>
        </w:rPr>
        <w:t>结果与分析</w:t>
      </w:r>
    </w:p>
    <w:p w14:paraId="54CB06EF" w14:textId="233EC49C" w:rsidR="00400E98" w:rsidRDefault="00400E98" w:rsidP="00400E98">
      <w:pPr>
        <w:spacing w:line="360" w:lineRule="auto"/>
        <w:rPr>
          <w:sz w:val="24"/>
          <w:szCs w:val="22"/>
        </w:rPr>
      </w:pPr>
      <w:r>
        <w:rPr>
          <w:sz w:val="24"/>
          <w:szCs w:val="22"/>
        </w:rPr>
        <w:t>2.1</w:t>
      </w:r>
      <w:r>
        <w:rPr>
          <w:sz w:val="24"/>
          <w:szCs w:val="22"/>
        </w:rPr>
        <w:t>棉籽浓缩蛋白替代鱼粉对大鳞副泥鳅生长性能的影响</w:t>
      </w:r>
    </w:p>
    <w:p w14:paraId="0BD5E22F" w14:textId="77777777" w:rsidR="00400E98" w:rsidRDefault="00400E98" w:rsidP="00400E98">
      <w:pPr>
        <w:spacing w:line="360" w:lineRule="auto"/>
        <w:ind w:firstLineChars="200" w:firstLine="480"/>
        <w:rPr>
          <w:sz w:val="24"/>
          <w:szCs w:val="22"/>
        </w:rPr>
      </w:pPr>
      <w:r>
        <w:rPr>
          <w:sz w:val="24"/>
          <w:szCs w:val="22"/>
        </w:rPr>
        <w:t>由表</w:t>
      </w:r>
      <w:r>
        <w:rPr>
          <w:sz w:val="24"/>
          <w:szCs w:val="22"/>
        </w:rPr>
        <w:t>3</w:t>
      </w:r>
      <w:r>
        <w:rPr>
          <w:sz w:val="24"/>
          <w:szCs w:val="22"/>
        </w:rPr>
        <w:t>可知，各组间大鳞副泥鳅</w:t>
      </w:r>
      <w:r>
        <w:rPr>
          <w:sz w:val="24"/>
          <w:szCs w:val="22"/>
        </w:rPr>
        <w:t>SR</w:t>
      </w:r>
      <w:r>
        <w:rPr>
          <w:sz w:val="24"/>
          <w:szCs w:val="22"/>
        </w:rPr>
        <w:t>无显著差异（</w:t>
      </w:r>
      <w:r>
        <w:rPr>
          <w:i/>
          <w:iCs/>
          <w:sz w:val="24"/>
          <w:szCs w:val="22"/>
        </w:rPr>
        <w:t>P</w:t>
      </w:r>
      <w:r>
        <w:rPr>
          <w:sz w:val="24"/>
          <w:szCs w:val="22"/>
        </w:rPr>
        <w:t>&gt;0.05</w:t>
      </w:r>
      <w:r>
        <w:rPr>
          <w:sz w:val="24"/>
          <w:szCs w:val="22"/>
        </w:rPr>
        <w:t>）。与</w:t>
      </w:r>
      <w:r>
        <w:rPr>
          <w:sz w:val="24"/>
          <w:szCs w:val="22"/>
        </w:rPr>
        <w:t>FM</w:t>
      </w:r>
      <w:r>
        <w:rPr>
          <w:sz w:val="24"/>
          <w:szCs w:val="22"/>
        </w:rPr>
        <w:t>组相比，</w:t>
      </w:r>
      <w:r>
        <w:rPr>
          <w:sz w:val="24"/>
          <w:szCs w:val="22"/>
        </w:rPr>
        <w:t>CPC56</w:t>
      </w:r>
      <w:r>
        <w:rPr>
          <w:sz w:val="24"/>
          <w:szCs w:val="22"/>
        </w:rPr>
        <w:t>组、</w:t>
      </w:r>
      <w:r>
        <w:rPr>
          <w:sz w:val="24"/>
          <w:szCs w:val="22"/>
        </w:rPr>
        <w:t>CPC68</w:t>
      </w:r>
      <w:r>
        <w:rPr>
          <w:sz w:val="24"/>
          <w:szCs w:val="22"/>
        </w:rPr>
        <w:t>组和</w:t>
      </w:r>
      <w:r>
        <w:rPr>
          <w:sz w:val="24"/>
          <w:szCs w:val="22"/>
        </w:rPr>
        <w:t>CPC80</w:t>
      </w:r>
      <w:r>
        <w:rPr>
          <w:sz w:val="24"/>
          <w:szCs w:val="22"/>
        </w:rPr>
        <w:t>组终末体质量、</w:t>
      </w:r>
      <w:r>
        <w:rPr>
          <w:sz w:val="24"/>
          <w:szCs w:val="22"/>
        </w:rPr>
        <w:t>WGR</w:t>
      </w:r>
      <w:r>
        <w:rPr>
          <w:sz w:val="24"/>
          <w:szCs w:val="22"/>
        </w:rPr>
        <w:t>和</w:t>
      </w:r>
      <w:r>
        <w:rPr>
          <w:sz w:val="24"/>
          <w:szCs w:val="22"/>
        </w:rPr>
        <w:t>SGR</w:t>
      </w:r>
      <w:r>
        <w:rPr>
          <w:sz w:val="24"/>
          <w:szCs w:val="22"/>
        </w:rPr>
        <w:t>显著降低（</w:t>
      </w:r>
      <w:r>
        <w:rPr>
          <w:i/>
          <w:iCs/>
          <w:sz w:val="24"/>
          <w:szCs w:val="22"/>
        </w:rPr>
        <w:t>P</w:t>
      </w:r>
      <w:r>
        <w:rPr>
          <w:sz w:val="24"/>
          <w:szCs w:val="22"/>
        </w:rPr>
        <w:t>&lt;0.05</w:t>
      </w:r>
      <w:r>
        <w:rPr>
          <w:sz w:val="24"/>
          <w:szCs w:val="22"/>
        </w:rPr>
        <w:t>）。随着棉籽浓缩蛋白</w:t>
      </w:r>
      <w:r>
        <w:rPr>
          <w:sz w:val="24"/>
          <w:szCs w:val="22"/>
        </w:rPr>
        <w:lastRenderedPageBreak/>
        <w:t>替代鱼粉比例的提高，</w:t>
      </w:r>
      <w:r>
        <w:rPr>
          <w:sz w:val="24"/>
          <w:szCs w:val="22"/>
        </w:rPr>
        <w:t>HSI</w:t>
      </w:r>
      <w:r>
        <w:rPr>
          <w:sz w:val="24"/>
          <w:szCs w:val="22"/>
        </w:rPr>
        <w:t>和</w:t>
      </w:r>
      <w:r>
        <w:rPr>
          <w:sz w:val="24"/>
          <w:szCs w:val="22"/>
        </w:rPr>
        <w:t>VSI</w:t>
      </w:r>
      <w:r>
        <w:rPr>
          <w:sz w:val="24"/>
          <w:szCs w:val="22"/>
        </w:rPr>
        <w:t>呈现逐渐降低趋势，其中</w:t>
      </w:r>
      <w:r>
        <w:rPr>
          <w:sz w:val="24"/>
          <w:szCs w:val="22"/>
        </w:rPr>
        <w:t>CPC56</w:t>
      </w:r>
      <w:r>
        <w:rPr>
          <w:sz w:val="24"/>
          <w:szCs w:val="22"/>
        </w:rPr>
        <w:t>组、</w:t>
      </w:r>
      <w:r>
        <w:rPr>
          <w:sz w:val="24"/>
          <w:szCs w:val="22"/>
        </w:rPr>
        <w:t>CPC68</w:t>
      </w:r>
      <w:r>
        <w:rPr>
          <w:sz w:val="24"/>
          <w:szCs w:val="22"/>
        </w:rPr>
        <w:t>组和</w:t>
      </w:r>
      <w:r>
        <w:rPr>
          <w:sz w:val="24"/>
          <w:szCs w:val="22"/>
        </w:rPr>
        <w:t>CPC80</w:t>
      </w:r>
      <w:r>
        <w:rPr>
          <w:sz w:val="24"/>
          <w:szCs w:val="22"/>
        </w:rPr>
        <w:t>组</w:t>
      </w:r>
      <w:r>
        <w:rPr>
          <w:sz w:val="24"/>
          <w:szCs w:val="22"/>
        </w:rPr>
        <w:t>HSI</w:t>
      </w:r>
      <w:r>
        <w:rPr>
          <w:sz w:val="24"/>
          <w:szCs w:val="22"/>
        </w:rPr>
        <w:t>和</w:t>
      </w:r>
      <w:r>
        <w:rPr>
          <w:sz w:val="24"/>
          <w:szCs w:val="22"/>
        </w:rPr>
        <w:t>VSI</w:t>
      </w:r>
      <w:r>
        <w:rPr>
          <w:sz w:val="24"/>
          <w:szCs w:val="22"/>
        </w:rPr>
        <w:t>显著低于</w:t>
      </w:r>
      <w:r>
        <w:rPr>
          <w:sz w:val="24"/>
          <w:szCs w:val="22"/>
        </w:rPr>
        <w:t>FM</w:t>
      </w:r>
      <w:r>
        <w:rPr>
          <w:sz w:val="24"/>
          <w:szCs w:val="22"/>
        </w:rPr>
        <w:t>组（</w:t>
      </w:r>
      <w:r>
        <w:rPr>
          <w:i/>
          <w:iCs/>
          <w:sz w:val="24"/>
          <w:szCs w:val="22"/>
        </w:rPr>
        <w:t>P</w:t>
      </w:r>
      <w:r>
        <w:rPr>
          <w:sz w:val="24"/>
          <w:szCs w:val="22"/>
        </w:rPr>
        <w:t>&lt;0.05</w:t>
      </w:r>
      <w:r>
        <w:rPr>
          <w:sz w:val="24"/>
          <w:szCs w:val="22"/>
        </w:rPr>
        <w:t>）。与</w:t>
      </w:r>
      <w:r>
        <w:rPr>
          <w:sz w:val="24"/>
          <w:szCs w:val="22"/>
        </w:rPr>
        <w:t>FM</w:t>
      </w:r>
      <w:r>
        <w:rPr>
          <w:sz w:val="24"/>
          <w:szCs w:val="22"/>
        </w:rPr>
        <w:t>组相比，</w:t>
      </w:r>
      <w:r>
        <w:rPr>
          <w:sz w:val="24"/>
          <w:szCs w:val="22"/>
        </w:rPr>
        <w:t>CPC68</w:t>
      </w:r>
      <w:r>
        <w:rPr>
          <w:sz w:val="24"/>
          <w:szCs w:val="22"/>
        </w:rPr>
        <w:t>组和</w:t>
      </w:r>
      <w:r>
        <w:rPr>
          <w:sz w:val="24"/>
          <w:szCs w:val="22"/>
        </w:rPr>
        <w:t>CPC80</w:t>
      </w:r>
      <w:r>
        <w:rPr>
          <w:sz w:val="24"/>
          <w:szCs w:val="22"/>
        </w:rPr>
        <w:t>组</w:t>
      </w:r>
      <w:r>
        <w:rPr>
          <w:sz w:val="24"/>
          <w:szCs w:val="22"/>
        </w:rPr>
        <w:t>FR</w:t>
      </w:r>
      <w:r>
        <w:rPr>
          <w:sz w:val="24"/>
          <w:szCs w:val="22"/>
        </w:rPr>
        <w:t>和</w:t>
      </w:r>
      <w:r>
        <w:rPr>
          <w:sz w:val="24"/>
          <w:szCs w:val="22"/>
        </w:rPr>
        <w:t>FCR</w:t>
      </w:r>
      <w:r>
        <w:rPr>
          <w:sz w:val="24"/>
          <w:szCs w:val="22"/>
        </w:rPr>
        <w:t>显著提高（</w:t>
      </w:r>
      <w:r>
        <w:rPr>
          <w:i/>
          <w:iCs/>
          <w:sz w:val="24"/>
          <w:szCs w:val="22"/>
        </w:rPr>
        <w:t>P</w:t>
      </w:r>
      <w:r>
        <w:rPr>
          <w:sz w:val="24"/>
          <w:szCs w:val="22"/>
        </w:rPr>
        <w:t>&lt;0.05</w:t>
      </w:r>
      <w:r>
        <w:rPr>
          <w:sz w:val="24"/>
          <w:szCs w:val="22"/>
        </w:rPr>
        <w:t>）。如图</w:t>
      </w:r>
      <w:r>
        <w:rPr>
          <w:sz w:val="24"/>
          <w:szCs w:val="22"/>
        </w:rPr>
        <w:t>1</w:t>
      </w:r>
      <w:r>
        <w:rPr>
          <w:sz w:val="24"/>
          <w:szCs w:val="22"/>
        </w:rPr>
        <w:t>所示，基于</w:t>
      </w:r>
      <w:r>
        <w:rPr>
          <w:sz w:val="24"/>
          <w:szCs w:val="22"/>
        </w:rPr>
        <w:t>WGR</w:t>
      </w:r>
      <w:r>
        <w:rPr>
          <w:sz w:val="24"/>
          <w:szCs w:val="22"/>
        </w:rPr>
        <w:t>的折线模型分析，大鳞副泥鳅饲料中棉籽浓缩蛋白替代鱼粉的适宜比例为</w:t>
      </w:r>
      <w:r>
        <w:rPr>
          <w:sz w:val="24"/>
          <w:szCs w:val="22"/>
        </w:rPr>
        <w:t>30.46%</w:t>
      </w:r>
      <w:r>
        <w:rPr>
          <w:sz w:val="24"/>
          <w:szCs w:val="22"/>
        </w:rPr>
        <w:t>。</w:t>
      </w:r>
    </w:p>
    <w:p w14:paraId="2752D302" w14:textId="77777777" w:rsidR="00400E98" w:rsidRDefault="00400E98" w:rsidP="00400E98">
      <w:pPr>
        <w:spacing w:line="360" w:lineRule="auto"/>
        <w:jc w:val="center"/>
        <w:rPr>
          <w:rFonts w:ascii="宋体" w:hAnsi="宋体" w:cs="宋体" w:hint="eastAsia"/>
          <w:sz w:val="24"/>
        </w:rPr>
      </w:pPr>
      <w:r>
        <w:rPr>
          <w:rFonts w:ascii="宋体" w:hAnsi="宋体" w:cs="宋体"/>
          <w:noProof/>
          <w:sz w:val="24"/>
        </w:rPr>
        <w:drawing>
          <wp:inline distT="0" distB="0" distL="114300" distR="114300" wp14:anchorId="11DC5AEA" wp14:editId="7BE0F832">
            <wp:extent cx="5940054" cy="3238500"/>
            <wp:effectExtent l="0" t="0" r="3810" b="0"/>
            <wp:docPr id="957970584" name="图片 9579705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0"/>
                    <a:stretch>
                      <a:fillRect/>
                    </a:stretch>
                  </pic:blipFill>
                  <pic:spPr>
                    <a:xfrm>
                      <a:off x="0" y="0"/>
                      <a:ext cx="5945688" cy="3241572"/>
                    </a:xfrm>
                    <a:prstGeom prst="rect">
                      <a:avLst/>
                    </a:prstGeom>
                    <a:noFill/>
                    <a:ln w="9525">
                      <a:noFill/>
                    </a:ln>
                  </pic:spPr>
                </pic:pic>
              </a:graphicData>
            </a:graphic>
          </wp:inline>
        </w:drawing>
      </w:r>
    </w:p>
    <w:p w14:paraId="2F75B477" w14:textId="77777777" w:rsidR="00400E98" w:rsidRDefault="00400E98" w:rsidP="00400E98">
      <w:pPr>
        <w:spacing w:line="360" w:lineRule="auto"/>
        <w:jc w:val="center"/>
        <w:rPr>
          <w:rFonts w:ascii="宋体" w:hAnsi="宋体" w:cs="宋体" w:hint="eastAsia"/>
          <w:sz w:val="24"/>
        </w:rPr>
      </w:pPr>
      <w:r>
        <w:rPr>
          <w:rFonts w:ascii="宋体" w:hAnsi="宋体" w:cs="宋体"/>
          <w:noProof/>
          <w:sz w:val="24"/>
        </w:rPr>
        <w:drawing>
          <wp:inline distT="0" distB="0" distL="114300" distR="114300" wp14:anchorId="6F452ADA" wp14:editId="29BD36AE">
            <wp:extent cx="4929329" cy="4033837"/>
            <wp:effectExtent l="0" t="0" r="5080" b="5080"/>
            <wp:docPr id="1880052057" name="图片 18800520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1"/>
                    <a:stretch>
                      <a:fillRect/>
                    </a:stretch>
                  </pic:blipFill>
                  <pic:spPr>
                    <a:xfrm>
                      <a:off x="0" y="0"/>
                      <a:ext cx="4942174" cy="4044349"/>
                    </a:xfrm>
                    <a:prstGeom prst="rect">
                      <a:avLst/>
                    </a:prstGeom>
                    <a:noFill/>
                    <a:ln w="9525">
                      <a:noFill/>
                    </a:ln>
                  </pic:spPr>
                </pic:pic>
              </a:graphicData>
            </a:graphic>
          </wp:inline>
        </w:drawing>
      </w:r>
    </w:p>
    <w:p w14:paraId="519910AC" w14:textId="3A095B41" w:rsidR="00400E98" w:rsidRDefault="00400E98" w:rsidP="00400E98">
      <w:pPr>
        <w:spacing w:line="360" w:lineRule="auto"/>
        <w:rPr>
          <w:sz w:val="24"/>
          <w:szCs w:val="22"/>
        </w:rPr>
      </w:pPr>
      <w:r>
        <w:rPr>
          <w:sz w:val="24"/>
          <w:szCs w:val="22"/>
        </w:rPr>
        <w:lastRenderedPageBreak/>
        <w:t>2.2</w:t>
      </w:r>
      <w:r>
        <w:rPr>
          <w:sz w:val="24"/>
          <w:szCs w:val="22"/>
        </w:rPr>
        <w:t>棉籽浓缩蛋白替代鱼粉对大鳞副泥鳅体成分的影响</w:t>
      </w:r>
    </w:p>
    <w:p w14:paraId="78216F59" w14:textId="77777777" w:rsidR="00400E98" w:rsidRDefault="00400E98" w:rsidP="00400E98">
      <w:pPr>
        <w:spacing w:line="360" w:lineRule="auto"/>
        <w:ind w:firstLineChars="200" w:firstLine="480"/>
        <w:rPr>
          <w:sz w:val="24"/>
          <w:szCs w:val="22"/>
        </w:rPr>
      </w:pPr>
      <w:r>
        <w:rPr>
          <w:sz w:val="24"/>
          <w:szCs w:val="22"/>
        </w:rPr>
        <w:t>由表</w:t>
      </w:r>
      <w:r>
        <w:rPr>
          <w:sz w:val="24"/>
          <w:szCs w:val="22"/>
        </w:rPr>
        <w:t>4</w:t>
      </w:r>
      <w:r>
        <w:rPr>
          <w:sz w:val="24"/>
          <w:szCs w:val="22"/>
        </w:rPr>
        <w:t>可知，各组间大鳞副泥鳅粗蛋白质和水分含量无显著差异（</w:t>
      </w:r>
      <w:r>
        <w:rPr>
          <w:i/>
          <w:iCs/>
          <w:sz w:val="24"/>
          <w:szCs w:val="22"/>
        </w:rPr>
        <w:t>P</w:t>
      </w:r>
      <w:r>
        <w:rPr>
          <w:sz w:val="24"/>
          <w:szCs w:val="22"/>
        </w:rPr>
        <w:t>&gt;0.05</w:t>
      </w:r>
      <w:r>
        <w:rPr>
          <w:sz w:val="24"/>
          <w:szCs w:val="22"/>
        </w:rPr>
        <w:t>）。与</w:t>
      </w:r>
      <w:r>
        <w:rPr>
          <w:sz w:val="24"/>
          <w:szCs w:val="22"/>
        </w:rPr>
        <w:t>FM</w:t>
      </w:r>
      <w:r>
        <w:rPr>
          <w:sz w:val="24"/>
          <w:szCs w:val="22"/>
        </w:rPr>
        <w:t>组相比，</w:t>
      </w:r>
      <w:r>
        <w:rPr>
          <w:sz w:val="24"/>
          <w:szCs w:val="22"/>
        </w:rPr>
        <w:t>CPC80</w:t>
      </w:r>
      <w:r>
        <w:rPr>
          <w:sz w:val="24"/>
          <w:szCs w:val="22"/>
        </w:rPr>
        <w:t>组大鳞副泥鳅粗脂肪含量显著降低（</w:t>
      </w:r>
      <w:r>
        <w:rPr>
          <w:i/>
          <w:iCs/>
          <w:sz w:val="24"/>
          <w:szCs w:val="22"/>
        </w:rPr>
        <w:t>P</w:t>
      </w:r>
      <w:r>
        <w:rPr>
          <w:sz w:val="24"/>
          <w:szCs w:val="22"/>
        </w:rPr>
        <w:t>&lt;0.05</w:t>
      </w:r>
      <w:r>
        <w:rPr>
          <w:sz w:val="24"/>
          <w:szCs w:val="22"/>
        </w:rPr>
        <w:t>），</w:t>
      </w:r>
      <w:r>
        <w:rPr>
          <w:sz w:val="24"/>
          <w:szCs w:val="22"/>
        </w:rPr>
        <w:t>CPC56</w:t>
      </w:r>
      <w:r>
        <w:rPr>
          <w:sz w:val="24"/>
          <w:szCs w:val="22"/>
        </w:rPr>
        <w:t>组和</w:t>
      </w:r>
      <w:r>
        <w:rPr>
          <w:sz w:val="24"/>
          <w:szCs w:val="22"/>
        </w:rPr>
        <w:t>CPC68</w:t>
      </w:r>
      <w:r>
        <w:rPr>
          <w:sz w:val="24"/>
          <w:szCs w:val="22"/>
        </w:rPr>
        <w:t>组粗灰分含量显著提高（</w:t>
      </w:r>
      <w:r>
        <w:rPr>
          <w:i/>
          <w:iCs/>
          <w:sz w:val="24"/>
          <w:szCs w:val="22"/>
        </w:rPr>
        <w:t>P</w:t>
      </w:r>
      <w:r>
        <w:rPr>
          <w:sz w:val="24"/>
          <w:szCs w:val="22"/>
        </w:rPr>
        <w:t>&lt;0.05</w:t>
      </w:r>
      <w:r>
        <w:rPr>
          <w:sz w:val="24"/>
          <w:szCs w:val="22"/>
        </w:rPr>
        <w:t>）。</w:t>
      </w:r>
    </w:p>
    <w:p w14:paraId="35B99382"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028B14A8" wp14:editId="2CA40F9A">
            <wp:extent cx="5941695" cy="1802765"/>
            <wp:effectExtent l="0" t="0" r="1905" b="6985"/>
            <wp:docPr id="209924561" name="图片 2099245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2"/>
                    <a:stretch>
                      <a:fillRect/>
                    </a:stretch>
                  </pic:blipFill>
                  <pic:spPr>
                    <a:xfrm>
                      <a:off x="0" y="0"/>
                      <a:ext cx="5941695" cy="1802765"/>
                    </a:xfrm>
                    <a:prstGeom prst="rect">
                      <a:avLst/>
                    </a:prstGeom>
                    <a:noFill/>
                    <a:ln w="9525">
                      <a:noFill/>
                    </a:ln>
                  </pic:spPr>
                </pic:pic>
              </a:graphicData>
            </a:graphic>
          </wp:inline>
        </w:drawing>
      </w:r>
    </w:p>
    <w:p w14:paraId="2B5CA48A" w14:textId="5AE774B8" w:rsidR="00400E98" w:rsidRDefault="00400E98" w:rsidP="00400E98">
      <w:pPr>
        <w:spacing w:line="360" w:lineRule="auto"/>
        <w:rPr>
          <w:sz w:val="24"/>
          <w:szCs w:val="22"/>
        </w:rPr>
      </w:pPr>
      <w:r>
        <w:rPr>
          <w:sz w:val="24"/>
          <w:szCs w:val="22"/>
        </w:rPr>
        <w:t>2.3</w:t>
      </w:r>
      <w:r>
        <w:rPr>
          <w:sz w:val="24"/>
          <w:szCs w:val="22"/>
        </w:rPr>
        <w:t>棉籽浓缩蛋白替代鱼粉对大鳞副泥鳅血清生化指标的影响</w:t>
      </w:r>
    </w:p>
    <w:p w14:paraId="1C211275" w14:textId="77777777" w:rsidR="00400E98" w:rsidRDefault="00400E98" w:rsidP="00400E98">
      <w:pPr>
        <w:spacing w:line="360" w:lineRule="auto"/>
        <w:ind w:firstLineChars="200" w:firstLine="480"/>
        <w:rPr>
          <w:sz w:val="24"/>
          <w:szCs w:val="22"/>
        </w:rPr>
      </w:pPr>
      <w:r>
        <w:rPr>
          <w:sz w:val="24"/>
          <w:szCs w:val="22"/>
        </w:rPr>
        <w:t>由表</w:t>
      </w:r>
      <w:r>
        <w:rPr>
          <w:sz w:val="24"/>
          <w:szCs w:val="22"/>
        </w:rPr>
        <w:t>5</w:t>
      </w:r>
      <w:r>
        <w:rPr>
          <w:sz w:val="24"/>
          <w:szCs w:val="22"/>
        </w:rPr>
        <w:t>可知，各组间大鳞副泥鳅血清</w:t>
      </w:r>
      <w:r>
        <w:rPr>
          <w:sz w:val="24"/>
          <w:szCs w:val="22"/>
        </w:rPr>
        <w:t>TP</w:t>
      </w:r>
      <w:r>
        <w:rPr>
          <w:sz w:val="24"/>
          <w:szCs w:val="22"/>
        </w:rPr>
        <w:t>、</w:t>
      </w:r>
      <w:r>
        <w:rPr>
          <w:sz w:val="24"/>
          <w:szCs w:val="22"/>
        </w:rPr>
        <w:t>ALB</w:t>
      </w:r>
      <w:r>
        <w:rPr>
          <w:sz w:val="24"/>
          <w:szCs w:val="22"/>
        </w:rPr>
        <w:t>、</w:t>
      </w:r>
      <w:r>
        <w:rPr>
          <w:sz w:val="24"/>
          <w:szCs w:val="22"/>
        </w:rPr>
        <w:t>TC</w:t>
      </w:r>
      <w:r>
        <w:rPr>
          <w:sz w:val="24"/>
          <w:szCs w:val="22"/>
        </w:rPr>
        <w:t>和</w:t>
      </w:r>
      <w:r>
        <w:rPr>
          <w:sz w:val="24"/>
          <w:szCs w:val="22"/>
        </w:rPr>
        <w:t>LDL-C</w:t>
      </w:r>
      <w:r>
        <w:rPr>
          <w:sz w:val="24"/>
          <w:szCs w:val="22"/>
        </w:rPr>
        <w:t>含量以及</w:t>
      </w:r>
      <w:r>
        <w:rPr>
          <w:sz w:val="24"/>
          <w:szCs w:val="22"/>
        </w:rPr>
        <w:t>ALT</w:t>
      </w:r>
      <w:r>
        <w:rPr>
          <w:sz w:val="24"/>
          <w:szCs w:val="22"/>
        </w:rPr>
        <w:t>和</w:t>
      </w:r>
      <w:r>
        <w:rPr>
          <w:sz w:val="24"/>
          <w:szCs w:val="22"/>
        </w:rPr>
        <w:t>AST</w:t>
      </w:r>
      <w:r>
        <w:rPr>
          <w:sz w:val="24"/>
          <w:szCs w:val="22"/>
        </w:rPr>
        <w:t>活性均无显著差异（</w:t>
      </w:r>
      <w:r>
        <w:rPr>
          <w:i/>
          <w:iCs/>
          <w:sz w:val="24"/>
          <w:szCs w:val="22"/>
        </w:rPr>
        <w:t>P</w:t>
      </w:r>
      <w:r>
        <w:rPr>
          <w:sz w:val="24"/>
          <w:szCs w:val="22"/>
        </w:rPr>
        <w:t>&gt;0.05</w:t>
      </w:r>
      <w:r>
        <w:rPr>
          <w:sz w:val="24"/>
          <w:szCs w:val="22"/>
        </w:rPr>
        <w:t>）。与</w:t>
      </w:r>
      <w:r>
        <w:rPr>
          <w:sz w:val="24"/>
          <w:szCs w:val="22"/>
        </w:rPr>
        <w:t>FM</w:t>
      </w:r>
      <w:r>
        <w:rPr>
          <w:sz w:val="24"/>
          <w:szCs w:val="22"/>
        </w:rPr>
        <w:t>组相比，</w:t>
      </w:r>
      <w:r>
        <w:rPr>
          <w:sz w:val="24"/>
          <w:szCs w:val="22"/>
        </w:rPr>
        <w:t>CPC44</w:t>
      </w:r>
      <w:r>
        <w:rPr>
          <w:sz w:val="24"/>
          <w:szCs w:val="22"/>
        </w:rPr>
        <w:t>组、</w:t>
      </w:r>
      <w:r>
        <w:rPr>
          <w:sz w:val="24"/>
          <w:szCs w:val="22"/>
        </w:rPr>
        <w:t>CPC56</w:t>
      </w:r>
      <w:r>
        <w:rPr>
          <w:sz w:val="24"/>
          <w:szCs w:val="22"/>
        </w:rPr>
        <w:t>组、</w:t>
      </w:r>
      <w:r>
        <w:rPr>
          <w:sz w:val="24"/>
          <w:szCs w:val="22"/>
        </w:rPr>
        <w:t>CPC68</w:t>
      </w:r>
      <w:r>
        <w:rPr>
          <w:sz w:val="24"/>
          <w:szCs w:val="22"/>
        </w:rPr>
        <w:t>组和</w:t>
      </w:r>
      <w:r>
        <w:rPr>
          <w:sz w:val="24"/>
          <w:szCs w:val="22"/>
        </w:rPr>
        <w:t>CPC80</w:t>
      </w:r>
      <w:r>
        <w:rPr>
          <w:sz w:val="24"/>
          <w:szCs w:val="22"/>
        </w:rPr>
        <w:t>组血清</w:t>
      </w:r>
      <w:r>
        <w:rPr>
          <w:sz w:val="24"/>
          <w:szCs w:val="22"/>
        </w:rPr>
        <w:t>GLU</w:t>
      </w:r>
      <w:r>
        <w:rPr>
          <w:sz w:val="24"/>
          <w:szCs w:val="22"/>
        </w:rPr>
        <w:t>和</w:t>
      </w:r>
      <w:r>
        <w:rPr>
          <w:sz w:val="24"/>
          <w:szCs w:val="22"/>
        </w:rPr>
        <w:t>HDL-C</w:t>
      </w:r>
      <w:r>
        <w:rPr>
          <w:sz w:val="24"/>
          <w:szCs w:val="22"/>
        </w:rPr>
        <w:t>含量显著降低（</w:t>
      </w:r>
      <w:r>
        <w:rPr>
          <w:i/>
          <w:iCs/>
          <w:sz w:val="24"/>
          <w:szCs w:val="22"/>
        </w:rPr>
        <w:t>P</w:t>
      </w:r>
      <w:r>
        <w:rPr>
          <w:sz w:val="24"/>
          <w:szCs w:val="22"/>
        </w:rPr>
        <w:t>&lt;0.05</w:t>
      </w:r>
      <w:r>
        <w:rPr>
          <w:sz w:val="24"/>
          <w:szCs w:val="22"/>
        </w:rPr>
        <w:t>），</w:t>
      </w:r>
      <w:r>
        <w:rPr>
          <w:sz w:val="24"/>
          <w:szCs w:val="22"/>
        </w:rPr>
        <w:t>CPC68</w:t>
      </w:r>
      <w:r>
        <w:rPr>
          <w:sz w:val="24"/>
          <w:szCs w:val="22"/>
        </w:rPr>
        <w:t>组和</w:t>
      </w:r>
      <w:r>
        <w:rPr>
          <w:sz w:val="24"/>
          <w:szCs w:val="22"/>
        </w:rPr>
        <w:t>CPC80</w:t>
      </w:r>
      <w:r>
        <w:rPr>
          <w:sz w:val="24"/>
          <w:szCs w:val="22"/>
        </w:rPr>
        <w:t>组血清</w:t>
      </w:r>
      <w:r>
        <w:rPr>
          <w:sz w:val="24"/>
          <w:szCs w:val="22"/>
        </w:rPr>
        <w:t>TG</w:t>
      </w:r>
      <w:r>
        <w:rPr>
          <w:sz w:val="24"/>
          <w:szCs w:val="22"/>
        </w:rPr>
        <w:t>含量显著降低（</w:t>
      </w:r>
      <w:r>
        <w:rPr>
          <w:i/>
          <w:iCs/>
          <w:sz w:val="24"/>
          <w:szCs w:val="22"/>
        </w:rPr>
        <w:t>P</w:t>
      </w:r>
      <w:r>
        <w:rPr>
          <w:sz w:val="24"/>
          <w:szCs w:val="22"/>
        </w:rPr>
        <w:t>&lt;0.05</w:t>
      </w:r>
      <w:r>
        <w:rPr>
          <w:sz w:val="24"/>
          <w:szCs w:val="22"/>
        </w:rPr>
        <w:t>）。</w:t>
      </w:r>
    </w:p>
    <w:p w14:paraId="3BCDE18E" w14:textId="77777777" w:rsidR="00400E98" w:rsidRDefault="00400E98" w:rsidP="00CE145F">
      <w:pPr>
        <w:spacing w:line="360" w:lineRule="auto"/>
        <w:jc w:val="center"/>
        <w:rPr>
          <w:sz w:val="24"/>
          <w:szCs w:val="22"/>
        </w:rPr>
      </w:pPr>
      <w:r>
        <w:rPr>
          <w:rFonts w:ascii="宋体" w:hAnsi="宋体" w:cs="宋体"/>
          <w:noProof/>
          <w:sz w:val="24"/>
        </w:rPr>
        <w:drawing>
          <wp:inline distT="0" distB="0" distL="114300" distR="114300" wp14:anchorId="2CF764FC" wp14:editId="68EFE74D">
            <wp:extent cx="5595620" cy="2728913"/>
            <wp:effectExtent l="0" t="0" r="508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rotWithShape="1">
                    <a:blip r:embed="rId23"/>
                    <a:srcRect l="1828" r="559" b="3182"/>
                    <a:stretch>
                      <a:fillRect/>
                    </a:stretch>
                  </pic:blipFill>
                  <pic:spPr bwMode="auto">
                    <a:xfrm>
                      <a:off x="0" y="0"/>
                      <a:ext cx="5595937" cy="2729068"/>
                    </a:xfrm>
                    <a:prstGeom prst="rect">
                      <a:avLst/>
                    </a:prstGeom>
                    <a:noFill/>
                    <a:ln>
                      <a:noFill/>
                    </a:ln>
                    <a:extLst>
                      <a:ext uri="{53640926-AAD7-44D8-BBD7-CCE9431645EC}">
                        <a14:shadowObscured xmlns:a14="http://schemas.microsoft.com/office/drawing/2010/main"/>
                      </a:ext>
                    </a:extLst>
                  </pic:spPr>
                </pic:pic>
              </a:graphicData>
            </a:graphic>
          </wp:inline>
        </w:drawing>
      </w:r>
    </w:p>
    <w:p w14:paraId="6452D043" w14:textId="350ED07C" w:rsidR="00400E98" w:rsidRDefault="00400E98" w:rsidP="00400E98">
      <w:pPr>
        <w:spacing w:line="360" w:lineRule="auto"/>
        <w:rPr>
          <w:sz w:val="24"/>
          <w:szCs w:val="22"/>
        </w:rPr>
      </w:pPr>
      <w:r>
        <w:rPr>
          <w:sz w:val="24"/>
          <w:szCs w:val="22"/>
        </w:rPr>
        <w:t>2.4</w:t>
      </w:r>
      <w:r>
        <w:rPr>
          <w:sz w:val="24"/>
          <w:szCs w:val="22"/>
        </w:rPr>
        <w:t>棉籽浓缩蛋白替代鱼粉对大鳞副泥鳅血清和肠道免疫指标的影响</w:t>
      </w:r>
    </w:p>
    <w:p w14:paraId="580C85B6" w14:textId="77777777" w:rsidR="00400E98" w:rsidRDefault="00400E98" w:rsidP="00400E98">
      <w:pPr>
        <w:spacing w:line="360" w:lineRule="auto"/>
        <w:ind w:firstLineChars="200" w:firstLine="480"/>
        <w:rPr>
          <w:sz w:val="24"/>
          <w:szCs w:val="22"/>
        </w:rPr>
      </w:pPr>
      <w:r>
        <w:rPr>
          <w:sz w:val="24"/>
          <w:szCs w:val="22"/>
        </w:rPr>
        <w:t>由表</w:t>
      </w:r>
      <w:r>
        <w:rPr>
          <w:sz w:val="24"/>
          <w:szCs w:val="22"/>
        </w:rPr>
        <w:t>6</w:t>
      </w:r>
      <w:r>
        <w:rPr>
          <w:sz w:val="24"/>
          <w:szCs w:val="22"/>
        </w:rPr>
        <w:t>可知，各组间大鳞副泥鳅血清</w:t>
      </w:r>
      <w:r>
        <w:rPr>
          <w:sz w:val="24"/>
          <w:szCs w:val="22"/>
        </w:rPr>
        <w:t>ACP</w:t>
      </w:r>
      <w:r>
        <w:rPr>
          <w:sz w:val="24"/>
          <w:szCs w:val="22"/>
        </w:rPr>
        <w:t>活性和</w:t>
      </w:r>
      <w:r>
        <w:rPr>
          <w:sz w:val="24"/>
          <w:szCs w:val="22"/>
        </w:rPr>
        <w:t>IgM</w:t>
      </w:r>
      <w:r>
        <w:rPr>
          <w:sz w:val="24"/>
          <w:szCs w:val="22"/>
        </w:rPr>
        <w:t>含量无显著差异（</w:t>
      </w:r>
      <w:r>
        <w:rPr>
          <w:i/>
          <w:iCs/>
          <w:sz w:val="24"/>
          <w:szCs w:val="22"/>
        </w:rPr>
        <w:t>P</w:t>
      </w:r>
      <w:r>
        <w:rPr>
          <w:sz w:val="24"/>
          <w:szCs w:val="22"/>
        </w:rPr>
        <w:t>&gt;0.05</w:t>
      </w:r>
      <w:r>
        <w:rPr>
          <w:sz w:val="24"/>
          <w:szCs w:val="22"/>
        </w:rPr>
        <w:t>）。随着棉籽浓缩蛋白替代鱼粉比例的提高，血清</w:t>
      </w:r>
      <w:r>
        <w:rPr>
          <w:sz w:val="24"/>
          <w:szCs w:val="22"/>
        </w:rPr>
        <w:t>LYS</w:t>
      </w:r>
      <w:r>
        <w:rPr>
          <w:sz w:val="24"/>
          <w:szCs w:val="22"/>
        </w:rPr>
        <w:t>和</w:t>
      </w:r>
      <w:r>
        <w:rPr>
          <w:sz w:val="24"/>
          <w:szCs w:val="22"/>
        </w:rPr>
        <w:t>AKP</w:t>
      </w:r>
      <w:r>
        <w:rPr>
          <w:sz w:val="24"/>
          <w:szCs w:val="22"/>
        </w:rPr>
        <w:t>活性均呈现逐渐降低趋势；与</w:t>
      </w:r>
      <w:r>
        <w:rPr>
          <w:sz w:val="24"/>
          <w:szCs w:val="22"/>
        </w:rPr>
        <w:t>FM</w:t>
      </w:r>
      <w:r>
        <w:rPr>
          <w:sz w:val="24"/>
          <w:szCs w:val="22"/>
        </w:rPr>
        <w:t>组相比，</w:t>
      </w:r>
      <w:r>
        <w:rPr>
          <w:sz w:val="24"/>
          <w:szCs w:val="22"/>
        </w:rPr>
        <w:t>CPC80</w:t>
      </w:r>
      <w:r>
        <w:rPr>
          <w:sz w:val="24"/>
          <w:szCs w:val="22"/>
        </w:rPr>
        <w:t>组血清</w:t>
      </w:r>
      <w:r>
        <w:rPr>
          <w:sz w:val="24"/>
          <w:szCs w:val="22"/>
        </w:rPr>
        <w:t>LYS</w:t>
      </w:r>
      <w:r>
        <w:rPr>
          <w:sz w:val="24"/>
          <w:szCs w:val="22"/>
        </w:rPr>
        <w:t>活性显著降低（</w:t>
      </w:r>
      <w:r>
        <w:rPr>
          <w:i/>
          <w:iCs/>
          <w:sz w:val="24"/>
          <w:szCs w:val="22"/>
        </w:rPr>
        <w:t>P</w:t>
      </w:r>
      <w:r>
        <w:rPr>
          <w:sz w:val="24"/>
          <w:szCs w:val="22"/>
        </w:rPr>
        <w:t>&lt;0.05</w:t>
      </w:r>
      <w:r>
        <w:rPr>
          <w:sz w:val="24"/>
          <w:szCs w:val="22"/>
        </w:rPr>
        <w:t>），各棉籽浓缩蛋白替代组血清</w:t>
      </w:r>
      <w:r>
        <w:rPr>
          <w:sz w:val="24"/>
          <w:szCs w:val="22"/>
        </w:rPr>
        <w:t>AKP</w:t>
      </w:r>
      <w:r>
        <w:rPr>
          <w:sz w:val="24"/>
          <w:szCs w:val="22"/>
        </w:rPr>
        <w:t>活</w:t>
      </w:r>
      <w:r>
        <w:rPr>
          <w:sz w:val="24"/>
          <w:szCs w:val="22"/>
        </w:rPr>
        <w:lastRenderedPageBreak/>
        <w:t>性均显著降低（</w:t>
      </w:r>
      <w:r>
        <w:rPr>
          <w:i/>
          <w:iCs/>
          <w:sz w:val="24"/>
          <w:szCs w:val="22"/>
        </w:rPr>
        <w:t>P</w:t>
      </w:r>
      <w:r>
        <w:rPr>
          <w:sz w:val="24"/>
          <w:szCs w:val="22"/>
        </w:rPr>
        <w:t>&lt;0.05</w:t>
      </w:r>
      <w:r>
        <w:rPr>
          <w:sz w:val="24"/>
          <w:szCs w:val="22"/>
        </w:rPr>
        <w:t>）。由表</w:t>
      </w:r>
      <w:r>
        <w:rPr>
          <w:sz w:val="24"/>
          <w:szCs w:val="22"/>
        </w:rPr>
        <w:t>7</w:t>
      </w:r>
      <w:r>
        <w:rPr>
          <w:sz w:val="24"/>
          <w:szCs w:val="22"/>
        </w:rPr>
        <w:t>可知，各组间大鳞副泥鳅肠道</w:t>
      </w:r>
      <w:r>
        <w:rPr>
          <w:sz w:val="24"/>
          <w:szCs w:val="22"/>
        </w:rPr>
        <w:t>LYS</w:t>
      </w:r>
      <w:r>
        <w:rPr>
          <w:sz w:val="24"/>
          <w:szCs w:val="22"/>
        </w:rPr>
        <w:t>活性无显著差异（</w:t>
      </w:r>
      <w:r>
        <w:rPr>
          <w:i/>
          <w:iCs/>
          <w:sz w:val="24"/>
          <w:szCs w:val="22"/>
        </w:rPr>
        <w:t>P</w:t>
      </w:r>
      <w:r>
        <w:rPr>
          <w:sz w:val="24"/>
          <w:szCs w:val="22"/>
        </w:rPr>
        <w:t>&gt;0.05</w:t>
      </w:r>
      <w:r>
        <w:rPr>
          <w:sz w:val="24"/>
          <w:szCs w:val="22"/>
        </w:rPr>
        <w:t>）。随着棉籽浓缩蛋白替代鱼粉比例的提高，肠道</w:t>
      </w:r>
      <w:r>
        <w:rPr>
          <w:sz w:val="24"/>
          <w:szCs w:val="22"/>
        </w:rPr>
        <w:t>1gM</w:t>
      </w:r>
      <w:r>
        <w:rPr>
          <w:sz w:val="24"/>
          <w:szCs w:val="22"/>
        </w:rPr>
        <w:t>含量呈现逐渐降低的变化趋势，但各组间无显著差异（</w:t>
      </w:r>
      <w:r>
        <w:rPr>
          <w:i/>
          <w:iCs/>
          <w:sz w:val="24"/>
          <w:szCs w:val="22"/>
        </w:rPr>
        <w:t>P</w:t>
      </w:r>
      <w:r>
        <w:rPr>
          <w:sz w:val="24"/>
          <w:szCs w:val="22"/>
        </w:rPr>
        <w:t>&gt;0.05</w:t>
      </w:r>
      <w:r>
        <w:rPr>
          <w:sz w:val="24"/>
          <w:szCs w:val="22"/>
        </w:rPr>
        <w:t>）。与</w:t>
      </w:r>
      <w:r>
        <w:rPr>
          <w:sz w:val="24"/>
          <w:szCs w:val="22"/>
        </w:rPr>
        <w:t>FM</w:t>
      </w:r>
      <w:r>
        <w:rPr>
          <w:sz w:val="24"/>
          <w:szCs w:val="22"/>
        </w:rPr>
        <w:t>组相比，</w:t>
      </w:r>
      <w:r>
        <w:rPr>
          <w:sz w:val="24"/>
          <w:szCs w:val="22"/>
        </w:rPr>
        <w:t>CPC44</w:t>
      </w:r>
      <w:r>
        <w:rPr>
          <w:sz w:val="24"/>
          <w:szCs w:val="22"/>
        </w:rPr>
        <w:t>组和</w:t>
      </w:r>
      <w:r>
        <w:rPr>
          <w:sz w:val="24"/>
          <w:szCs w:val="22"/>
        </w:rPr>
        <w:t>CPC56</w:t>
      </w:r>
      <w:r>
        <w:rPr>
          <w:sz w:val="24"/>
          <w:szCs w:val="22"/>
        </w:rPr>
        <w:t>组肠道</w:t>
      </w:r>
      <w:r>
        <w:rPr>
          <w:sz w:val="24"/>
          <w:szCs w:val="22"/>
        </w:rPr>
        <w:t>ACP</w:t>
      </w:r>
      <w:r>
        <w:rPr>
          <w:sz w:val="24"/>
          <w:szCs w:val="22"/>
        </w:rPr>
        <w:t>活性显著提高（</w:t>
      </w:r>
      <w:r>
        <w:rPr>
          <w:i/>
          <w:iCs/>
          <w:sz w:val="24"/>
          <w:szCs w:val="22"/>
        </w:rPr>
        <w:t>P</w:t>
      </w:r>
      <w:r>
        <w:rPr>
          <w:sz w:val="24"/>
          <w:szCs w:val="22"/>
        </w:rPr>
        <w:t>&lt;0.05</w:t>
      </w:r>
      <w:r>
        <w:rPr>
          <w:sz w:val="24"/>
          <w:szCs w:val="22"/>
        </w:rPr>
        <w:t>），</w:t>
      </w:r>
      <w:r>
        <w:rPr>
          <w:sz w:val="24"/>
          <w:szCs w:val="22"/>
        </w:rPr>
        <w:t>CPC68</w:t>
      </w:r>
      <w:r>
        <w:rPr>
          <w:sz w:val="24"/>
          <w:szCs w:val="22"/>
        </w:rPr>
        <w:t>组和</w:t>
      </w:r>
      <w:r>
        <w:rPr>
          <w:sz w:val="24"/>
          <w:szCs w:val="22"/>
        </w:rPr>
        <w:t>CPC80</w:t>
      </w:r>
      <w:r>
        <w:rPr>
          <w:sz w:val="24"/>
          <w:szCs w:val="22"/>
        </w:rPr>
        <w:t>组肠道</w:t>
      </w:r>
      <w:r>
        <w:rPr>
          <w:sz w:val="24"/>
          <w:szCs w:val="22"/>
        </w:rPr>
        <w:t>AKP</w:t>
      </w:r>
      <w:r>
        <w:rPr>
          <w:sz w:val="24"/>
          <w:szCs w:val="22"/>
        </w:rPr>
        <w:t>活性显著降低（</w:t>
      </w:r>
      <w:r>
        <w:rPr>
          <w:i/>
          <w:iCs/>
          <w:sz w:val="24"/>
          <w:szCs w:val="22"/>
        </w:rPr>
        <w:t>P</w:t>
      </w:r>
      <w:r>
        <w:rPr>
          <w:sz w:val="24"/>
          <w:szCs w:val="22"/>
        </w:rPr>
        <w:t>&lt;0.05</w:t>
      </w:r>
      <w:r>
        <w:rPr>
          <w:sz w:val="24"/>
          <w:szCs w:val="22"/>
        </w:rPr>
        <w:t>）。</w:t>
      </w:r>
    </w:p>
    <w:p w14:paraId="73727C1E"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0C5491DE" wp14:editId="236CAF51">
            <wp:extent cx="6137275" cy="4841875"/>
            <wp:effectExtent l="0" t="0" r="15875" b="1587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4"/>
                    <a:stretch>
                      <a:fillRect/>
                    </a:stretch>
                  </pic:blipFill>
                  <pic:spPr>
                    <a:xfrm>
                      <a:off x="0" y="0"/>
                      <a:ext cx="6137275" cy="4841875"/>
                    </a:xfrm>
                    <a:prstGeom prst="rect">
                      <a:avLst/>
                    </a:prstGeom>
                    <a:noFill/>
                    <a:ln w="9525">
                      <a:noFill/>
                    </a:ln>
                  </pic:spPr>
                </pic:pic>
              </a:graphicData>
            </a:graphic>
          </wp:inline>
        </w:drawing>
      </w:r>
    </w:p>
    <w:p w14:paraId="0A108569" w14:textId="26617B53" w:rsidR="00400E98" w:rsidRDefault="00400E98" w:rsidP="00400E98">
      <w:pPr>
        <w:spacing w:line="360" w:lineRule="auto"/>
        <w:rPr>
          <w:sz w:val="24"/>
          <w:szCs w:val="22"/>
        </w:rPr>
      </w:pPr>
      <w:r>
        <w:rPr>
          <w:sz w:val="24"/>
          <w:szCs w:val="22"/>
        </w:rPr>
        <w:t>2.5</w:t>
      </w:r>
      <w:r>
        <w:rPr>
          <w:sz w:val="24"/>
          <w:szCs w:val="22"/>
        </w:rPr>
        <w:t>棉籽浓缩蛋白替代鱼粉对大鳞副泥鳅肝脏抗氧化指标的影响</w:t>
      </w:r>
    </w:p>
    <w:p w14:paraId="36DAC006" w14:textId="77777777" w:rsidR="00400E98" w:rsidRDefault="00400E98" w:rsidP="00400E98">
      <w:pPr>
        <w:spacing w:line="360" w:lineRule="auto"/>
        <w:ind w:firstLineChars="200" w:firstLine="480"/>
        <w:rPr>
          <w:sz w:val="24"/>
          <w:szCs w:val="22"/>
        </w:rPr>
      </w:pPr>
      <w:r>
        <w:rPr>
          <w:sz w:val="24"/>
          <w:szCs w:val="22"/>
        </w:rPr>
        <w:t>由表</w:t>
      </w:r>
      <w:r>
        <w:rPr>
          <w:sz w:val="24"/>
          <w:szCs w:val="22"/>
        </w:rPr>
        <w:t>8</w:t>
      </w:r>
      <w:r>
        <w:rPr>
          <w:sz w:val="24"/>
          <w:szCs w:val="22"/>
        </w:rPr>
        <w:t>可知，各组间大鳞副泥鳅肝脏</w:t>
      </w:r>
      <w:r>
        <w:rPr>
          <w:sz w:val="24"/>
          <w:szCs w:val="22"/>
        </w:rPr>
        <w:t>AST</w:t>
      </w:r>
      <w:r>
        <w:rPr>
          <w:sz w:val="24"/>
          <w:szCs w:val="22"/>
        </w:rPr>
        <w:t>、</w:t>
      </w:r>
      <w:r>
        <w:rPr>
          <w:sz w:val="24"/>
          <w:szCs w:val="22"/>
        </w:rPr>
        <w:t>CAT</w:t>
      </w:r>
      <w:r>
        <w:rPr>
          <w:sz w:val="24"/>
          <w:szCs w:val="22"/>
        </w:rPr>
        <w:t>以及</w:t>
      </w:r>
      <w:r>
        <w:rPr>
          <w:sz w:val="24"/>
          <w:szCs w:val="22"/>
        </w:rPr>
        <w:t>GSH-</w:t>
      </w:r>
      <w:proofErr w:type="spellStart"/>
      <w:r>
        <w:rPr>
          <w:sz w:val="24"/>
          <w:szCs w:val="22"/>
        </w:rPr>
        <w:t>Px</w:t>
      </w:r>
      <w:proofErr w:type="spellEnd"/>
      <w:r>
        <w:rPr>
          <w:sz w:val="24"/>
          <w:szCs w:val="22"/>
        </w:rPr>
        <w:t>活性无显著差异</w:t>
      </w:r>
      <w:r>
        <w:rPr>
          <w:i/>
          <w:iCs/>
          <w:sz w:val="24"/>
          <w:szCs w:val="22"/>
        </w:rPr>
        <w:t>（</w:t>
      </w:r>
      <w:r>
        <w:rPr>
          <w:i/>
          <w:iCs/>
          <w:sz w:val="24"/>
          <w:szCs w:val="22"/>
        </w:rPr>
        <w:t>P</w:t>
      </w:r>
      <w:r>
        <w:rPr>
          <w:sz w:val="24"/>
          <w:szCs w:val="22"/>
        </w:rPr>
        <w:t>&gt;0.05</w:t>
      </w:r>
      <w:r>
        <w:rPr>
          <w:sz w:val="24"/>
          <w:szCs w:val="22"/>
        </w:rPr>
        <w:t>）。与</w:t>
      </w:r>
      <w:r>
        <w:rPr>
          <w:sz w:val="24"/>
          <w:szCs w:val="22"/>
        </w:rPr>
        <w:t>FM</w:t>
      </w:r>
      <w:r>
        <w:rPr>
          <w:sz w:val="24"/>
          <w:szCs w:val="22"/>
        </w:rPr>
        <w:t>组相比，</w:t>
      </w:r>
      <w:r>
        <w:rPr>
          <w:sz w:val="24"/>
          <w:szCs w:val="22"/>
        </w:rPr>
        <w:t>CPC56</w:t>
      </w:r>
      <w:r>
        <w:rPr>
          <w:sz w:val="24"/>
          <w:szCs w:val="22"/>
        </w:rPr>
        <w:t>组、</w:t>
      </w:r>
      <w:r>
        <w:rPr>
          <w:sz w:val="24"/>
          <w:szCs w:val="22"/>
        </w:rPr>
        <w:t>CPC68</w:t>
      </w:r>
      <w:r>
        <w:rPr>
          <w:sz w:val="24"/>
          <w:szCs w:val="22"/>
        </w:rPr>
        <w:t>组和</w:t>
      </w:r>
      <w:r>
        <w:rPr>
          <w:sz w:val="24"/>
          <w:szCs w:val="22"/>
        </w:rPr>
        <w:t>CPC80</w:t>
      </w:r>
      <w:r>
        <w:rPr>
          <w:sz w:val="24"/>
          <w:szCs w:val="22"/>
        </w:rPr>
        <w:t>组大鳞副泥鳅肝脏</w:t>
      </w:r>
      <w:r>
        <w:rPr>
          <w:sz w:val="24"/>
          <w:szCs w:val="22"/>
        </w:rPr>
        <w:t>ALT</w:t>
      </w:r>
      <w:r>
        <w:rPr>
          <w:sz w:val="24"/>
          <w:szCs w:val="22"/>
        </w:rPr>
        <w:t>活性和</w:t>
      </w:r>
      <w:r>
        <w:rPr>
          <w:sz w:val="24"/>
          <w:szCs w:val="22"/>
        </w:rPr>
        <w:t>GSH</w:t>
      </w:r>
      <w:r>
        <w:rPr>
          <w:sz w:val="24"/>
          <w:szCs w:val="22"/>
        </w:rPr>
        <w:t>含量显著降低（</w:t>
      </w:r>
      <w:r>
        <w:rPr>
          <w:i/>
          <w:iCs/>
          <w:sz w:val="24"/>
          <w:szCs w:val="22"/>
        </w:rPr>
        <w:t>P</w:t>
      </w:r>
      <w:r>
        <w:rPr>
          <w:sz w:val="24"/>
          <w:szCs w:val="22"/>
        </w:rPr>
        <w:t>&lt;0.05</w:t>
      </w:r>
      <w:r>
        <w:rPr>
          <w:sz w:val="24"/>
          <w:szCs w:val="22"/>
        </w:rPr>
        <w:t>），</w:t>
      </w:r>
      <w:r>
        <w:rPr>
          <w:sz w:val="24"/>
          <w:szCs w:val="22"/>
        </w:rPr>
        <w:t>CPC68</w:t>
      </w:r>
      <w:r>
        <w:rPr>
          <w:sz w:val="24"/>
          <w:szCs w:val="22"/>
        </w:rPr>
        <w:t>组和</w:t>
      </w:r>
      <w:r>
        <w:rPr>
          <w:sz w:val="24"/>
          <w:szCs w:val="22"/>
        </w:rPr>
        <w:t>CPC80</w:t>
      </w:r>
      <w:r>
        <w:rPr>
          <w:sz w:val="24"/>
          <w:szCs w:val="22"/>
        </w:rPr>
        <w:t>组肝脏</w:t>
      </w:r>
      <w:r>
        <w:rPr>
          <w:sz w:val="24"/>
          <w:szCs w:val="22"/>
        </w:rPr>
        <w:t>T-AOC</w:t>
      </w:r>
      <w:r>
        <w:rPr>
          <w:sz w:val="24"/>
          <w:szCs w:val="22"/>
        </w:rPr>
        <w:t>显著降低（</w:t>
      </w:r>
      <w:r>
        <w:rPr>
          <w:i/>
          <w:iCs/>
          <w:sz w:val="24"/>
          <w:szCs w:val="22"/>
        </w:rPr>
        <w:t>P</w:t>
      </w:r>
      <w:r>
        <w:rPr>
          <w:sz w:val="24"/>
          <w:szCs w:val="22"/>
        </w:rPr>
        <w:t>&lt;0.05</w:t>
      </w:r>
      <w:r>
        <w:rPr>
          <w:sz w:val="24"/>
          <w:szCs w:val="22"/>
        </w:rPr>
        <w:t>）。随着棉籽浓缩蛋白替代鱼粉比例的提高，肝脏</w:t>
      </w:r>
      <w:r>
        <w:rPr>
          <w:sz w:val="24"/>
          <w:szCs w:val="22"/>
        </w:rPr>
        <w:t>SOD</w:t>
      </w:r>
      <w:r>
        <w:rPr>
          <w:sz w:val="24"/>
          <w:szCs w:val="22"/>
        </w:rPr>
        <w:t>活性呈现先升高后降低的变化趋势，其中</w:t>
      </w:r>
      <w:r>
        <w:rPr>
          <w:sz w:val="24"/>
          <w:szCs w:val="22"/>
        </w:rPr>
        <w:t>CPC44</w:t>
      </w:r>
      <w:r>
        <w:rPr>
          <w:sz w:val="24"/>
          <w:szCs w:val="22"/>
        </w:rPr>
        <w:t>肝脏</w:t>
      </w:r>
      <w:r>
        <w:rPr>
          <w:sz w:val="24"/>
          <w:szCs w:val="22"/>
        </w:rPr>
        <w:t>SOD</w:t>
      </w:r>
      <w:r>
        <w:rPr>
          <w:sz w:val="24"/>
          <w:szCs w:val="22"/>
        </w:rPr>
        <w:t>活性显著高于其他各组（</w:t>
      </w:r>
      <w:r>
        <w:rPr>
          <w:i/>
          <w:iCs/>
          <w:sz w:val="24"/>
          <w:szCs w:val="22"/>
        </w:rPr>
        <w:t>P</w:t>
      </w:r>
      <w:r>
        <w:rPr>
          <w:sz w:val="24"/>
          <w:szCs w:val="22"/>
        </w:rPr>
        <w:t>&lt;0.05</w:t>
      </w:r>
      <w:r>
        <w:rPr>
          <w:sz w:val="24"/>
          <w:szCs w:val="22"/>
        </w:rPr>
        <w:t>）；肝脏</w:t>
      </w:r>
      <w:r>
        <w:rPr>
          <w:sz w:val="24"/>
          <w:szCs w:val="22"/>
        </w:rPr>
        <w:t>MDA</w:t>
      </w:r>
      <w:r>
        <w:rPr>
          <w:sz w:val="24"/>
          <w:szCs w:val="22"/>
        </w:rPr>
        <w:t>含量呈现先降低后升高的变化趋势，且在</w:t>
      </w:r>
      <w:r>
        <w:rPr>
          <w:sz w:val="24"/>
          <w:szCs w:val="22"/>
        </w:rPr>
        <w:t>CPC32</w:t>
      </w:r>
      <w:r>
        <w:rPr>
          <w:sz w:val="24"/>
          <w:szCs w:val="22"/>
        </w:rPr>
        <w:t>组中最低，显著低于</w:t>
      </w:r>
      <w:r>
        <w:rPr>
          <w:sz w:val="24"/>
          <w:szCs w:val="22"/>
        </w:rPr>
        <w:t>FM</w:t>
      </w:r>
      <w:r>
        <w:rPr>
          <w:sz w:val="24"/>
          <w:szCs w:val="22"/>
        </w:rPr>
        <w:t>组、</w:t>
      </w:r>
      <w:r>
        <w:rPr>
          <w:sz w:val="24"/>
          <w:szCs w:val="22"/>
        </w:rPr>
        <w:t>CPC68</w:t>
      </w:r>
      <w:r>
        <w:rPr>
          <w:sz w:val="24"/>
          <w:szCs w:val="22"/>
        </w:rPr>
        <w:t>组和</w:t>
      </w:r>
      <w:r>
        <w:rPr>
          <w:sz w:val="24"/>
          <w:szCs w:val="22"/>
        </w:rPr>
        <w:t>CPC80</w:t>
      </w:r>
      <w:r>
        <w:rPr>
          <w:sz w:val="24"/>
          <w:szCs w:val="22"/>
        </w:rPr>
        <w:t>组（</w:t>
      </w:r>
      <w:r>
        <w:rPr>
          <w:i/>
          <w:iCs/>
          <w:sz w:val="24"/>
          <w:szCs w:val="22"/>
        </w:rPr>
        <w:t>P</w:t>
      </w:r>
      <w:r>
        <w:rPr>
          <w:sz w:val="24"/>
          <w:szCs w:val="22"/>
        </w:rPr>
        <w:t>&lt;0.05</w:t>
      </w:r>
      <w:r>
        <w:rPr>
          <w:sz w:val="24"/>
          <w:szCs w:val="22"/>
        </w:rPr>
        <w:t>）。</w:t>
      </w:r>
    </w:p>
    <w:p w14:paraId="01056679" w14:textId="77777777" w:rsidR="00400E98" w:rsidRDefault="00400E98" w:rsidP="00400E98">
      <w:pPr>
        <w:spacing w:line="360" w:lineRule="auto"/>
        <w:rPr>
          <w:rFonts w:ascii="宋体" w:hAnsi="宋体" w:cs="宋体" w:hint="eastAsia"/>
          <w:sz w:val="24"/>
        </w:rPr>
      </w:pPr>
      <w:r>
        <w:rPr>
          <w:rFonts w:ascii="宋体" w:hAnsi="宋体" w:cs="宋体"/>
          <w:noProof/>
          <w:sz w:val="24"/>
        </w:rPr>
        <w:lastRenderedPageBreak/>
        <w:drawing>
          <wp:inline distT="0" distB="0" distL="114300" distR="114300" wp14:anchorId="1B8E7CB6" wp14:editId="2DE26AF2">
            <wp:extent cx="6023032" cy="1662113"/>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rotWithShape="1">
                    <a:blip r:embed="rId25"/>
                    <a:srcRect b="9209"/>
                    <a:stretch>
                      <a:fillRect/>
                    </a:stretch>
                  </pic:blipFill>
                  <pic:spPr bwMode="auto">
                    <a:xfrm>
                      <a:off x="0" y="0"/>
                      <a:ext cx="6044144" cy="1667939"/>
                    </a:xfrm>
                    <a:prstGeom prst="rect">
                      <a:avLst/>
                    </a:prstGeom>
                    <a:noFill/>
                    <a:ln>
                      <a:noFill/>
                    </a:ln>
                    <a:extLst>
                      <a:ext uri="{53640926-AAD7-44D8-BBD7-CCE9431645EC}">
                        <a14:shadowObscured xmlns:a14="http://schemas.microsoft.com/office/drawing/2010/main"/>
                      </a:ext>
                    </a:extLst>
                  </pic:spPr>
                </pic:pic>
              </a:graphicData>
            </a:graphic>
          </wp:inline>
        </w:drawing>
      </w:r>
    </w:p>
    <w:p w14:paraId="4738DD97" w14:textId="77777777" w:rsidR="00400E98" w:rsidRDefault="00400E98" w:rsidP="00400E98">
      <w:pPr>
        <w:spacing w:line="360" w:lineRule="auto"/>
        <w:rPr>
          <w:rFonts w:ascii="宋体" w:hAnsi="宋体" w:cs="宋体" w:hint="eastAsia"/>
          <w:sz w:val="24"/>
        </w:rPr>
      </w:pPr>
      <w:r>
        <w:rPr>
          <w:rFonts w:ascii="宋体" w:hAnsi="宋体" w:cs="宋体"/>
          <w:noProof/>
          <w:sz w:val="24"/>
        </w:rPr>
        <w:drawing>
          <wp:inline distT="0" distB="0" distL="114300" distR="114300" wp14:anchorId="423810CD" wp14:editId="2950A3D0">
            <wp:extent cx="6011874" cy="2032410"/>
            <wp:effectExtent l="0" t="0" r="8255" b="635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rotWithShape="1">
                    <a:blip r:embed="rId26"/>
                    <a:srcRect t="25726"/>
                    <a:stretch>
                      <a:fillRect/>
                    </a:stretch>
                  </pic:blipFill>
                  <pic:spPr bwMode="auto">
                    <a:xfrm>
                      <a:off x="0" y="0"/>
                      <a:ext cx="6057321" cy="2047774"/>
                    </a:xfrm>
                    <a:prstGeom prst="rect">
                      <a:avLst/>
                    </a:prstGeom>
                    <a:noFill/>
                    <a:ln>
                      <a:noFill/>
                    </a:ln>
                    <a:extLst>
                      <a:ext uri="{53640926-AAD7-44D8-BBD7-CCE9431645EC}">
                        <a14:shadowObscured xmlns:a14="http://schemas.microsoft.com/office/drawing/2010/main"/>
                      </a:ext>
                    </a:extLst>
                  </pic:spPr>
                </pic:pic>
              </a:graphicData>
            </a:graphic>
          </wp:inline>
        </w:drawing>
      </w:r>
    </w:p>
    <w:p w14:paraId="6B99B515" w14:textId="15A929BF" w:rsidR="00400E98" w:rsidRDefault="00400E98" w:rsidP="00400E98">
      <w:pPr>
        <w:spacing w:line="360" w:lineRule="auto"/>
        <w:rPr>
          <w:rFonts w:ascii="宋体" w:hAnsi="宋体" w:cs="宋体" w:hint="eastAsia"/>
          <w:sz w:val="24"/>
        </w:rPr>
      </w:pPr>
      <w:r>
        <w:rPr>
          <w:rFonts w:ascii="宋体" w:hAnsi="宋体" w:cs="宋体" w:hint="eastAsia"/>
          <w:sz w:val="24"/>
        </w:rPr>
        <w:t>2.6</w:t>
      </w:r>
      <w:r>
        <w:rPr>
          <w:rFonts w:ascii="宋体" w:hAnsi="宋体" w:cs="宋体"/>
          <w:sz w:val="24"/>
        </w:rPr>
        <w:t>棉籽浓缩蛋白替代鱼粉对大鳞副泥鳅肠道消化酶活性和形态结构的影响</w:t>
      </w:r>
    </w:p>
    <w:p w14:paraId="02C4DA06" w14:textId="77777777" w:rsidR="00400E98" w:rsidRDefault="00400E98" w:rsidP="00400E98">
      <w:pPr>
        <w:spacing w:line="360" w:lineRule="auto"/>
        <w:ind w:firstLineChars="200" w:firstLine="480"/>
        <w:rPr>
          <w:sz w:val="24"/>
          <w:szCs w:val="22"/>
        </w:rPr>
      </w:pPr>
      <w:r>
        <w:rPr>
          <w:sz w:val="24"/>
          <w:szCs w:val="22"/>
        </w:rPr>
        <w:t>由</w:t>
      </w:r>
      <w:r>
        <w:rPr>
          <w:rFonts w:hint="eastAsia"/>
          <w:sz w:val="24"/>
          <w:szCs w:val="22"/>
        </w:rPr>
        <w:t>表</w:t>
      </w:r>
      <w:r>
        <w:rPr>
          <w:rFonts w:hint="eastAsia"/>
          <w:sz w:val="24"/>
          <w:szCs w:val="22"/>
        </w:rPr>
        <w:t>9</w:t>
      </w:r>
      <w:r>
        <w:rPr>
          <w:sz w:val="24"/>
          <w:szCs w:val="22"/>
        </w:rPr>
        <w:t>可知，各组间大鳞副泥鳅肠道</w:t>
      </w:r>
      <w:r w:rsidRPr="008A42BE">
        <w:rPr>
          <w:sz w:val="24"/>
          <w:szCs w:val="22"/>
        </w:rPr>
        <w:t>α</w:t>
      </w:r>
      <w:r>
        <w:rPr>
          <w:sz w:val="24"/>
          <w:szCs w:val="22"/>
        </w:rPr>
        <w:t>淀粉酶活性无显著差异</w:t>
      </w:r>
      <w:r>
        <w:rPr>
          <w:rFonts w:hint="eastAsia"/>
          <w:sz w:val="24"/>
          <w:szCs w:val="22"/>
        </w:rPr>
        <w:t>（</w:t>
      </w:r>
      <w:r>
        <w:rPr>
          <w:rFonts w:hint="eastAsia"/>
          <w:i/>
          <w:iCs/>
          <w:sz w:val="24"/>
          <w:szCs w:val="22"/>
        </w:rPr>
        <w:t>P</w:t>
      </w:r>
      <w:r>
        <w:rPr>
          <w:rFonts w:hint="eastAsia"/>
          <w:sz w:val="24"/>
          <w:szCs w:val="22"/>
        </w:rPr>
        <w:t>＞</w:t>
      </w:r>
      <w:r>
        <w:rPr>
          <w:rFonts w:hint="eastAsia"/>
          <w:sz w:val="24"/>
          <w:szCs w:val="22"/>
        </w:rPr>
        <w:t>0.05</w:t>
      </w:r>
      <w:r>
        <w:rPr>
          <w:rFonts w:hint="eastAsia"/>
          <w:sz w:val="24"/>
          <w:szCs w:val="22"/>
        </w:rPr>
        <w:t>）。</w:t>
      </w:r>
      <w:r>
        <w:rPr>
          <w:sz w:val="24"/>
          <w:szCs w:val="22"/>
        </w:rPr>
        <w:t>随着棉籽浓缩蛋白替代鱼粉比例的提高，肠道胰蛋白酶和脂肪酶活性呈现先升高后降低的变化趋势，其中</w:t>
      </w:r>
      <w:r>
        <w:rPr>
          <w:rFonts w:hint="eastAsia"/>
          <w:sz w:val="24"/>
          <w:szCs w:val="22"/>
        </w:rPr>
        <w:t>CPC44</w:t>
      </w:r>
      <w:r>
        <w:rPr>
          <w:sz w:val="24"/>
          <w:szCs w:val="22"/>
        </w:rPr>
        <w:t>组和</w:t>
      </w:r>
      <w:r>
        <w:rPr>
          <w:rFonts w:hint="eastAsia"/>
          <w:sz w:val="24"/>
          <w:szCs w:val="22"/>
        </w:rPr>
        <w:t>CPC56</w:t>
      </w:r>
      <w:r>
        <w:rPr>
          <w:sz w:val="24"/>
          <w:szCs w:val="22"/>
        </w:rPr>
        <w:t>组肠道胰蛋白酶活性显著高于</w:t>
      </w:r>
      <w:r>
        <w:rPr>
          <w:rFonts w:hint="eastAsia"/>
          <w:sz w:val="24"/>
          <w:szCs w:val="22"/>
        </w:rPr>
        <w:t>FM</w:t>
      </w:r>
      <w:r>
        <w:rPr>
          <w:sz w:val="24"/>
          <w:szCs w:val="22"/>
        </w:rPr>
        <w:t>组</w:t>
      </w:r>
      <w:r>
        <w:rPr>
          <w:rFonts w:hint="eastAsia"/>
          <w:sz w:val="24"/>
          <w:szCs w:val="22"/>
        </w:rPr>
        <w:t>（</w:t>
      </w:r>
      <w:r>
        <w:rPr>
          <w:rFonts w:hint="eastAsia"/>
          <w:i/>
          <w:iCs/>
          <w:sz w:val="24"/>
          <w:szCs w:val="22"/>
        </w:rPr>
        <w:t>P</w:t>
      </w:r>
      <w:r>
        <w:rPr>
          <w:rFonts w:hint="eastAsia"/>
          <w:sz w:val="24"/>
          <w:szCs w:val="22"/>
        </w:rPr>
        <w:t>＜</w:t>
      </w:r>
      <w:r>
        <w:rPr>
          <w:rFonts w:hint="eastAsia"/>
          <w:sz w:val="24"/>
          <w:szCs w:val="22"/>
        </w:rPr>
        <w:t>0.05</w:t>
      </w:r>
      <w:r>
        <w:rPr>
          <w:rFonts w:hint="eastAsia"/>
          <w:sz w:val="24"/>
          <w:szCs w:val="22"/>
        </w:rPr>
        <w:t>）</w:t>
      </w:r>
      <w:r>
        <w:rPr>
          <w:sz w:val="24"/>
          <w:szCs w:val="22"/>
        </w:rPr>
        <w:t>，</w:t>
      </w:r>
      <w:r>
        <w:rPr>
          <w:rFonts w:hint="eastAsia"/>
          <w:sz w:val="24"/>
          <w:szCs w:val="22"/>
        </w:rPr>
        <w:t>CPC44</w:t>
      </w:r>
      <w:r>
        <w:rPr>
          <w:sz w:val="24"/>
          <w:szCs w:val="22"/>
        </w:rPr>
        <w:t>组肠道脂肪酶活性显著高于其他各组</w:t>
      </w:r>
      <w:r>
        <w:rPr>
          <w:rFonts w:hint="eastAsia"/>
          <w:sz w:val="24"/>
          <w:szCs w:val="22"/>
        </w:rPr>
        <w:t>（</w:t>
      </w:r>
      <w:r>
        <w:rPr>
          <w:rFonts w:hint="eastAsia"/>
          <w:i/>
          <w:iCs/>
          <w:sz w:val="24"/>
          <w:szCs w:val="22"/>
        </w:rPr>
        <w:t>P</w:t>
      </w:r>
      <w:r>
        <w:rPr>
          <w:rFonts w:hint="eastAsia"/>
          <w:sz w:val="24"/>
          <w:szCs w:val="22"/>
        </w:rPr>
        <w:t>＜</w:t>
      </w:r>
      <w:r>
        <w:rPr>
          <w:rFonts w:hint="eastAsia"/>
          <w:sz w:val="24"/>
          <w:szCs w:val="22"/>
        </w:rPr>
        <w:t>0.05</w:t>
      </w:r>
      <w:r>
        <w:rPr>
          <w:rFonts w:hint="eastAsia"/>
          <w:sz w:val="24"/>
          <w:szCs w:val="22"/>
        </w:rPr>
        <w:t>）</w:t>
      </w:r>
      <w:r>
        <w:rPr>
          <w:sz w:val="24"/>
          <w:szCs w:val="22"/>
        </w:rPr>
        <w:t>。</w:t>
      </w:r>
    </w:p>
    <w:p w14:paraId="54ECC12A"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4447DEE8" wp14:editId="143F3D88">
            <wp:extent cx="5880100" cy="1960245"/>
            <wp:effectExtent l="0" t="0" r="6350" b="190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7"/>
                    <a:stretch>
                      <a:fillRect/>
                    </a:stretch>
                  </pic:blipFill>
                  <pic:spPr>
                    <a:xfrm>
                      <a:off x="0" y="0"/>
                      <a:ext cx="5880100" cy="1960245"/>
                    </a:xfrm>
                    <a:prstGeom prst="rect">
                      <a:avLst/>
                    </a:prstGeom>
                    <a:noFill/>
                    <a:ln w="9525">
                      <a:noFill/>
                    </a:ln>
                  </pic:spPr>
                </pic:pic>
              </a:graphicData>
            </a:graphic>
          </wp:inline>
        </w:drawing>
      </w:r>
    </w:p>
    <w:p w14:paraId="19BB4FD0" w14:textId="77777777" w:rsidR="00400E98" w:rsidRDefault="00400E98" w:rsidP="00400E98">
      <w:pPr>
        <w:spacing w:line="360" w:lineRule="auto"/>
        <w:ind w:firstLineChars="200" w:firstLine="480"/>
        <w:rPr>
          <w:sz w:val="24"/>
          <w:szCs w:val="22"/>
        </w:rPr>
      </w:pPr>
      <w:r>
        <w:rPr>
          <w:sz w:val="24"/>
          <w:szCs w:val="22"/>
        </w:rPr>
        <w:t>由表</w:t>
      </w:r>
      <w:r>
        <w:rPr>
          <w:sz w:val="24"/>
          <w:szCs w:val="22"/>
        </w:rPr>
        <w:t>10</w:t>
      </w:r>
      <w:r>
        <w:rPr>
          <w:sz w:val="24"/>
          <w:szCs w:val="22"/>
        </w:rPr>
        <w:t>和图</w:t>
      </w:r>
      <w:r>
        <w:rPr>
          <w:sz w:val="24"/>
          <w:szCs w:val="22"/>
        </w:rPr>
        <w:t>2</w:t>
      </w:r>
      <w:r>
        <w:rPr>
          <w:sz w:val="24"/>
          <w:szCs w:val="22"/>
        </w:rPr>
        <w:t>可知，与</w:t>
      </w:r>
      <w:r>
        <w:rPr>
          <w:sz w:val="24"/>
          <w:szCs w:val="22"/>
        </w:rPr>
        <w:t>FM</w:t>
      </w:r>
      <w:r>
        <w:rPr>
          <w:sz w:val="24"/>
          <w:szCs w:val="22"/>
        </w:rPr>
        <w:t>组相比，</w:t>
      </w:r>
      <w:r>
        <w:rPr>
          <w:sz w:val="24"/>
          <w:szCs w:val="22"/>
        </w:rPr>
        <w:t>CPC80</w:t>
      </w:r>
      <w:r>
        <w:rPr>
          <w:sz w:val="24"/>
          <w:szCs w:val="22"/>
        </w:rPr>
        <w:t>组大鳞副泥鳅肠道绒毛高度显著降低（</w:t>
      </w:r>
      <w:r>
        <w:rPr>
          <w:i/>
          <w:iCs/>
          <w:sz w:val="24"/>
          <w:szCs w:val="22"/>
        </w:rPr>
        <w:t>P</w:t>
      </w:r>
      <w:r>
        <w:rPr>
          <w:sz w:val="24"/>
          <w:szCs w:val="22"/>
        </w:rPr>
        <w:t>&lt;0.05</w:t>
      </w:r>
      <w:r>
        <w:rPr>
          <w:sz w:val="24"/>
          <w:szCs w:val="22"/>
        </w:rPr>
        <w:t>）。随着棉籽浓缩蛋白替代鱼粉比例的提高，肠道隐窝深度呈现逐渐升高的变化趋势，肠道肌层厚度呈现先升高后降低的变化趋势，但各组间均无显著差异（</w:t>
      </w:r>
      <w:r>
        <w:rPr>
          <w:i/>
          <w:iCs/>
          <w:sz w:val="24"/>
          <w:szCs w:val="22"/>
        </w:rPr>
        <w:t>P</w:t>
      </w:r>
      <w:r>
        <w:rPr>
          <w:sz w:val="24"/>
          <w:szCs w:val="22"/>
        </w:rPr>
        <w:t>&gt;0.05</w:t>
      </w:r>
      <w:r>
        <w:rPr>
          <w:sz w:val="24"/>
          <w:szCs w:val="22"/>
        </w:rPr>
        <w:t>）。</w:t>
      </w:r>
    </w:p>
    <w:p w14:paraId="41F1AA17" w14:textId="77777777" w:rsidR="00400E98" w:rsidRDefault="00400E98" w:rsidP="008A42BE">
      <w:pPr>
        <w:spacing w:line="360" w:lineRule="auto"/>
        <w:jc w:val="center"/>
        <w:rPr>
          <w:sz w:val="24"/>
          <w:szCs w:val="22"/>
        </w:rPr>
      </w:pPr>
      <w:r>
        <w:rPr>
          <w:rFonts w:ascii="宋体" w:hAnsi="宋体" w:cs="宋体"/>
          <w:noProof/>
          <w:sz w:val="24"/>
        </w:rPr>
        <w:lastRenderedPageBreak/>
        <w:drawing>
          <wp:inline distT="0" distB="0" distL="114300" distR="114300" wp14:anchorId="59283650" wp14:editId="1B076F1E">
            <wp:extent cx="4105275" cy="3533631"/>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8"/>
                    <a:stretch>
                      <a:fillRect/>
                    </a:stretch>
                  </pic:blipFill>
                  <pic:spPr>
                    <a:xfrm>
                      <a:off x="0" y="0"/>
                      <a:ext cx="4125385" cy="3550940"/>
                    </a:xfrm>
                    <a:prstGeom prst="rect">
                      <a:avLst/>
                    </a:prstGeom>
                    <a:noFill/>
                    <a:ln w="9525">
                      <a:noFill/>
                    </a:ln>
                  </pic:spPr>
                </pic:pic>
              </a:graphicData>
            </a:graphic>
          </wp:inline>
        </w:drawing>
      </w:r>
    </w:p>
    <w:p w14:paraId="6F1711CA" w14:textId="4F8EC6B3" w:rsidR="00400E98" w:rsidRDefault="00400E98" w:rsidP="00400E98">
      <w:pPr>
        <w:spacing w:line="360" w:lineRule="auto"/>
        <w:rPr>
          <w:sz w:val="24"/>
          <w:szCs w:val="22"/>
        </w:rPr>
      </w:pPr>
      <w:r>
        <w:rPr>
          <w:sz w:val="24"/>
          <w:szCs w:val="22"/>
        </w:rPr>
        <w:t>2.7</w:t>
      </w:r>
      <w:r>
        <w:rPr>
          <w:sz w:val="24"/>
          <w:szCs w:val="22"/>
        </w:rPr>
        <w:t>棉籽浓缩蛋白替代鱼粉对大鳞副泥鳅肠道菌群的影响</w:t>
      </w:r>
    </w:p>
    <w:p w14:paraId="63125FA0" w14:textId="754769BD" w:rsidR="00400E98" w:rsidRDefault="00400E98" w:rsidP="00400E98">
      <w:pPr>
        <w:spacing w:line="360" w:lineRule="auto"/>
        <w:rPr>
          <w:sz w:val="24"/>
          <w:szCs w:val="22"/>
        </w:rPr>
      </w:pPr>
      <w:r>
        <w:rPr>
          <w:sz w:val="24"/>
          <w:szCs w:val="22"/>
        </w:rPr>
        <w:t>2.7.1</w:t>
      </w:r>
      <w:r w:rsidR="008A42BE">
        <w:rPr>
          <w:rFonts w:hint="eastAsia"/>
          <w:sz w:val="24"/>
          <w:szCs w:val="22"/>
        </w:rPr>
        <w:t xml:space="preserve"> </w:t>
      </w:r>
      <w:r>
        <w:rPr>
          <w:sz w:val="24"/>
          <w:szCs w:val="22"/>
        </w:rPr>
        <w:t>α</w:t>
      </w:r>
      <w:r>
        <w:rPr>
          <w:sz w:val="24"/>
          <w:szCs w:val="22"/>
        </w:rPr>
        <w:t>多样性分析</w:t>
      </w:r>
    </w:p>
    <w:p w14:paraId="52EB7708" w14:textId="77777777" w:rsidR="00400E98" w:rsidRDefault="00400E98" w:rsidP="00400E98">
      <w:pPr>
        <w:spacing w:line="360" w:lineRule="auto"/>
        <w:ind w:firstLineChars="200" w:firstLine="480"/>
        <w:rPr>
          <w:sz w:val="24"/>
          <w:szCs w:val="22"/>
        </w:rPr>
      </w:pPr>
      <w:r>
        <w:rPr>
          <w:sz w:val="24"/>
          <w:szCs w:val="22"/>
        </w:rPr>
        <w:t>如图</w:t>
      </w:r>
      <w:r>
        <w:rPr>
          <w:sz w:val="24"/>
          <w:szCs w:val="22"/>
        </w:rPr>
        <w:t>3</w:t>
      </w:r>
      <w:r>
        <w:rPr>
          <w:sz w:val="24"/>
          <w:szCs w:val="22"/>
        </w:rPr>
        <w:t>所示，各组间大鳞副泥鳅肠道菌群</w:t>
      </w:r>
      <w:r>
        <w:rPr>
          <w:sz w:val="24"/>
          <w:szCs w:val="22"/>
        </w:rPr>
        <w:t>Simpson</w:t>
      </w:r>
      <w:r>
        <w:rPr>
          <w:sz w:val="24"/>
          <w:szCs w:val="22"/>
        </w:rPr>
        <w:t>指数、</w:t>
      </w:r>
      <w:r>
        <w:rPr>
          <w:sz w:val="24"/>
          <w:szCs w:val="22"/>
        </w:rPr>
        <w:t>Shannon</w:t>
      </w:r>
      <w:r>
        <w:rPr>
          <w:sz w:val="24"/>
          <w:szCs w:val="22"/>
        </w:rPr>
        <w:t>指数和</w:t>
      </w:r>
      <w:proofErr w:type="spellStart"/>
      <w:r>
        <w:rPr>
          <w:sz w:val="24"/>
          <w:szCs w:val="22"/>
        </w:rPr>
        <w:t>Pielou_e</w:t>
      </w:r>
      <w:proofErr w:type="spellEnd"/>
      <w:r>
        <w:rPr>
          <w:sz w:val="24"/>
          <w:szCs w:val="22"/>
        </w:rPr>
        <w:t>指数无显著差异（</w:t>
      </w:r>
      <w:r>
        <w:rPr>
          <w:i/>
          <w:iCs/>
          <w:sz w:val="24"/>
          <w:szCs w:val="22"/>
        </w:rPr>
        <w:t>P</w:t>
      </w:r>
      <w:r>
        <w:rPr>
          <w:sz w:val="24"/>
          <w:szCs w:val="22"/>
        </w:rPr>
        <w:t>&gt;0.05</w:t>
      </w:r>
      <w:r>
        <w:rPr>
          <w:sz w:val="24"/>
          <w:szCs w:val="22"/>
        </w:rPr>
        <w:t>），表明棉籽浓缩蛋白替代鱼粉对菌群多样性无显著影响；</w:t>
      </w:r>
      <w:r>
        <w:rPr>
          <w:sz w:val="24"/>
          <w:szCs w:val="22"/>
        </w:rPr>
        <w:t>CPC32</w:t>
      </w:r>
      <w:r>
        <w:rPr>
          <w:sz w:val="24"/>
          <w:szCs w:val="22"/>
        </w:rPr>
        <w:t>组和</w:t>
      </w:r>
      <w:r>
        <w:rPr>
          <w:sz w:val="24"/>
          <w:szCs w:val="22"/>
        </w:rPr>
        <w:t>CPC80</w:t>
      </w:r>
      <w:r>
        <w:rPr>
          <w:sz w:val="24"/>
          <w:szCs w:val="22"/>
        </w:rPr>
        <w:t>组</w:t>
      </w:r>
      <w:r>
        <w:rPr>
          <w:sz w:val="24"/>
          <w:szCs w:val="22"/>
        </w:rPr>
        <w:t>Chao1</w:t>
      </w:r>
      <w:r>
        <w:rPr>
          <w:sz w:val="24"/>
          <w:szCs w:val="22"/>
        </w:rPr>
        <w:t>指数和</w:t>
      </w:r>
      <w:proofErr w:type="spellStart"/>
      <w:r>
        <w:rPr>
          <w:sz w:val="24"/>
          <w:szCs w:val="22"/>
        </w:rPr>
        <w:t>Observed_species</w:t>
      </w:r>
      <w:proofErr w:type="spellEnd"/>
      <w:r>
        <w:rPr>
          <w:sz w:val="24"/>
          <w:szCs w:val="22"/>
        </w:rPr>
        <w:t>指数与</w:t>
      </w:r>
      <w:r>
        <w:rPr>
          <w:sz w:val="24"/>
          <w:szCs w:val="22"/>
        </w:rPr>
        <w:t>FM</w:t>
      </w:r>
      <w:r>
        <w:rPr>
          <w:sz w:val="24"/>
          <w:szCs w:val="22"/>
        </w:rPr>
        <w:t>组相比无显著差异（</w:t>
      </w:r>
      <w:r>
        <w:rPr>
          <w:i/>
          <w:iCs/>
          <w:sz w:val="24"/>
          <w:szCs w:val="22"/>
        </w:rPr>
        <w:t>P</w:t>
      </w:r>
      <w:r>
        <w:rPr>
          <w:sz w:val="24"/>
          <w:szCs w:val="22"/>
        </w:rPr>
        <w:t>&gt;0.05</w:t>
      </w:r>
      <w:r>
        <w:rPr>
          <w:sz w:val="24"/>
          <w:szCs w:val="22"/>
        </w:rPr>
        <w:t>），但</w:t>
      </w:r>
      <w:r>
        <w:rPr>
          <w:sz w:val="24"/>
          <w:szCs w:val="22"/>
        </w:rPr>
        <w:t>CPC80</w:t>
      </w:r>
      <w:r>
        <w:rPr>
          <w:sz w:val="24"/>
          <w:szCs w:val="22"/>
        </w:rPr>
        <w:t>组</w:t>
      </w:r>
      <w:r>
        <w:rPr>
          <w:sz w:val="24"/>
          <w:szCs w:val="22"/>
        </w:rPr>
        <w:t>Chao1</w:t>
      </w:r>
      <w:r>
        <w:rPr>
          <w:sz w:val="24"/>
          <w:szCs w:val="22"/>
        </w:rPr>
        <w:t>指数和</w:t>
      </w:r>
      <w:proofErr w:type="spellStart"/>
      <w:r>
        <w:rPr>
          <w:sz w:val="24"/>
          <w:szCs w:val="22"/>
        </w:rPr>
        <w:t>Observed__species</w:t>
      </w:r>
      <w:proofErr w:type="spellEnd"/>
      <w:r>
        <w:rPr>
          <w:sz w:val="24"/>
          <w:szCs w:val="22"/>
        </w:rPr>
        <w:t>指数显著高于</w:t>
      </w:r>
      <w:r>
        <w:rPr>
          <w:sz w:val="24"/>
          <w:szCs w:val="22"/>
        </w:rPr>
        <w:t>CPC32</w:t>
      </w:r>
      <w:r>
        <w:rPr>
          <w:sz w:val="24"/>
          <w:szCs w:val="22"/>
        </w:rPr>
        <w:t>组（</w:t>
      </w:r>
      <w:r>
        <w:rPr>
          <w:i/>
          <w:iCs/>
          <w:sz w:val="24"/>
          <w:szCs w:val="22"/>
        </w:rPr>
        <w:t>P</w:t>
      </w:r>
      <w:r>
        <w:rPr>
          <w:sz w:val="24"/>
          <w:szCs w:val="22"/>
        </w:rPr>
        <w:t>&lt;0.05</w:t>
      </w:r>
      <w:r>
        <w:rPr>
          <w:sz w:val="24"/>
          <w:szCs w:val="22"/>
        </w:rPr>
        <w:t>），表明</w:t>
      </w:r>
      <w:r>
        <w:rPr>
          <w:sz w:val="24"/>
          <w:szCs w:val="22"/>
        </w:rPr>
        <w:t>CPC32</w:t>
      </w:r>
      <w:r>
        <w:rPr>
          <w:sz w:val="24"/>
          <w:szCs w:val="22"/>
        </w:rPr>
        <w:t>组和</w:t>
      </w:r>
      <w:r>
        <w:rPr>
          <w:sz w:val="24"/>
          <w:szCs w:val="22"/>
        </w:rPr>
        <w:t>CPC80</w:t>
      </w:r>
      <w:r>
        <w:rPr>
          <w:sz w:val="24"/>
          <w:szCs w:val="22"/>
        </w:rPr>
        <w:t>组菌群丰富度与</w:t>
      </w:r>
      <w:r>
        <w:rPr>
          <w:sz w:val="24"/>
          <w:szCs w:val="22"/>
        </w:rPr>
        <w:t>FM</w:t>
      </w:r>
      <w:r>
        <w:rPr>
          <w:sz w:val="24"/>
          <w:szCs w:val="22"/>
        </w:rPr>
        <w:t>组相比无显著差异，</w:t>
      </w:r>
      <w:r>
        <w:rPr>
          <w:sz w:val="24"/>
          <w:szCs w:val="22"/>
        </w:rPr>
        <w:t>CPC32</w:t>
      </w:r>
      <w:r>
        <w:rPr>
          <w:sz w:val="24"/>
          <w:szCs w:val="22"/>
        </w:rPr>
        <w:t>组菌群丰富度低于</w:t>
      </w:r>
      <w:r>
        <w:rPr>
          <w:sz w:val="24"/>
          <w:szCs w:val="22"/>
        </w:rPr>
        <w:t>CPC80</w:t>
      </w:r>
      <w:r>
        <w:rPr>
          <w:sz w:val="24"/>
          <w:szCs w:val="22"/>
        </w:rPr>
        <w:t>组。</w:t>
      </w:r>
    </w:p>
    <w:p w14:paraId="2E425C0D"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1FF3365D" wp14:editId="1160E9B5">
            <wp:extent cx="3934824" cy="3076575"/>
            <wp:effectExtent l="0" t="0" r="889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9"/>
                    <a:stretch>
                      <a:fillRect/>
                    </a:stretch>
                  </pic:blipFill>
                  <pic:spPr>
                    <a:xfrm>
                      <a:off x="0" y="0"/>
                      <a:ext cx="3947451" cy="3086448"/>
                    </a:xfrm>
                    <a:prstGeom prst="rect">
                      <a:avLst/>
                    </a:prstGeom>
                    <a:noFill/>
                    <a:ln w="9525">
                      <a:noFill/>
                    </a:ln>
                  </pic:spPr>
                </pic:pic>
              </a:graphicData>
            </a:graphic>
          </wp:inline>
        </w:drawing>
      </w:r>
    </w:p>
    <w:p w14:paraId="42D23903" w14:textId="77777777" w:rsidR="00400E98" w:rsidRDefault="00400E98" w:rsidP="00400E98">
      <w:pPr>
        <w:spacing w:line="360" w:lineRule="auto"/>
        <w:rPr>
          <w:sz w:val="24"/>
          <w:szCs w:val="22"/>
        </w:rPr>
      </w:pPr>
      <w:r>
        <w:rPr>
          <w:sz w:val="24"/>
          <w:szCs w:val="22"/>
        </w:rPr>
        <w:lastRenderedPageBreak/>
        <w:t>2.7.2</w:t>
      </w:r>
      <w:r>
        <w:rPr>
          <w:rFonts w:hint="eastAsia"/>
          <w:sz w:val="24"/>
          <w:szCs w:val="22"/>
        </w:rPr>
        <w:t xml:space="preserve"> </w:t>
      </w:r>
      <w:r>
        <w:rPr>
          <w:sz w:val="24"/>
          <w:szCs w:val="22"/>
        </w:rPr>
        <w:t>β</w:t>
      </w:r>
      <w:r>
        <w:rPr>
          <w:sz w:val="24"/>
          <w:szCs w:val="22"/>
        </w:rPr>
        <w:t>多样性分析</w:t>
      </w:r>
    </w:p>
    <w:p w14:paraId="15E1FD36" w14:textId="77777777" w:rsidR="00400E98" w:rsidRDefault="00400E98" w:rsidP="00400E98">
      <w:pPr>
        <w:spacing w:line="360" w:lineRule="auto"/>
        <w:ind w:firstLineChars="200" w:firstLine="480"/>
        <w:rPr>
          <w:sz w:val="24"/>
          <w:szCs w:val="22"/>
        </w:rPr>
      </w:pPr>
      <w:r>
        <w:rPr>
          <w:sz w:val="24"/>
          <w:szCs w:val="22"/>
        </w:rPr>
        <w:t>本试验基于</w:t>
      </w:r>
      <w:r>
        <w:rPr>
          <w:sz w:val="24"/>
          <w:szCs w:val="22"/>
        </w:rPr>
        <w:t>Bray-Curits</w:t>
      </w:r>
      <w:r>
        <w:rPr>
          <w:sz w:val="24"/>
          <w:szCs w:val="22"/>
        </w:rPr>
        <w:t>算法运用置换多元方差分析（</w:t>
      </w:r>
      <w:r>
        <w:rPr>
          <w:sz w:val="24"/>
          <w:szCs w:val="22"/>
        </w:rPr>
        <w:t>PERMANOVA</w:t>
      </w:r>
      <w:r>
        <w:rPr>
          <w:sz w:val="24"/>
          <w:szCs w:val="22"/>
        </w:rPr>
        <w:t>）方法检验组间肠道菌群差异，结果见表</w:t>
      </w:r>
      <w:r>
        <w:rPr>
          <w:sz w:val="24"/>
          <w:szCs w:val="22"/>
        </w:rPr>
        <w:t>11</w:t>
      </w:r>
      <w:r>
        <w:rPr>
          <w:sz w:val="24"/>
          <w:szCs w:val="22"/>
        </w:rPr>
        <w:t>，</w:t>
      </w:r>
      <w:r>
        <w:rPr>
          <w:sz w:val="24"/>
          <w:szCs w:val="22"/>
        </w:rPr>
        <w:t>FM</w:t>
      </w:r>
      <w:r>
        <w:rPr>
          <w:sz w:val="24"/>
          <w:szCs w:val="22"/>
        </w:rPr>
        <w:t>组肠道菌群与</w:t>
      </w:r>
      <w:r>
        <w:rPr>
          <w:sz w:val="24"/>
          <w:szCs w:val="22"/>
        </w:rPr>
        <w:t>CPC32</w:t>
      </w:r>
      <w:r>
        <w:rPr>
          <w:sz w:val="24"/>
          <w:szCs w:val="22"/>
        </w:rPr>
        <w:t>组和</w:t>
      </w:r>
      <w:r>
        <w:rPr>
          <w:sz w:val="24"/>
          <w:szCs w:val="22"/>
        </w:rPr>
        <w:t>CPC80</w:t>
      </w:r>
      <w:r>
        <w:rPr>
          <w:sz w:val="24"/>
          <w:szCs w:val="22"/>
        </w:rPr>
        <w:t>组之间均存在显著差异（</w:t>
      </w:r>
      <w:r>
        <w:rPr>
          <w:i/>
          <w:iCs/>
          <w:sz w:val="24"/>
          <w:szCs w:val="22"/>
        </w:rPr>
        <w:t>P</w:t>
      </w:r>
      <w:r>
        <w:rPr>
          <w:sz w:val="24"/>
          <w:szCs w:val="22"/>
        </w:rPr>
        <w:t>&lt;0.05</w:t>
      </w:r>
      <w:r>
        <w:rPr>
          <w:sz w:val="24"/>
          <w:szCs w:val="22"/>
        </w:rPr>
        <w:t>），且</w:t>
      </w:r>
      <w:r>
        <w:rPr>
          <w:sz w:val="24"/>
          <w:szCs w:val="22"/>
        </w:rPr>
        <w:t>CPC32</w:t>
      </w:r>
      <w:r>
        <w:rPr>
          <w:sz w:val="24"/>
          <w:szCs w:val="22"/>
        </w:rPr>
        <w:t>组与</w:t>
      </w:r>
      <w:r>
        <w:rPr>
          <w:sz w:val="24"/>
          <w:szCs w:val="22"/>
        </w:rPr>
        <w:t>CPC80</w:t>
      </w:r>
      <w:r>
        <w:rPr>
          <w:sz w:val="24"/>
          <w:szCs w:val="22"/>
        </w:rPr>
        <w:t>组之间亦存在显著差异（</w:t>
      </w:r>
      <w:r>
        <w:rPr>
          <w:i/>
          <w:iCs/>
          <w:sz w:val="24"/>
          <w:szCs w:val="22"/>
        </w:rPr>
        <w:t>P</w:t>
      </w:r>
      <w:r>
        <w:rPr>
          <w:sz w:val="24"/>
          <w:szCs w:val="22"/>
        </w:rPr>
        <w:t>&lt;0.05</w:t>
      </w:r>
      <w:r>
        <w:rPr>
          <w:sz w:val="24"/>
          <w:szCs w:val="22"/>
        </w:rPr>
        <w:t>）。</w:t>
      </w:r>
    </w:p>
    <w:p w14:paraId="19BBC148" w14:textId="77777777" w:rsidR="00400E98" w:rsidRDefault="00400E98" w:rsidP="00400E98">
      <w:pPr>
        <w:spacing w:line="360" w:lineRule="auto"/>
        <w:ind w:firstLineChars="200" w:firstLine="480"/>
        <w:rPr>
          <w:sz w:val="24"/>
          <w:szCs w:val="22"/>
        </w:rPr>
      </w:pPr>
      <w:r>
        <w:rPr>
          <w:sz w:val="24"/>
          <w:szCs w:val="22"/>
        </w:rPr>
        <w:t>采用主坐标分析（</w:t>
      </w:r>
      <w:proofErr w:type="spellStart"/>
      <w:r>
        <w:rPr>
          <w:sz w:val="24"/>
          <w:szCs w:val="22"/>
        </w:rPr>
        <w:t>PCoA</w:t>
      </w:r>
      <w:proofErr w:type="spellEnd"/>
      <w:r>
        <w:rPr>
          <w:sz w:val="24"/>
          <w:szCs w:val="22"/>
        </w:rPr>
        <w:t>）进行肠道菌群</w:t>
      </w:r>
      <w:r>
        <w:rPr>
          <w:sz w:val="24"/>
          <w:szCs w:val="22"/>
        </w:rPr>
        <w:t>β</w:t>
      </w:r>
      <w:r>
        <w:rPr>
          <w:sz w:val="24"/>
          <w:szCs w:val="22"/>
        </w:rPr>
        <w:t>多样性分析，如图</w:t>
      </w:r>
      <w:r>
        <w:rPr>
          <w:sz w:val="24"/>
          <w:szCs w:val="22"/>
        </w:rPr>
        <w:t>4-A</w:t>
      </w:r>
      <w:r>
        <w:rPr>
          <w:sz w:val="24"/>
          <w:szCs w:val="22"/>
        </w:rPr>
        <w:t>所示，各组间菌群组成差异较大（</w:t>
      </w:r>
      <w:r>
        <w:rPr>
          <w:i/>
          <w:iCs/>
          <w:sz w:val="24"/>
          <w:szCs w:val="22"/>
        </w:rPr>
        <w:t>P</w:t>
      </w:r>
      <w:r>
        <w:rPr>
          <w:sz w:val="24"/>
          <w:szCs w:val="22"/>
        </w:rPr>
        <w:t>&lt;0.05</w:t>
      </w:r>
      <w:r>
        <w:rPr>
          <w:sz w:val="24"/>
          <w:szCs w:val="22"/>
        </w:rPr>
        <w:t>）。基于</w:t>
      </w:r>
      <w:r>
        <w:rPr>
          <w:sz w:val="24"/>
          <w:szCs w:val="22"/>
        </w:rPr>
        <w:t>ASV</w:t>
      </w:r>
      <w:r>
        <w:rPr>
          <w:sz w:val="24"/>
          <w:szCs w:val="22"/>
        </w:rPr>
        <w:t>水平绘制韦恩图，如图</w:t>
      </w:r>
      <w:r>
        <w:rPr>
          <w:sz w:val="24"/>
          <w:szCs w:val="22"/>
        </w:rPr>
        <w:t>4-B</w:t>
      </w:r>
      <w:r>
        <w:rPr>
          <w:sz w:val="24"/>
          <w:szCs w:val="22"/>
        </w:rPr>
        <w:t>所示，本试验共鉴别出</w:t>
      </w:r>
      <w:r>
        <w:rPr>
          <w:sz w:val="24"/>
          <w:szCs w:val="22"/>
        </w:rPr>
        <w:t>6381</w:t>
      </w:r>
      <w:r>
        <w:rPr>
          <w:sz w:val="24"/>
          <w:szCs w:val="22"/>
        </w:rPr>
        <w:t>个</w:t>
      </w:r>
      <w:r>
        <w:rPr>
          <w:sz w:val="24"/>
          <w:szCs w:val="22"/>
        </w:rPr>
        <w:t>ASV</w:t>
      </w:r>
      <w:r>
        <w:rPr>
          <w:sz w:val="24"/>
          <w:szCs w:val="22"/>
        </w:rPr>
        <w:t>，其中各组共有的</w:t>
      </w:r>
      <w:r>
        <w:rPr>
          <w:sz w:val="24"/>
          <w:szCs w:val="22"/>
        </w:rPr>
        <w:t>ASV</w:t>
      </w:r>
      <w:r>
        <w:rPr>
          <w:sz w:val="24"/>
          <w:szCs w:val="22"/>
        </w:rPr>
        <w:t>数量为</w:t>
      </w:r>
      <w:r>
        <w:rPr>
          <w:sz w:val="24"/>
          <w:szCs w:val="22"/>
        </w:rPr>
        <w:t>518</w:t>
      </w:r>
      <w:r>
        <w:rPr>
          <w:sz w:val="24"/>
          <w:szCs w:val="22"/>
        </w:rPr>
        <w:t>个，分别占</w:t>
      </w:r>
      <w:r>
        <w:rPr>
          <w:sz w:val="24"/>
          <w:szCs w:val="22"/>
        </w:rPr>
        <w:t>FM</w:t>
      </w:r>
      <w:r>
        <w:rPr>
          <w:sz w:val="24"/>
          <w:szCs w:val="22"/>
        </w:rPr>
        <w:t>组、</w:t>
      </w:r>
      <w:r>
        <w:rPr>
          <w:sz w:val="24"/>
          <w:szCs w:val="22"/>
        </w:rPr>
        <w:t>CPC32</w:t>
      </w:r>
      <w:r>
        <w:rPr>
          <w:sz w:val="24"/>
          <w:szCs w:val="22"/>
        </w:rPr>
        <w:t>组和</w:t>
      </w:r>
      <w:r>
        <w:rPr>
          <w:sz w:val="24"/>
          <w:szCs w:val="22"/>
        </w:rPr>
        <w:t>CPC80</w:t>
      </w:r>
      <w:r>
        <w:rPr>
          <w:sz w:val="24"/>
          <w:szCs w:val="22"/>
        </w:rPr>
        <w:t>组</w:t>
      </w:r>
      <w:r>
        <w:rPr>
          <w:sz w:val="24"/>
          <w:szCs w:val="22"/>
        </w:rPr>
        <w:t>ASV</w:t>
      </w:r>
      <w:r>
        <w:rPr>
          <w:sz w:val="24"/>
          <w:szCs w:val="22"/>
        </w:rPr>
        <w:t>数量的</w:t>
      </w:r>
      <w:r>
        <w:rPr>
          <w:sz w:val="24"/>
          <w:szCs w:val="22"/>
        </w:rPr>
        <w:t>27.39%</w:t>
      </w:r>
      <w:r>
        <w:rPr>
          <w:sz w:val="24"/>
          <w:szCs w:val="22"/>
        </w:rPr>
        <w:t>、</w:t>
      </w:r>
      <w:r>
        <w:rPr>
          <w:sz w:val="24"/>
          <w:szCs w:val="22"/>
        </w:rPr>
        <w:t>29.13%</w:t>
      </w:r>
      <w:r>
        <w:rPr>
          <w:sz w:val="24"/>
          <w:szCs w:val="22"/>
        </w:rPr>
        <w:t>和</w:t>
      </w:r>
      <w:r>
        <w:rPr>
          <w:sz w:val="24"/>
          <w:szCs w:val="22"/>
        </w:rPr>
        <w:t>19.10%</w:t>
      </w:r>
      <w:r>
        <w:rPr>
          <w:sz w:val="24"/>
          <w:szCs w:val="22"/>
        </w:rPr>
        <w:t>，</w:t>
      </w:r>
      <w:r>
        <w:rPr>
          <w:sz w:val="24"/>
          <w:szCs w:val="22"/>
        </w:rPr>
        <w:t>FM</w:t>
      </w:r>
      <w:r>
        <w:rPr>
          <w:sz w:val="24"/>
          <w:szCs w:val="22"/>
        </w:rPr>
        <w:t>组与</w:t>
      </w:r>
      <w:r>
        <w:rPr>
          <w:sz w:val="24"/>
          <w:szCs w:val="22"/>
        </w:rPr>
        <w:t>CPC32</w:t>
      </w:r>
      <w:r>
        <w:rPr>
          <w:sz w:val="24"/>
          <w:szCs w:val="22"/>
        </w:rPr>
        <w:t>组共有的</w:t>
      </w:r>
      <w:r>
        <w:rPr>
          <w:sz w:val="24"/>
          <w:szCs w:val="22"/>
        </w:rPr>
        <w:t>ASV</w:t>
      </w:r>
      <w:r>
        <w:rPr>
          <w:sz w:val="24"/>
          <w:szCs w:val="22"/>
        </w:rPr>
        <w:t>数量为</w:t>
      </w:r>
      <w:r>
        <w:rPr>
          <w:sz w:val="24"/>
          <w:szCs w:val="22"/>
        </w:rPr>
        <w:t>713</w:t>
      </w:r>
      <w:r>
        <w:rPr>
          <w:sz w:val="24"/>
          <w:szCs w:val="22"/>
        </w:rPr>
        <w:t>个，</w:t>
      </w:r>
      <w:r>
        <w:rPr>
          <w:sz w:val="24"/>
          <w:szCs w:val="22"/>
        </w:rPr>
        <w:t>FM</w:t>
      </w:r>
      <w:r>
        <w:rPr>
          <w:sz w:val="24"/>
          <w:szCs w:val="22"/>
        </w:rPr>
        <w:t>组与</w:t>
      </w:r>
      <w:r>
        <w:rPr>
          <w:sz w:val="24"/>
          <w:szCs w:val="22"/>
        </w:rPr>
        <w:t>CPC80</w:t>
      </w:r>
      <w:r>
        <w:rPr>
          <w:sz w:val="24"/>
          <w:szCs w:val="22"/>
        </w:rPr>
        <w:t>组共有的</w:t>
      </w:r>
      <w:r>
        <w:rPr>
          <w:sz w:val="24"/>
          <w:szCs w:val="22"/>
        </w:rPr>
        <w:t>ASV</w:t>
      </w:r>
      <w:r>
        <w:rPr>
          <w:sz w:val="24"/>
          <w:szCs w:val="22"/>
        </w:rPr>
        <w:t>数量为</w:t>
      </w:r>
      <w:r>
        <w:rPr>
          <w:sz w:val="24"/>
          <w:szCs w:val="22"/>
        </w:rPr>
        <w:t>741</w:t>
      </w:r>
      <w:r>
        <w:rPr>
          <w:sz w:val="24"/>
          <w:szCs w:val="22"/>
        </w:rPr>
        <w:t>个。</w:t>
      </w:r>
    </w:p>
    <w:p w14:paraId="52F2B7A1"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5ADFC9F0" wp14:editId="453032DD">
            <wp:extent cx="5946632" cy="4090988"/>
            <wp:effectExtent l="0" t="0" r="0" b="508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30"/>
                    <a:stretch>
                      <a:fillRect/>
                    </a:stretch>
                  </pic:blipFill>
                  <pic:spPr>
                    <a:xfrm>
                      <a:off x="0" y="0"/>
                      <a:ext cx="5955969" cy="4097411"/>
                    </a:xfrm>
                    <a:prstGeom prst="rect">
                      <a:avLst/>
                    </a:prstGeom>
                    <a:noFill/>
                    <a:ln w="9525">
                      <a:noFill/>
                    </a:ln>
                  </pic:spPr>
                </pic:pic>
              </a:graphicData>
            </a:graphic>
          </wp:inline>
        </w:drawing>
      </w:r>
    </w:p>
    <w:p w14:paraId="447B7879" w14:textId="651C1AA1" w:rsidR="00400E98" w:rsidRDefault="00400E98" w:rsidP="00400E98">
      <w:pPr>
        <w:spacing w:line="360" w:lineRule="auto"/>
        <w:rPr>
          <w:sz w:val="24"/>
          <w:szCs w:val="22"/>
        </w:rPr>
      </w:pPr>
      <w:r>
        <w:rPr>
          <w:sz w:val="24"/>
          <w:szCs w:val="22"/>
        </w:rPr>
        <w:t>2.7.3</w:t>
      </w:r>
      <w:r>
        <w:rPr>
          <w:sz w:val="24"/>
          <w:szCs w:val="22"/>
        </w:rPr>
        <w:t>在门和属水平上组成分析</w:t>
      </w:r>
    </w:p>
    <w:p w14:paraId="4FC9A3C1" w14:textId="77777777" w:rsidR="00400E98" w:rsidRDefault="00400E98" w:rsidP="00400E98">
      <w:pPr>
        <w:spacing w:line="360" w:lineRule="auto"/>
        <w:ind w:firstLineChars="200" w:firstLine="480"/>
        <w:rPr>
          <w:sz w:val="24"/>
          <w:szCs w:val="22"/>
        </w:rPr>
      </w:pPr>
      <w:r>
        <w:rPr>
          <w:sz w:val="24"/>
          <w:szCs w:val="22"/>
        </w:rPr>
        <w:t>如图</w:t>
      </w:r>
      <w:r>
        <w:rPr>
          <w:sz w:val="24"/>
          <w:szCs w:val="22"/>
        </w:rPr>
        <w:t>5-A</w:t>
      </w:r>
      <w:r>
        <w:rPr>
          <w:sz w:val="24"/>
          <w:szCs w:val="22"/>
        </w:rPr>
        <w:t>所示，各组肠道菌群在门水平上组成主要为变形菌门（</w:t>
      </w:r>
      <w:r>
        <w:rPr>
          <w:sz w:val="24"/>
          <w:szCs w:val="22"/>
        </w:rPr>
        <w:t>Proteobacteria</w:t>
      </w:r>
      <w:r>
        <w:rPr>
          <w:sz w:val="24"/>
          <w:szCs w:val="22"/>
        </w:rPr>
        <w:t>）、放线菌门</w:t>
      </w:r>
      <w:r>
        <w:rPr>
          <w:sz w:val="24"/>
          <w:szCs w:val="22"/>
        </w:rPr>
        <w:t>(</w:t>
      </w:r>
      <w:proofErr w:type="spellStart"/>
      <w:r>
        <w:rPr>
          <w:sz w:val="24"/>
          <w:szCs w:val="22"/>
        </w:rPr>
        <w:t>Actinobacteriota</w:t>
      </w:r>
      <w:proofErr w:type="spellEnd"/>
      <w:r>
        <w:rPr>
          <w:sz w:val="24"/>
          <w:szCs w:val="22"/>
        </w:rPr>
        <w:t>)</w:t>
      </w:r>
      <w:r>
        <w:rPr>
          <w:sz w:val="24"/>
          <w:szCs w:val="22"/>
        </w:rPr>
        <w:t>、梭杆菌门</w:t>
      </w:r>
      <w:r>
        <w:rPr>
          <w:sz w:val="24"/>
          <w:szCs w:val="22"/>
        </w:rPr>
        <w:t>(</w:t>
      </w:r>
      <w:proofErr w:type="spellStart"/>
      <w:r>
        <w:rPr>
          <w:sz w:val="24"/>
          <w:szCs w:val="22"/>
        </w:rPr>
        <w:t>Fusobacteriota</w:t>
      </w:r>
      <w:proofErr w:type="spellEnd"/>
      <w:r>
        <w:rPr>
          <w:sz w:val="24"/>
          <w:szCs w:val="22"/>
        </w:rPr>
        <w:t>）、厚壁菌门（</w:t>
      </w:r>
      <w:r>
        <w:rPr>
          <w:sz w:val="24"/>
          <w:szCs w:val="22"/>
        </w:rPr>
        <w:t>Firmicutes</w:t>
      </w:r>
      <w:r>
        <w:rPr>
          <w:sz w:val="24"/>
          <w:szCs w:val="22"/>
        </w:rPr>
        <w:t>）、疣微菌门（</w:t>
      </w:r>
      <w:proofErr w:type="spellStart"/>
      <w:r>
        <w:rPr>
          <w:sz w:val="24"/>
          <w:szCs w:val="22"/>
        </w:rPr>
        <w:t>Verrucomicrobio.ta</w:t>
      </w:r>
      <w:proofErr w:type="spellEnd"/>
      <w:r>
        <w:rPr>
          <w:sz w:val="24"/>
          <w:szCs w:val="22"/>
        </w:rPr>
        <w:t>)</w:t>
      </w:r>
      <w:r>
        <w:rPr>
          <w:sz w:val="24"/>
          <w:szCs w:val="22"/>
        </w:rPr>
        <w:t>、拟杆菌门（</w:t>
      </w:r>
      <w:proofErr w:type="spellStart"/>
      <w:r>
        <w:rPr>
          <w:sz w:val="24"/>
          <w:szCs w:val="22"/>
        </w:rPr>
        <w:t>Bacteroidota</w:t>
      </w:r>
      <w:proofErr w:type="spellEnd"/>
      <w:r>
        <w:rPr>
          <w:sz w:val="24"/>
          <w:szCs w:val="22"/>
        </w:rPr>
        <w:t>）、绿弯菌门（</w:t>
      </w:r>
      <w:proofErr w:type="spellStart"/>
      <w:r>
        <w:rPr>
          <w:sz w:val="24"/>
          <w:szCs w:val="22"/>
        </w:rPr>
        <w:t>Chlo.roflexota</w:t>
      </w:r>
      <w:proofErr w:type="spellEnd"/>
      <w:r>
        <w:rPr>
          <w:sz w:val="24"/>
          <w:szCs w:val="22"/>
        </w:rPr>
        <w:t>）、浮霉菌门（</w:t>
      </w:r>
      <w:proofErr w:type="spellStart"/>
      <w:r>
        <w:rPr>
          <w:sz w:val="24"/>
          <w:szCs w:val="22"/>
        </w:rPr>
        <w:t>Planctomycetota</w:t>
      </w:r>
      <w:proofErr w:type="spellEnd"/>
      <w:r>
        <w:rPr>
          <w:sz w:val="24"/>
          <w:szCs w:val="22"/>
        </w:rPr>
        <w:t>)</w:t>
      </w:r>
      <w:r>
        <w:rPr>
          <w:sz w:val="24"/>
          <w:szCs w:val="22"/>
        </w:rPr>
        <w:t>、蓝细菌门（</w:t>
      </w:r>
      <w:r>
        <w:rPr>
          <w:sz w:val="24"/>
          <w:szCs w:val="22"/>
        </w:rPr>
        <w:t>Cyanobacteria)</w:t>
      </w:r>
      <w:r>
        <w:rPr>
          <w:sz w:val="24"/>
          <w:szCs w:val="22"/>
        </w:rPr>
        <w:t>和脱硫杆菌门（</w:t>
      </w:r>
      <w:proofErr w:type="spellStart"/>
      <w:r>
        <w:rPr>
          <w:sz w:val="24"/>
          <w:szCs w:val="22"/>
        </w:rPr>
        <w:t>Desulfobacterota</w:t>
      </w:r>
      <w:proofErr w:type="spellEnd"/>
      <w:r>
        <w:rPr>
          <w:sz w:val="24"/>
          <w:szCs w:val="22"/>
        </w:rPr>
        <w:t>）等。如图</w:t>
      </w:r>
      <w:r>
        <w:rPr>
          <w:sz w:val="24"/>
          <w:szCs w:val="22"/>
        </w:rPr>
        <w:t>5-B</w:t>
      </w:r>
      <w:r>
        <w:rPr>
          <w:sz w:val="24"/>
          <w:szCs w:val="22"/>
        </w:rPr>
        <w:t>所示，各组间厚壁菌门和拟杆菌门相对丰度无显著差异（</w:t>
      </w:r>
      <w:r>
        <w:rPr>
          <w:i/>
          <w:iCs/>
          <w:sz w:val="24"/>
          <w:szCs w:val="22"/>
        </w:rPr>
        <w:t>P</w:t>
      </w:r>
      <w:r>
        <w:rPr>
          <w:sz w:val="24"/>
          <w:szCs w:val="22"/>
        </w:rPr>
        <w:t>&gt;0.05</w:t>
      </w:r>
      <w:r>
        <w:rPr>
          <w:sz w:val="24"/>
          <w:szCs w:val="22"/>
        </w:rPr>
        <w:t>），厚壁菌门</w:t>
      </w:r>
      <w:r>
        <w:rPr>
          <w:sz w:val="24"/>
          <w:szCs w:val="22"/>
        </w:rPr>
        <w:t>/</w:t>
      </w:r>
      <w:r>
        <w:rPr>
          <w:sz w:val="24"/>
          <w:szCs w:val="22"/>
        </w:rPr>
        <w:t>拟杆菌门</w:t>
      </w:r>
      <w:r>
        <w:rPr>
          <w:sz w:val="24"/>
          <w:szCs w:val="22"/>
        </w:rPr>
        <w:lastRenderedPageBreak/>
        <w:t>（</w:t>
      </w:r>
      <w:r>
        <w:rPr>
          <w:sz w:val="24"/>
          <w:szCs w:val="22"/>
        </w:rPr>
        <w:t>F/B</w:t>
      </w:r>
      <w:r>
        <w:rPr>
          <w:sz w:val="24"/>
          <w:szCs w:val="22"/>
        </w:rPr>
        <w:t>）值随棉籽浓缩蛋白替代鱼粉比例的提高呈现逐渐升高的趋势（</w:t>
      </w:r>
      <w:r>
        <w:rPr>
          <w:i/>
          <w:iCs/>
          <w:sz w:val="24"/>
          <w:szCs w:val="22"/>
        </w:rPr>
        <w:t>P</w:t>
      </w:r>
      <w:r>
        <w:rPr>
          <w:sz w:val="24"/>
          <w:szCs w:val="22"/>
        </w:rPr>
        <w:t>&gt;0.05</w:t>
      </w:r>
      <w:r>
        <w:rPr>
          <w:sz w:val="24"/>
          <w:szCs w:val="22"/>
        </w:rPr>
        <w:t>）。</w:t>
      </w:r>
    </w:p>
    <w:p w14:paraId="059C0F3D"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4242E3B7" wp14:editId="530CDBD1">
            <wp:extent cx="4404908" cy="3709988"/>
            <wp:effectExtent l="0" t="0" r="0" b="508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31"/>
                    <a:stretch>
                      <a:fillRect/>
                    </a:stretch>
                  </pic:blipFill>
                  <pic:spPr>
                    <a:xfrm>
                      <a:off x="0" y="0"/>
                      <a:ext cx="4413895" cy="3717557"/>
                    </a:xfrm>
                    <a:prstGeom prst="rect">
                      <a:avLst/>
                    </a:prstGeom>
                    <a:noFill/>
                    <a:ln w="9525">
                      <a:noFill/>
                    </a:ln>
                  </pic:spPr>
                </pic:pic>
              </a:graphicData>
            </a:graphic>
          </wp:inline>
        </w:drawing>
      </w:r>
    </w:p>
    <w:p w14:paraId="4F014EC2" w14:textId="77777777" w:rsidR="00400E98" w:rsidRDefault="00400E98" w:rsidP="00400E98">
      <w:pPr>
        <w:spacing w:line="360" w:lineRule="auto"/>
        <w:ind w:firstLineChars="200" w:firstLine="480"/>
        <w:rPr>
          <w:sz w:val="24"/>
          <w:szCs w:val="22"/>
        </w:rPr>
      </w:pPr>
      <w:r>
        <w:rPr>
          <w:sz w:val="24"/>
          <w:szCs w:val="22"/>
        </w:rPr>
        <w:t>如图</w:t>
      </w:r>
      <w:r>
        <w:rPr>
          <w:sz w:val="24"/>
          <w:szCs w:val="22"/>
        </w:rPr>
        <w:t>6-A</w:t>
      </w:r>
      <w:r>
        <w:rPr>
          <w:sz w:val="24"/>
          <w:szCs w:val="22"/>
        </w:rPr>
        <w:t>所示，各组肠道菌群在属水平上组成主要为大不里士杆菌属（</w:t>
      </w:r>
      <w:proofErr w:type="spellStart"/>
      <w:r>
        <w:rPr>
          <w:sz w:val="24"/>
          <w:szCs w:val="22"/>
        </w:rPr>
        <w:t>Tabrizicola</w:t>
      </w:r>
      <w:proofErr w:type="spellEnd"/>
      <w:r>
        <w:rPr>
          <w:sz w:val="24"/>
          <w:szCs w:val="22"/>
        </w:rPr>
        <w:t>）、丛毛单胞菌属（</w:t>
      </w:r>
      <w:proofErr w:type="spellStart"/>
      <w:r>
        <w:rPr>
          <w:sz w:val="24"/>
          <w:szCs w:val="22"/>
        </w:rPr>
        <w:t>Comamonas_F</w:t>
      </w:r>
      <w:proofErr w:type="spellEnd"/>
      <w:r>
        <w:rPr>
          <w:sz w:val="24"/>
          <w:szCs w:val="22"/>
        </w:rPr>
        <w:t>）、分枝杆菌属（</w:t>
      </w:r>
      <w:r>
        <w:rPr>
          <w:sz w:val="24"/>
          <w:szCs w:val="22"/>
        </w:rPr>
        <w:t>Mycobacteri.um</w:t>
      </w:r>
      <w:r>
        <w:rPr>
          <w:sz w:val="24"/>
          <w:szCs w:val="22"/>
        </w:rPr>
        <w:t>）、另杆菌属（</w:t>
      </w:r>
      <w:proofErr w:type="spellStart"/>
      <w:r>
        <w:rPr>
          <w:sz w:val="24"/>
          <w:szCs w:val="22"/>
        </w:rPr>
        <w:t>Alsobacter</w:t>
      </w:r>
      <w:proofErr w:type="spellEnd"/>
      <w:r>
        <w:rPr>
          <w:sz w:val="24"/>
          <w:szCs w:val="22"/>
        </w:rPr>
        <w:t>）、鲸杆菌属（</w:t>
      </w:r>
      <w:proofErr w:type="spellStart"/>
      <w:r>
        <w:rPr>
          <w:sz w:val="24"/>
          <w:szCs w:val="22"/>
        </w:rPr>
        <w:t>Cetobacte.rium_A</w:t>
      </w:r>
      <w:proofErr w:type="spellEnd"/>
      <w:r>
        <w:rPr>
          <w:sz w:val="24"/>
          <w:szCs w:val="22"/>
        </w:rPr>
        <w:t>)</w:t>
      </w:r>
      <w:r>
        <w:rPr>
          <w:sz w:val="24"/>
          <w:szCs w:val="22"/>
        </w:rPr>
        <w:t>。</w:t>
      </w:r>
      <w:proofErr w:type="spellStart"/>
      <w:r>
        <w:rPr>
          <w:sz w:val="24"/>
          <w:szCs w:val="22"/>
        </w:rPr>
        <w:t>Aestuariivirga</w:t>
      </w:r>
      <w:proofErr w:type="spellEnd"/>
      <w:r>
        <w:rPr>
          <w:sz w:val="24"/>
          <w:szCs w:val="22"/>
        </w:rPr>
        <w:t>、博斯氏菌属（</w:t>
      </w:r>
      <w:proofErr w:type="spellStart"/>
      <w:r>
        <w:rPr>
          <w:sz w:val="24"/>
          <w:szCs w:val="22"/>
        </w:rPr>
        <w:t>Bosea</w:t>
      </w:r>
      <w:proofErr w:type="spellEnd"/>
      <w:r>
        <w:rPr>
          <w:sz w:val="24"/>
          <w:szCs w:val="22"/>
        </w:rPr>
        <w:t>）、气单胞菌属（</w:t>
      </w:r>
      <w:r>
        <w:rPr>
          <w:sz w:val="24"/>
          <w:szCs w:val="22"/>
        </w:rPr>
        <w:t>Aeromonas)</w:t>
      </w:r>
      <w:r>
        <w:rPr>
          <w:sz w:val="24"/>
          <w:szCs w:val="22"/>
        </w:rPr>
        <w:t>、阿格雷氏菌（</w:t>
      </w:r>
      <w:proofErr w:type="spellStart"/>
      <w:r>
        <w:rPr>
          <w:sz w:val="24"/>
          <w:szCs w:val="22"/>
        </w:rPr>
        <w:t>Agreia</w:t>
      </w:r>
      <w:proofErr w:type="spellEnd"/>
      <w:r>
        <w:rPr>
          <w:sz w:val="24"/>
          <w:szCs w:val="22"/>
        </w:rPr>
        <w:t>)</w:t>
      </w:r>
      <w:r>
        <w:rPr>
          <w:sz w:val="24"/>
          <w:szCs w:val="22"/>
        </w:rPr>
        <w:t>以及</w:t>
      </w:r>
      <w:r>
        <w:rPr>
          <w:sz w:val="24"/>
          <w:szCs w:val="22"/>
        </w:rPr>
        <w:t>R-H.3</w:t>
      </w:r>
      <w:r>
        <w:rPr>
          <w:sz w:val="24"/>
          <w:szCs w:val="22"/>
        </w:rPr>
        <w:t>等。如图</w:t>
      </w:r>
      <w:r>
        <w:rPr>
          <w:sz w:val="24"/>
          <w:szCs w:val="22"/>
        </w:rPr>
        <w:t>6-B</w:t>
      </w:r>
      <w:r>
        <w:rPr>
          <w:sz w:val="24"/>
          <w:szCs w:val="22"/>
        </w:rPr>
        <w:t>所示，</w:t>
      </w:r>
      <w:r>
        <w:rPr>
          <w:sz w:val="24"/>
          <w:szCs w:val="22"/>
        </w:rPr>
        <w:t>CPC80</w:t>
      </w:r>
      <w:r>
        <w:rPr>
          <w:sz w:val="24"/>
          <w:szCs w:val="22"/>
        </w:rPr>
        <w:t>组分枝杆菌属和博斯氏菌属相对丰度显著高于</w:t>
      </w:r>
      <w:r>
        <w:rPr>
          <w:sz w:val="24"/>
          <w:szCs w:val="22"/>
        </w:rPr>
        <w:t>FM</w:t>
      </w:r>
      <w:r>
        <w:rPr>
          <w:sz w:val="24"/>
          <w:szCs w:val="22"/>
        </w:rPr>
        <w:t>组</w:t>
      </w:r>
      <w:r>
        <w:rPr>
          <w:sz w:val="24"/>
          <w:szCs w:val="22"/>
        </w:rPr>
        <w:t>(</w:t>
      </w:r>
      <w:r>
        <w:rPr>
          <w:i/>
          <w:iCs/>
          <w:sz w:val="24"/>
          <w:szCs w:val="22"/>
        </w:rPr>
        <w:t>P</w:t>
      </w:r>
      <w:r>
        <w:rPr>
          <w:sz w:val="24"/>
          <w:szCs w:val="22"/>
        </w:rPr>
        <w:t>&lt;0.05</w:t>
      </w:r>
      <w:r>
        <w:rPr>
          <w:sz w:val="24"/>
          <w:szCs w:val="22"/>
        </w:rPr>
        <w:t>），</w:t>
      </w:r>
      <w:r>
        <w:rPr>
          <w:sz w:val="24"/>
          <w:szCs w:val="22"/>
        </w:rPr>
        <w:t>CPC32</w:t>
      </w:r>
      <w:r>
        <w:rPr>
          <w:sz w:val="24"/>
          <w:szCs w:val="22"/>
        </w:rPr>
        <w:t>组另杆菌属相对丰度显著高于</w:t>
      </w:r>
      <w:r>
        <w:rPr>
          <w:sz w:val="24"/>
          <w:szCs w:val="22"/>
        </w:rPr>
        <w:t>FM</w:t>
      </w:r>
      <w:r>
        <w:rPr>
          <w:sz w:val="24"/>
          <w:szCs w:val="22"/>
        </w:rPr>
        <w:t>组</w:t>
      </w:r>
      <w:r>
        <w:rPr>
          <w:sz w:val="24"/>
          <w:szCs w:val="22"/>
        </w:rPr>
        <w:t>(</w:t>
      </w:r>
      <w:r>
        <w:rPr>
          <w:i/>
          <w:iCs/>
          <w:sz w:val="24"/>
          <w:szCs w:val="22"/>
        </w:rPr>
        <w:t>P</w:t>
      </w:r>
      <w:r>
        <w:rPr>
          <w:sz w:val="24"/>
          <w:szCs w:val="22"/>
        </w:rPr>
        <w:t>&lt;0.05</w:t>
      </w:r>
      <w:r>
        <w:rPr>
          <w:sz w:val="24"/>
          <w:szCs w:val="22"/>
        </w:rPr>
        <w:t>）。</w:t>
      </w:r>
    </w:p>
    <w:p w14:paraId="003739C7"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397BB5FA" wp14:editId="5A011002">
            <wp:extent cx="5540375" cy="3080385"/>
            <wp:effectExtent l="0" t="0" r="3175" b="571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32"/>
                    <a:stretch>
                      <a:fillRect/>
                    </a:stretch>
                  </pic:blipFill>
                  <pic:spPr>
                    <a:xfrm>
                      <a:off x="0" y="0"/>
                      <a:ext cx="5540375" cy="3080385"/>
                    </a:xfrm>
                    <a:prstGeom prst="rect">
                      <a:avLst/>
                    </a:prstGeom>
                    <a:noFill/>
                    <a:ln w="9525">
                      <a:noFill/>
                    </a:ln>
                  </pic:spPr>
                </pic:pic>
              </a:graphicData>
            </a:graphic>
          </wp:inline>
        </w:drawing>
      </w:r>
    </w:p>
    <w:p w14:paraId="61B03DD7" w14:textId="2F59C7CE" w:rsidR="00400E98" w:rsidRDefault="00400E98" w:rsidP="00400E98">
      <w:pPr>
        <w:spacing w:line="360" w:lineRule="auto"/>
        <w:rPr>
          <w:sz w:val="24"/>
          <w:szCs w:val="22"/>
        </w:rPr>
      </w:pPr>
      <w:r>
        <w:rPr>
          <w:sz w:val="24"/>
          <w:szCs w:val="22"/>
        </w:rPr>
        <w:lastRenderedPageBreak/>
        <w:t>2.7.4</w:t>
      </w:r>
      <w:r>
        <w:rPr>
          <w:sz w:val="24"/>
          <w:szCs w:val="22"/>
        </w:rPr>
        <w:t>相关性分析</w:t>
      </w:r>
    </w:p>
    <w:p w14:paraId="414143F0" w14:textId="77777777" w:rsidR="00400E98" w:rsidRDefault="00400E98" w:rsidP="00400E98">
      <w:pPr>
        <w:spacing w:line="360" w:lineRule="auto"/>
        <w:ind w:firstLineChars="200" w:firstLine="480"/>
        <w:rPr>
          <w:sz w:val="24"/>
          <w:szCs w:val="22"/>
        </w:rPr>
      </w:pPr>
      <w:r>
        <w:rPr>
          <w:sz w:val="24"/>
          <w:szCs w:val="22"/>
        </w:rPr>
        <w:t>将大鳞副泥鳅肠道菌群相对丰度与生长性能、抗氧化能力和免疫功能相关指标进行</w:t>
      </w:r>
      <w:r>
        <w:rPr>
          <w:sz w:val="24"/>
          <w:szCs w:val="22"/>
        </w:rPr>
        <w:t>Spearman</w:t>
      </w:r>
      <w:r>
        <w:rPr>
          <w:sz w:val="24"/>
          <w:szCs w:val="22"/>
        </w:rPr>
        <w:t>相关性分析，如图</w:t>
      </w:r>
      <w:r>
        <w:rPr>
          <w:sz w:val="24"/>
          <w:szCs w:val="22"/>
        </w:rPr>
        <w:t>7</w:t>
      </w:r>
      <w:r>
        <w:rPr>
          <w:sz w:val="24"/>
          <w:szCs w:val="22"/>
        </w:rPr>
        <w:t>所示，在门水平上，</w:t>
      </w:r>
      <w:r>
        <w:rPr>
          <w:sz w:val="24"/>
          <w:szCs w:val="22"/>
        </w:rPr>
        <w:t>WGR</w:t>
      </w:r>
      <w:r>
        <w:rPr>
          <w:sz w:val="24"/>
          <w:szCs w:val="22"/>
        </w:rPr>
        <w:t>与绿弯菌门相对丰度呈极显著正相关（</w:t>
      </w:r>
      <w:r>
        <w:rPr>
          <w:i/>
          <w:iCs/>
          <w:sz w:val="24"/>
          <w:szCs w:val="22"/>
        </w:rPr>
        <w:t>P</w:t>
      </w:r>
      <w:r>
        <w:rPr>
          <w:sz w:val="24"/>
          <w:szCs w:val="22"/>
        </w:rPr>
        <w:t>&lt;0.01</w:t>
      </w:r>
      <w:r>
        <w:rPr>
          <w:sz w:val="24"/>
          <w:szCs w:val="22"/>
        </w:rPr>
        <w:t>），与脱硫杆菌门相对丰度呈极显著负相关（</w:t>
      </w:r>
      <w:r>
        <w:rPr>
          <w:i/>
          <w:iCs/>
          <w:sz w:val="24"/>
          <w:szCs w:val="22"/>
        </w:rPr>
        <w:t>P</w:t>
      </w:r>
      <w:r>
        <w:rPr>
          <w:sz w:val="24"/>
          <w:szCs w:val="22"/>
        </w:rPr>
        <w:t>&lt;0.01</w:t>
      </w:r>
      <w:r>
        <w:rPr>
          <w:sz w:val="24"/>
          <w:szCs w:val="22"/>
        </w:rPr>
        <w:t>），血清</w:t>
      </w:r>
      <w:r>
        <w:rPr>
          <w:sz w:val="24"/>
          <w:szCs w:val="22"/>
        </w:rPr>
        <w:t>ALT</w:t>
      </w:r>
      <w:r>
        <w:rPr>
          <w:sz w:val="24"/>
          <w:szCs w:val="22"/>
        </w:rPr>
        <w:t>活性和</w:t>
      </w:r>
      <w:r>
        <w:rPr>
          <w:sz w:val="24"/>
          <w:szCs w:val="22"/>
        </w:rPr>
        <w:t>MDA</w:t>
      </w:r>
      <w:r>
        <w:rPr>
          <w:sz w:val="24"/>
          <w:szCs w:val="22"/>
        </w:rPr>
        <w:t>含量与</w:t>
      </w:r>
      <w:r>
        <w:rPr>
          <w:sz w:val="24"/>
          <w:szCs w:val="22"/>
        </w:rPr>
        <w:t>WGR</w:t>
      </w:r>
      <w:r>
        <w:rPr>
          <w:sz w:val="24"/>
          <w:szCs w:val="22"/>
        </w:rPr>
        <w:t>相关性正好相反；血清</w:t>
      </w:r>
      <w:r>
        <w:rPr>
          <w:sz w:val="24"/>
          <w:szCs w:val="22"/>
        </w:rPr>
        <w:t>IgM</w:t>
      </w:r>
      <w:r>
        <w:rPr>
          <w:sz w:val="24"/>
          <w:szCs w:val="22"/>
        </w:rPr>
        <w:t>含量、</w:t>
      </w:r>
      <w:r>
        <w:rPr>
          <w:sz w:val="24"/>
          <w:szCs w:val="22"/>
        </w:rPr>
        <w:t>LYS</w:t>
      </w:r>
      <w:r>
        <w:rPr>
          <w:sz w:val="24"/>
          <w:szCs w:val="22"/>
        </w:rPr>
        <w:t>活性、</w:t>
      </w:r>
      <w:r>
        <w:rPr>
          <w:sz w:val="24"/>
          <w:szCs w:val="22"/>
        </w:rPr>
        <w:t>ACP</w:t>
      </w:r>
      <w:r>
        <w:rPr>
          <w:sz w:val="24"/>
          <w:szCs w:val="22"/>
        </w:rPr>
        <w:t>活性、</w:t>
      </w:r>
      <w:r>
        <w:rPr>
          <w:sz w:val="24"/>
          <w:szCs w:val="22"/>
        </w:rPr>
        <w:t>AKP</w:t>
      </w:r>
      <w:r>
        <w:rPr>
          <w:sz w:val="24"/>
          <w:szCs w:val="22"/>
        </w:rPr>
        <w:t>活性以及肝脏</w:t>
      </w:r>
      <w:r>
        <w:rPr>
          <w:sz w:val="24"/>
          <w:szCs w:val="22"/>
        </w:rPr>
        <w:t>SOD</w:t>
      </w:r>
      <w:r>
        <w:rPr>
          <w:sz w:val="24"/>
          <w:szCs w:val="22"/>
        </w:rPr>
        <w:t>活性、</w:t>
      </w:r>
      <w:r>
        <w:rPr>
          <w:sz w:val="24"/>
          <w:szCs w:val="22"/>
        </w:rPr>
        <w:t>T-AOC</w:t>
      </w:r>
      <w:r>
        <w:rPr>
          <w:sz w:val="24"/>
          <w:szCs w:val="22"/>
        </w:rPr>
        <w:t>、</w:t>
      </w:r>
      <w:r>
        <w:rPr>
          <w:sz w:val="24"/>
          <w:szCs w:val="22"/>
        </w:rPr>
        <w:t>CAT</w:t>
      </w:r>
      <w:r>
        <w:rPr>
          <w:sz w:val="24"/>
          <w:szCs w:val="22"/>
        </w:rPr>
        <w:t>活性、</w:t>
      </w:r>
      <w:r>
        <w:rPr>
          <w:sz w:val="24"/>
          <w:szCs w:val="22"/>
        </w:rPr>
        <w:t>GSH</w:t>
      </w:r>
      <w:r>
        <w:rPr>
          <w:sz w:val="24"/>
          <w:szCs w:val="22"/>
        </w:rPr>
        <w:t>含量和</w:t>
      </w:r>
      <w:r>
        <w:rPr>
          <w:sz w:val="24"/>
          <w:szCs w:val="22"/>
        </w:rPr>
        <w:t>GSH-P×</w:t>
      </w:r>
      <w:r>
        <w:rPr>
          <w:sz w:val="24"/>
          <w:szCs w:val="22"/>
        </w:rPr>
        <w:t>活性均与梭杆菌门相对丰度呈极显著正相关（</w:t>
      </w:r>
      <w:r>
        <w:rPr>
          <w:i/>
          <w:iCs/>
          <w:sz w:val="24"/>
          <w:szCs w:val="22"/>
        </w:rPr>
        <w:t>P</w:t>
      </w:r>
      <w:r>
        <w:rPr>
          <w:sz w:val="24"/>
          <w:szCs w:val="22"/>
        </w:rPr>
        <w:t>&lt;0.01</w:t>
      </w:r>
      <w:r>
        <w:rPr>
          <w:sz w:val="24"/>
          <w:szCs w:val="22"/>
        </w:rPr>
        <w:t>），与疣微菌门、浮霉菌门和蓝细菌门相对丰度呈极显著负相关（</w:t>
      </w:r>
      <w:r>
        <w:rPr>
          <w:i/>
          <w:iCs/>
          <w:sz w:val="24"/>
          <w:szCs w:val="22"/>
        </w:rPr>
        <w:t>P</w:t>
      </w:r>
      <w:r>
        <w:rPr>
          <w:sz w:val="24"/>
          <w:szCs w:val="22"/>
        </w:rPr>
        <w:t>&lt;0.01</w:t>
      </w:r>
      <w:r>
        <w:rPr>
          <w:sz w:val="24"/>
          <w:szCs w:val="22"/>
        </w:rPr>
        <w:t>），</w:t>
      </w:r>
      <w:r>
        <w:rPr>
          <w:sz w:val="24"/>
          <w:szCs w:val="22"/>
        </w:rPr>
        <w:t>FR</w:t>
      </w:r>
      <w:r>
        <w:rPr>
          <w:sz w:val="24"/>
          <w:szCs w:val="22"/>
        </w:rPr>
        <w:t>和血清</w:t>
      </w:r>
      <w:r>
        <w:rPr>
          <w:sz w:val="24"/>
          <w:szCs w:val="22"/>
        </w:rPr>
        <w:t>AST</w:t>
      </w:r>
      <w:r>
        <w:rPr>
          <w:sz w:val="24"/>
          <w:szCs w:val="22"/>
        </w:rPr>
        <w:t>活性与以上指标的相关性正好相反。在属水平上</w:t>
      </w:r>
      <w:r>
        <w:rPr>
          <w:sz w:val="24"/>
          <w:szCs w:val="22"/>
        </w:rPr>
        <w:t>,WGR</w:t>
      </w:r>
      <w:r>
        <w:rPr>
          <w:sz w:val="24"/>
          <w:szCs w:val="22"/>
        </w:rPr>
        <w:t>与大不里士杆菌属相对丰度呈极显著负相关（</w:t>
      </w:r>
      <w:r>
        <w:rPr>
          <w:i/>
          <w:iCs/>
          <w:sz w:val="24"/>
          <w:szCs w:val="22"/>
        </w:rPr>
        <w:t>P</w:t>
      </w:r>
      <w:r>
        <w:rPr>
          <w:sz w:val="24"/>
          <w:szCs w:val="22"/>
        </w:rPr>
        <w:t>&lt;0.01</w:t>
      </w:r>
      <w:r>
        <w:rPr>
          <w:sz w:val="24"/>
          <w:szCs w:val="22"/>
        </w:rPr>
        <w:t>），与气单胞菌属相对丰度呈极显著正相关（</w:t>
      </w:r>
      <w:r>
        <w:rPr>
          <w:i/>
          <w:iCs/>
          <w:sz w:val="24"/>
          <w:szCs w:val="22"/>
        </w:rPr>
        <w:t>P</w:t>
      </w:r>
      <w:r>
        <w:rPr>
          <w:sz w:val="24"/>
          <w:szCs w:val="22"/>
        </w:rPr>
        <w:t>&lt;0.01</w:t>
      </w:r>
      <w:r>
        <w:rPr>
          <w:sz w:val="24"/>
          <w:szCs w:val="22"/>
        </w:rPr>
        <w:t>），血清</w:t>
      </w:r>
      <w:r>
        <w:rPr>
          <w:sz w:val="24"/>
          <w:szCs w:val="22"/>
        </w:rPr>
        <w:t>ALT</w:t>
      </w:r>
      <w:r>
        <w:rPr>
          <w:sz w:val="24"/>
          <w:szCs w:val="22"/>
        </w:rPr>
        <w:t>活性和肝脏</w:t>
      </w:r>
      <w:r>
        <w:rPr>
          <w:sz w:val="24"/>
          <w:szCs w:val="22"/>
        </w:rPr>
        <w:t>MDA</w:t>
      </w:r>
      <w:r>
        <w:rPr>
          <w:sz w:val="24"/>
          <w:szCs w:val="22"/>
        </w:rPr>
        <w:t>含量与</w:t>
      </w:r>
      <w:r>
        <w:rPr>
          <w:sz w:val="24"/>
          <w:szCs w:val="22"/>
        </w:rPr>
        <w:t>WGR</w:t>
      </w:r>
      <w:r>
        <w:rPr>
          <w:sz w:val="24"/>
          <w:szCs w:val="22"/>
        </w:rPr>
        <w:t>相关性正好相反；血清</w:t>
      </w:r>
      <w:r>
        <w:rPr>
          <w:sz w:val="24"/>
          <w:szCs w:val="22"/>
        </w:rPr>
        <w:t>IgM</w:t>
      </w:r>
      <w:r>
        <w:rPr>
          <w:sz w:val="24"/>
          <w:szCs w:val="22"/>
        </w:rPr>
        <w:t>含量、</w:t>
      </w:r>
      <w:r>
        <w:rPr>
          <w:sz w:val="24"/>
          <w:szCs w:val="22"/>
        </w:rPr>
        <w:t>LYS</w:t>
      </w:r>
      <w:r>
        <w:rPr>
          <w:sz w:val="24"/>
          <w:szCs w:val="22"/>
        </w:rPr>
        <w:t>活性、</w:t>
      </w:r>
      <w:r>
        <w:rPr>
          <w:sz w:val="24"/>
          <w:szCs w:val="22"/>
        </w:rPr>
        <w:t>ACP</w:t>
      </w:r>
      <w:r>
        <w:rPr>
          <w:sz w:val="24"/>
          <w:szCs w:val="22"/>
        </w:rPr>
        <w:t>活性、</w:t>
      </w:r>
      <w:r>
        <w:rPr>
          <w:sz w:val="24"/>
          <w:szCs w:val="22"/>
        </w:rPr>
        <w:t>AKP</w:t>
      </w:r>
      <w:r>
        <w:rPr>
          <w:sz w:val="24"/>
          <w:szCs w:val="22"/>
        </w:rPr>
        <w:t>活性以及肝脏</w:t>
      </w:r>
      <w:r>
        <w:rPr>
          <w:sz w:val="24"/>
          <w:szCs w:val="22"/>
        </w:rPr>
        <w:t>SOD</w:t>
      </w:r>
      <w:r>
        <w:rPr>
          <w:sz w:val="24"/>
          <w:szCs w:val="22"/>
        </w:rPr>
        <w:t>活性、</w:t>
      </w:r>
      <w:r>
        <w:rPr>
          <w:sz w:val="24"/>
          <w:szCs w:val="22"/>
        </w:rPr>
        <w:t>T-AOC</w:t>
      </w:r>
      <w:r>
        <w:rPr>
          <w:sz w:val="24"/>
          <w:szCs w:val="22"/>
        </w:rPr>
        <w:t>、</w:t>
      </w:r>
      <w:r>
        <w:rPr>
          <w:sz w:val="24"/>
          <w:szCs w:val="22"/>
        </w:rPr>
        <w:t>CAT</w:t>
      </w:r>
      <w:r>
        <w:rPr>
          <w:sz w:val="24"/>
          <w:szCs w:val="22"/>
        </w:rPr>
        <w:t>活性、</w:t>
      </w:r>
      <w:r>
        <w:rPr>
          <w:sz w:val="24"/>
          <w:szCs w:val="22"/>
        </w:rPr>
        <w:t>GSH</w:t>
      </w:r>
      <w:r>
        <w:rPr>
          <w:sz w:val="24"/>
          <w:szCs w:val="22"/>
        </w:rPr>
        <w:t>含量和</w:t>
      </w:r>
      <w:r>
        <w:rPr>
          <w:sz w:val="24"/>
          <w:szCs w:val="22"/>
        </w:rPr>
        <w:t>GSH-P×</w:t>
      </w:r>
      <w:r>
        <w:rPr>
          <w:sz w:val="24"/>
          <w:szCs w:val="22"/>
        </w:rPr>
        <w:t>活性均与丛毛单胞菌属和鲸杆菌属呈极显著正相关（</w:t>
      </w:r>
      <w:r>
        <w:rPr>
          <w:i/>
          <w:iCs/>
          <w:sz w:val="24"/>
          <w:szCs w:val="22"/>
        </w:rPr>
        <w:t>P</w:t>
      </w:r>
      <w:r>
        <w:rPr>
          <w:sz w:val="24"/>
          <w:szCs w:val="22"/>
        </w:rPr>
        <w:t>≤0.01</w:t>
      </w:r>
      <w:r>
        <w:rPr>
          <w:sz w:val="24"/>
          <w:szCs w:val="22"/>
        </w:rPr>
        <w:t>），与分枝杆菌属和博斯氏菌属相对丰度呈极显著负相关（</w:t>
      </w:r>
      <w:r>
        <w:rPr>
          <w:i/>
          <w:iCs/>
          <w:sz w:val="24"/>
          <w:szCs w:val="22"/>
        </w:rPr>
        <w:t>P</w:t>
      </w:r>
      <w:r>
        <w:rPr>
          <w:sz w:val="24"/>
          <w:szCs w:val="22"/>
        </w:rPr>
        <w:t>&lt;0.01</w:t>
      </w:r>
      <w:r>
        <w:rPr>
          <w:sz w:val="24"/>
          <w:szCs w:val="22"/>
        </w:rPr>
        <w:t>），</w:t>
      </w:r>
      <w:r>
        <w:rPr>
          <w:sz w:val="24"/>
          <w:szCs w:val="22"/>
        </w:rPr>
        <w:t>FR</w:t>
      </w:r>
      <w:r>
        <w:rPr>
          <w:sz w:val="24"/>
          <w:szCs w:val="22"/>
        </w:rPr>
        <w:t>和血清</w:t>
      </w:r>
      <w:r>
        <w:rPr>
          <w:sz w:val="24"/>
          <w:szCs w:val="22"/>
        </w:rPr>
        <w:t>AST</w:t>
      </w:r>
      <w:r>
        <w:rPr>
          <w:sz w:val="24"/>
          <w:szCs w:val="22"/>
        </w:rPr>
        <w:t>活性与以上指标的相关性正好相反。</w:t>
      </w:r>
    </w:p>
    <w:p w14:paraId="7FD82673"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75D014E9" wp14:editId="4E3FCEB6">
            <wp:extent cx="5881823" cy="4248150"/>
            <wp:effectExtent l="0" t="0" r="508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33"/>
                    <a:stretch>
                      <a:fillRect/>
                    </a:stretch>
                  </pic:blipFill>
                  <pic:spPr>
                    <a:xfrm>
                      <a:off x="0" y="0"/>
                      <a:ext cx="5889047" cy="4253367"/>
                    </a:xfrm>
                    <a:prstGeom prst="rect">
                      <a:avLst/>
                    </a:prstGeom>
                    <a:noFill/>
                    <a:ln w="9525">
                      <a:noFill/>
                    </a:ln>
                  </pic:spPr>
                </pic:pic>
              </a:graphicData>
            </a:graphic>
          </wp:inline>
        </w:drawing>
      </w:r>
    </w:p>
    <w:p w14:paraId="293A58F0" w14:textId="77777777" w:rsidR="008A42BE" w:rsidRDefault="008A42BE" w:rsidP="00400E98">
      <w:pPr>
        <w:spacing w:line="360" w:lineRule="auto"/>
        <w:rPr>
          <w:sz w:val="24"/>
          <w:szCs w:val="22"/>
        </w:rPr>
      </w:pPr>
    </w:p>
    <w:p w14:paraId="52A884F6" w14:textId="77777777" w:rsidR="008A42BE" w:rsidRDefault="008A42BE" w:rsidP="00400E98">
      <w:pPr>
        <w:spacing w:line="360" w:lineRule="auto"/>
        <w:rPr>
          <w:sz w:val="24"/>
          <w:szCs w:val="22"/>
        </w:rPr>
      </w:pPr>
    </w:p>
    <w:p w14:paraId="224808EF" w14:textId="2601A54A" w:rsidR="00400E98" w:rsidRDefault="00400E98" w:rsidP="00400E98">
      <w:pPr>
        <w:spacing w:line="360" w:lineRule="auto"/>
        <w:rPr>
          <w:sz w:val="24"/>
          <w:szCs w:val="22"/>
        </w:rPr>
      </w:pPr>
      <w:r>
        <w:rPr>
          <w:sz w:val="24"/>
          <w:szCs w:val="22"/>
        </w:rPr>
        <w:lastRenderedPageBreak/>
        <w:t>2.7.5</w:t>
      </w:r>
      <w:r>
        <w:rPr>
          <w:sz w:val="24"/>
          <w:szCs w:val="22"/>
        </w:rPr>
        <w:t>差异物种分析</w:t>
      </w:r>
    </w:p>
    <w:p w14:paraId="408B75BE" w14:textId="77777777" w:rsidR="00400E98" w:rsidRDefault="00400E98" w:rsidP="008A42BE">
      <w:pPr>
        <w:autoSpaceDE w:val="0"/>
        <w:spacing w:line="360" w:lineRule="auto"/>
        <w:ind w:firstLineChars="200" w:firstLine="480"/>
        <w:rPr>
          <w:sz w:val="24"/>
          <w:szCs w:val="22"/>
        </w:rPr>
      </w:pPr>
      <w:r>
        <w:rPr>
          <w:sz w:val="24"/>
          <w:szCs w:val="22"/>
        </w:rPr>
        <w:t>采用线性判别分析（</w:t>
      </w:r>
      <w:r>
        <w:rPr>
          <w:sz w:val="24"/>
          <w:szCs w:val="22"/>
        </w:rPr>
        <w:t>LDA</w:t>
      </w:r>
      <w:r>
        <w:rPr>
          <w:sz w:val="24"/>
          <w:szCs w:val="22"/>
        </w:rPr>
        <w:t>）效应大小（</w:t>
      </w:r>
      <w:proofErr w:type="spellStart"/>
      <w:r>
        <w:rPr>
          <w:sz w:val="24"/>
          <w:szCs w:val="22"/>
        </w:rPr>
        <w:t>LEfSe</w:t>
      </w:r>
      <w:proofErr w:type="spellEnd"/>
      <w:r>
        <w:rPr>
          <w:sz w:val="24"/>
          <w:szCs w:val="22"/>
        </w:rPr>
        <w:t>）分析各组间肠道菌群具有显著差异（</w:t>
      </w:r>
      <w:r>
        <w:rPr>
          <w:sz w:val="24"/>
          <w:szCs w:val="22"/>
        </w:rPr>
        <w:t>LDA</w:t>
      </w:r>
      <w:r>
        <w:rPr>
          <w:sz w:val="24"/>
          <w:szCs w:val="22"/>
        </w:rPr>
        <w:t>阈值为</w:t>
      </w:r>
      <w:r>
        <w:rPr>
          <w:sz w:val="24"/>
          <w:szCs w:val="22"/>
        </w:rPr>
        <w:t>3</w:t>
      </w:r>
      <w:r>
        <w:rPr>
          <w:sz w:val="24"/>
          <w:szCs w:val="22"/>
        </w:rPr>
        <w:t>，</w:t>
      </w:r>
      <w:r>
        <w:rPr>
          <w:i/>
          <w:iCs/>
          <w:sz w:val="24"/>
          <w:szCs w:val="22"/>
        </w:rPr>
        <w:t>P</w:t>
      </w:r>
      <w:r>
        <w:rPr>
          <w:sz w:val="24"/>
          <w:szCs w:val="22"/>
        </w:rPr>
        <w:t>&lt;0.05</w:t>
      </w:r>
      <w:r>
        <w:rPr>
          <w:sz w:val="24"/>
          <w:szCs w:val="22"/>
        </w:rPr>
        <w:t>）的物种，如图</w:t>
      </w:r>
      <w:r>
        <w:rPr>
          <w:sz w:val="24"/>
          <w:szCs w:val="22"/>
        </w:rPr>
        <w:t>8</w:t>
      </w:r>
      <w:r>
        <w:rPr>
          <w:sz w:val="24"/>
          <w:szCs w:val="22"/>
        </w:rPr>
        <w:t>所示，</w:t>
      </w:r>
      <w:r>
        <w:rPr>
          <w:sz w:val="24"/>
          <w:szCs w:val="22"/>
        </w:rPr>
        <w:t>FM</w:t>
      </w:r>
      <w:r>
        <w:rPr>
          <w:sz w:val="24"/>
          <w:szCs w:val="22"/>
        </w:rPr>
        <w:t>组优势菌属为新鞘氨醇菌属（</w:t>
      </w:r>
      <w:proofErr w:type="spellStart"/>
      <w:r>
        <w:rPr>
          <w:i/>
          <w:iCs/>
          <w:sz w:val="24"/>
          <w:szCs w:val="22"/>
        </w:rPr>
        <w:t>Novosphingobium</w:t>
      </w:r>
      <w:proofErr w:type="spellEnd"/>
      <w:r>
        <w:rPr>
          <w:sz w:val="24"/>
          <w:szCs w:val="22"/>
        </w:rPr>
        <w:t>)(LDA=3.08</w:t>
      </w:r>
      <w:r>
        <w:rPr>
          <w:sz w:val="24"/>
          <w:szCs w:val="22"/>
        </w:rPr>
        <w:t>，</w:t>
      </w:r>
      <w:r>
        <w:rPr>
          <w:i/>
          <w:iCs/>
          <w:sz w:val="24"/>
          <w:szCs w:val="22"/>
        </w:rPr>
        <w:t>P</w:t>
      </w:r>
      <w:r>
        <w:rPr>
          <w:sz w:val="24"/>
          <w:szCs w:val="22"/>
        </w:rPr>
        <w:t>=</w:t>
      </w:r>
      <w:r>
        <w:rPr>
          <w:rFonts w:hint="eastAsia"/>
          <w:sz w:val="24"/>
          <w:szCs w:val="22"/>
        </w:rPr>
        <w:t>0</w:t>
      </w:r>
      <w:r>
        <w:rPr>
          <w:sz w:val="24"/>
          <w:szCs w:val="22"/>
        </w:rPr>
        <w:t>.</w:t>
      </w:r>
      <w:r>
        <w:rPr>
          <w:rFonts w:hint="eastAsia"/>
          <w:sz w:val="24"/>
          <w:szCs w:val="22"/>
        </w:rPr>
        <w:t>0</w:t>
      </w:r>
      <w:r>
        <w:rPr>
          <w:sz w:val="24"/>
          <w:szCs w:val="22"/>
        </w:rPr>
        <w:t>1</w:t>
      </w:r>
      <w:r>
        <w:rPr>
          <w:sz w:val="24"/>
          <w:szCs w:val="22"/>
        </w:rPr>
        <w:t>）和暖绳菌属</w:t>
      </w:r>
      <w:r>
        <w:rPr>
          <w:sz w:val="24"/>
          <w:szCs w:val="22"/>
        </w:rPr>
        <w:t>(</w:t>
      </w:r>
      <w:proofErr w:type="spellStart"/>
      <w:r>
        <w:rPr>
          <w:i/>
          <w:iCs/>
          <w:sz w:val="24"/>
          <w:szCs w:val="22"/>
        </w:rPr>
        <w:t>Caldilinea</w:t>
      </w:r>
      <w:proofErr w:type="spellEnd"/>
      <w:r>
        <w:rPr>
          <w:sz w:val="24"/>
          <w:szCs w:val="22"/>
        </w:rPr>
        <w:t>)(LDA=3.60,</w:t>
      </w:r>
      <w:r>
        <w:rPr>
          <w:i/>
          <w:iCs/>
          <w:sz w:val="24"/>
          <w:szCs w:val="22"/>
        </w:rPr>
        <w:t>P</w:t>
      </w:r>
      <w:r>
        <w:rPr>
          <w:sz w:val="24"/>
          <w:szCs w:val="22"/>
        </w:rPr>
        <w:t>&lt;</w:t>
      </w:r>
      <w:r>
        <w:rPr>
          <w:rFonts w:hint="eastAsia"/>
          <w:sz w:val="24"/>
          <w:szCs w:val="22"/>
        </w:rPr>
        <w:t>0</w:t>
      </w:r>
      <w:r>
        <w:rPr>
          <w:sz w:val="24"/>
          <w:szCs w:val="22"/>
        </w:rPr>
        <w:t>.01)</w:t>
      </w:r>
      <w:r>
        <w:rPr>
          <w:sz w:val="24"/>
          <w:szCs w:val="22"/>
        </w:rPr>
        <w:t>，</w:t>
      </w:r>
      <w:r>
        <w:rPr>
          <w:sz w:val="24"/>
          <w:szCs w:val="22"/>
        </w:rPr>
        <w:t>CPC32</w:t>
      </w:r>
      <w:r>
        <w:rPr>
          <w:sz w:val="24"/>
          <w:szCs w:val="22"/>
        </w:rPr>
        <w:t>组优势菌属为另杆菌属（</w:t>
      </w:r>
      <w:r>
        <w:rPr>
          <w:sz w:val="24"/>
          <w:szCs w:val="22"/>
        </w:rPr>
        <w:t>LDA=4.35</w:t>
      </w:r>
      <w:r>
        <w:rPr>
          <w:sz w:val="24"/>
          <w:szCs w:val="22"/>
        </w:rPr>
        <w:t>，</w:t>
      </w:r>
      <w:r>
        <w:rPr>
          <w:i/>
          <w:iCs/>
          <w:sz w:val="24"/>
          <w:szCs w:val="22"/>
        </w:rPr>
        <w:t>P</w:t>
      </w:r>
      <w:r>
        <w:rPr>
          <w:sz w:val="24"/>
          <w:szCs w:val="22"/>
        </w:rPr>
        <w:t>&lt;0.01)</w:t>
      </w:r>
      <w:r>
        <w:rPr>
          <w:sz w:val="24"/>
          <w:szCs w:val="22"/>
        </w:rPr>
        <w:t>、</w:t>
      </w:r>
      <w:r>
        <w:rPr>
          <w:sz w:val="24"/>
          <w:szCs w:val="22"/>
        </w:rPr>
        <w:t>R-H.3(LDA=4.27,</w:t>
      </w:r>
      <w:r>
        <w:rPr>
          <w:i/>
          <w:iCs/>
          <w:sz w:val="24"/>
          <w:szCs w:val="22"/>
        </w:rPr>
        <w:t>P</w:t>
      </w:r>
      <w:r>
        <w:rPr>
          <w:sz w:val="24"/>
          <w:szCs w:val="22"/>
        </w:rPr>
        <w:t>=0.01)</w:t>
      </w:r>
      <w:r>
        <w:rPr>
          <w:sz w:val="24"/>
          <w:szCs w:val="22"/>
        </w:rPr>
        <w:t>和普雷沃氏菌属（</w:t>
      </w:r>
      <w:proofErr w:type="spellStart"/>
      <w:r>
        <w:rPr>
          <w:i/>
          <w:iCs/>
          <w:sz w:val="24"/>
          <w:szCs w:val="22"/>
        </w:rPr>
        <w:t>Prevotella</w:t>
      </w:r>
      <w:proofErr w:type="spellEnd"/>
      <w:r>
        <w:rPr>
          <w:sz w:val="24"/>
          <w:szCs w:val="22"/>
        </w:rPr>
        <w:t>)(LDA=3.15,</w:t>
      </w:r>
      <w:r>
        <w:rPr>
          <w:i/>
          <w:iCs/>
          <w:sz w:val="24"/>
          <w:szCs w:val="22"/>
        </w:rPr>
        <w:t>P</w:t>
      </w:r>
      <w:r>
        <w:rPr>
          <w:sz w:val="24"/>
          <w:szCs w:val="22"/>
        </w:rPr>
        <w:t>&lt;0.01)</w:t>
      </w:r>
      <w:r>
        <w:rPr>
          <w:sz w:val="24"/>
          <w:szCs w:val="22"/>
        </w:rPr>
        <w:t>，</w:t>
      </w:r>
      <w:r>
        <w:rPr>
          <w:sz w:val="24"/>
          <w:szCs w:val="22"/>
        </w:rPr>
        <w:t>CPC80</w:t>
      </w:r>
      <w:r>
        <w:rPr>
          <w:sz w:val="24"/>
          <w:szCs w:val="22"/>
        </w:rPr>
        <w:t>组优势菌属为分枝杆菌属（</w:t>
      </w:r>
      <w:r>
        <w:rPr>
          <w:sz w:val="24"/>
          <w:szCs w:val="22"/>
        </w:rPr>
        <w:t>LDA=4.34</w:t>
      </w:r>
      <w:r>
        <w:rPr>
          <w:sz w:val="24"/>
          <w:szCs w:val="22"/>
        </w:rPr>
        <w:t>，</w:t>
      </w:r>
      <w:r>
        <w:rPr>
          <w:i/>
          <w:iCs/>
          <w:sz w:val="24"/>
          <w:szCs w:val="22"/>
        </w:rPr>
        <w:t>P</w:t>
      </w:r>
      <w:r>
        <w:rPr>
          <w:sz w:val="24"/>
          <w:szCs w:val="22"/>
        </w:rPr>
        <w:t>=0.04)</w:t>
      </w:r>
      <w:r>
        <w:rPr>
          <w:sz w:val="24"/>
          <w:szCs w:val="22"/>
        </w:rPr>
        <w:t>、</w:t>
      </w:r>
      <w:r>
        <w:rPr>
          <w:sz w:val="24"/>
          <w:szCs w:val="22"/>
        </w:rPr>
        <w:t>UBA6136(LDA=4.02</w:t>
      </w:r>
      <w:r>
        <w:rPr>
          <w:sz w:val="24"/>
          <w:szCs w:val="22"/>
        </w:rPr>
        <w:t>，</w:t>
      </w:r>
      <w:r>
        <w:rPr>
          <w:i/>
          <w:iCs/>
          <w:sz w:val="24"/>
          <w:szCs w:val="22"/>
        </w:rPr>
        <w:t>P</w:t>
      </w:r>
      <w:r>
        <w:rPr>
          <w:sz w:val="24"/>
          <w:szCs w:val="22"/>
        </w:rPr>
        <w:t>=0.02</w:t>
      </w:r>
      <w:r>
        <w:rPr>
          <w:sz w:val="24"/>
          <w:szCs w:val="22"/>
        </w:rPr>
        <w:t>）、伯克氏菌属</w:t>
      </w:r>
      <w:r>
        <w:rPr>
          <w:sz w:val="24"/>
          <w:szCs w:val="22"/>
        </w:rPr>
        <w:t>(</w:t>
      </w:r>
      <w:proofErr w:type="spellStart"/>
      <w:r>
        <w:rPr>
          <w:i/>
          <w:iCs/>
          <w:sz w:val="24"/>
          <w:szCs w:val="22"/>
        </w:rPr>
        <w:t>Berkiella</w:t>
      </w:r>
      <w:proofErr w:type="spellEnd"/>
      <w:r>
        <w:rPr>
          <w:sz w:val="24"/>
          <w:szCs w:val="22"/>
        </w:rPr>
        <w:t>)(LDA=3.79,</w:t>
      </w:r>
      <w:r>
        <w:rPr>
          <w:i/>
          <w:iCs/>
          <w:sz w:val="24"/>
          <w:szCs w:val="22"/>
        </w:rPr>
        <w:t>P</w:t>
      </w:r>
      <w:r>
        <w:rPr>
          <w:sz w:val="24"/>
          <w:szCs w:val="22"/>
        </w:rPr>
        <w:t>=0.04</w:t>
      </w:r>
      <w:r>
        <w:rPr>
          <w:sz w:val="24"/>
          <w:szCs w:val="22"/>
        </w:rPr>
        <w:t>）、甲基孢囊菌属（</w:t>
      </w:r>
      <w:proofErr w:type="spellStart"/>
      <w:r>
        <w:rPr>
          <w:i/>
          <w:iCs/>
          <w:sz w:val="24"/>
          <w:szCs w:val="22"/>
        </w:rPr>
        <w:t>Methylocystis</w:t>
      </w:r>
      <w:proofErr w:type="spellEnd"/>
      <w:r>
        <w:rPr>
          <w:sz w:val="24"/>
          <w:szCs w:val="22"/>
        </w:rPr>
        <w:t>)</w:t>
      </w:r>
      <w:r>
        <w:rPr>
          <w:sz w:val="24"/>
          <w:szCs w:val="22"/>
        </w:rPr>
        <w:t>（</w:t>
      </w:r>
      <w:r>
        <w:rPr>
          <w:sz w:val="24"/>
          <w:szCs w:val="22"/>
        </w:rPr>
        <w:t>LDA=3.40</w:t>
      </w:r>
      <w:r>
        <w:rPr>
          <w:sz w:val="24"/>
          <w:szCs w:val="22"/>
        </w:rPr>
        <w:t>，</w:t>
      </w:r>
      <w:r>
        <w:rPr>
          <w:i/>
          <w:iCs/>
          <w:sz w:val="24"/>
          <w:szCs w:val="22"/>
        </w:rPr>
        <w:t>P</w:t>
      </w:r>
      <w:r>
        <w:rPr>
          <w:sz w:val="24"/>
          <w:szCs w:val="22"/>
        </w:rPr>
        <w:t>=0.03</w:t>
      </w:r>
      <w:r>
        <w:rPr>
          <w:sz w:val="24"/>
          <w:szCs w:val="22"/>
        </w:rPr>
        <w:t>）、微枝形杆菌属（</w:t>
      </w:r>
      <w:proofErr w:type="spellStart"/>
      <w:r>
        <w:rPr>
          <w:i/>
          <w:iCs/>
          <w:sz w:val="24"/>
          <w:szCs w:val="22"/>
        </w:rPr>
        <w:t>Microvirga</w:t>
      </w:r>
      <w:proofErr w:type="spellEnd"/>
      <w:r>
        <w:rPr>
          <w:sz w:val="24"/>
          <w:szCs w:val="22"/>
        </w:rPr>
        <w:t>)(LDA=3.22</w:t>
      </w:r>
      <w:r>
        <w:rPr>
          <w:sz w:val="24"/>
          <w:szCs w:val="22"/>
        </w:rPr>
        <w:t>，</w:t>
      </w:r>
      <w:r>
        <w:rPr>
          <w:i/>
          <w:iCs/>
          <w:sz w:val="24"/>
          <w:szCs w:val="22"/>
        </w:rPr>
        <w:t>P</w:t>
      </w:r>
      <w:r>
        <w:rPr>
          <w:sz w:val="24"/>
          <w:szCs w:val="22"/>
        </w:rPr>
        <w:t>=0.01)</w:t>
      </w:r>
      <w:r>
        <w:rPr>
          <w:sz w:val="24"/>
          <w:szCs w:val="22"/>
        </w:rPr>
        <w:t>和</w:t>
      </w:r>
      <w:r>
        <w:rPr>
          <w:sz w:val="24"/>
          <w:szCs w:val="22"/>
        </w:rPr>
        <w:t>Ch-</w:t>
      </w:r>
      <w:proofErr w:type="spellStart"/>
      <w:r>
        <w:rPr>
          <w:sz w:val="24"/>
          <w:szCs w:val="22"/>
        </w:rPr>
        <w:t>thoniobacter</w:t>
      </w:r>
      <w:proofErr w:type="spellEnd"/>
      <w:r>
        <w:rPr>
          <w:sz w:val="24"/>
          <w:szCs w:val="22"/>
        </w:rPr>
        <w:t>(LDA=3.04</w:t>
      </w:r>
      <w:r>
        <w:rPr>
          <w:sz w:val="24"/>
          <w:szCs w:val="22"/>
        </w:rPr>
        <w:t>，</w:t>
      </w:r>
      <w:r>
        <w:rPr>
          <w:i/>
          <w:iCs/>
          <w:sz w:val="24"/>
          <w:szCs w:val="22"/>
        </w:rPr>
        <w:t>P</w:t>
      </w:r>
      <w:r>
        <w:rPr>
          <w:sz w:val="24"/>
          <w:szCs w:val="22"/>
        </w:rPr>
        <w:t>=0.03)</w:t>
      </w:r>
      <w:r>
        <w:rPr>
          <w:sz w:val="24"/>
          <w:szCs w:val="22"/>
        </w:rPr>
        <w:t>。</w:t>
      </w:r>
    </w:p>
    <w:p w14:paraId="4130C75A" w14:textId="66B96AB2" w:rsidR="00400E98" w:rsidRDefault="00400E98" w:rsidP="00400E98">
      <w:pPr>
        <w:spacing w:line="360" w:lineRule="auto"/>
        <w:rPr>
          <w:sz w:val="24"/>
          <w:szCs w:val="22"/>
        </w:rPr>
      </w:pPr>
      <w:r>
        <w:rPr>
          <w:sz w:val="24"/>
          <w:szCs w:val="22"/>
        </w:rPr>
        <w:t>3</w:t>
      </w:r>
      <w:r>
        <w:rPr>
          <w:sz w:val="24"/>
          <w:szCs w:val="22"/>
        </w:rPr>
        <w:t>讨论</w:t>
      </w:r>
    </w:p>
    <w:p w14:paraId="075C8C8F" w14:textId="723F2AE4" w:rsidR="00400E98" w:rsidRDefault="00400E98" w:rsidP="00400E98">
      <w:pPr>
        <w:spacing w:line="360" w:lineRule="auto"/>
        <w:rPr>
          <w:sz w:val="24"/>
          <w:szCs w:val="22"/>
        </w:rPr>
      </w:pPr>
      <w:r>
        <w:rPr>
          <w:sz w:val="24"/>
          <w:szCs w:val="22"/>
        </w:rPr>
        <w:t>3.1</w:t>
      </w:r>
      <w:r>
        <w:rPr>
          <w:sz w:val="24"/>
          <w:szCs w:val="22"/>
        </w:rPr>
        <w:t>棉籽浓缩蛋白替代鱼粉对大鳞副泥鳅生长性能的影响</w:t>
      </w:r>
    </w:p>
    <w:p w14:paraId="0488FAA8" w14:textId="7B819724" w:rsidR="00400E98" w:rsidRDefault="00400E98" w:rsidP="00400E98">
      <w:pPr>
        <w:spacing w:line="360" w:lineRule="auto"/>
        <w:ind w:firstLineChars="200" w:firstLine="480"/>
        <w:rPr>
          <w:sz w:val="24"/>
          <w:szCs w:val="22"/>
        </w:rPr>
      </w:pPr>
      <w:r>
        <w:rPr>
          <w:sz w:val="24"/>
          <w:szCs w:val="22"/>
        </w:rPr>
        <w:t>研究表明，适量棉籽浓缩蛋白可以替代部分鱼粉而不影响鱼体的正常生长，过量替代则会抑制降低动物的生长性能</w:t>
      </w:r>
      <w:r>
        <w:rPr>
          <w:sz w:val="24"/>
          <w:szCs w:val="22"/>
          <w:vertAlign w:val="superscript"/>
        </w:rPr>
        <w:t>[15</w:t>
      </w:r>
      <w:r>
        <w:rPr>
          <w:rFonts w:hint="eastAsia"/>
          <w:sz w:val="24"/>
          <w:szCs w:val="22"/>
          <w:vertAlign w:val="superscript"/>
        </w:rPr>
        <w:t>,</w:t>
      </w:r>
      <w:r>
        <w:rPr>
          <w:sz w:val="24"/>
          <w:szCs w:val="22"/>
          <w:vertAlign w:val="superscript"/>
        </w:rPr>
        <w:t>18-19]</w:t>
      </w:r>
      <w:r>
        <w:rPr>
          <w:sz w:val="24"/>
          <w:szCs w:val="22"/>
        </w:rPr>
        <w:t>。棉籽浓缩蛋白中主要的抗营养因子为游离棉酚</w:t>
      </w:r>
      <w:r>
        <w:rPr>
          <w:rFonts w:hint="eastAsia"/>
          <w:sz w:val="24"/>
          <w:szCs w:val="22"/>
          <w:vertAlign w:val="superscript"/>
        </w:rPr>
        <w:t>[</w:t>
      </w:r>
      <w:r>
        <w:rPr>
          <w:sz w:val="24"/>
          <w:szCs w:val="22"/>
          <w:vertAlign w:val="superscript"/>
        </w:rPr>
        <w:t>23]</w:t>
      </w:r>
      <w:r>
        <w:rPr>
          <w:sz w:val="24"/>
          <w:szCs w:val="22"/>
        </w:rPr>
        <w:t>，相较于陆栖动物而言，鱼类对棉酚的耐受度更高，根据相关标准</w:t>
      </w:r>
      <w:r>
        <w:rPr>
          <w:sz w:val="24"/>
          <w:szCs w:val="22"/>
        </w:rPr>
        <w:t>[</w:t>
      </w:r>
      <w:r>
        <w:rPr>
          <w:sz w:val="24"/>
          <w:szCs w:val="22"/>
        </w:rPr>
        <w:t>饲料卫生标准（</w:t>
      </w:r>
      <w:r>
        <w:rPr>
          <w:sz w:val="24"/>
          <w:szCs w:val="22"/>
        </w:rPr>
        <w:t>GB13078-2017</w:t>
      </w:r>
      <w:r>
        <w:rPr>
          <w:sz w:val="24"/>
          <w:szCs w:val="22"/>
        </w:rPr>
        <w:t>）和《无公害食品渔用配合饲料安全限量》（</w:t>
      </w:r>
      <w:r>
        <w:rPr>
          <w:sz w:val="24"/>
          <w:szCs w:val="22"/>
        </w:rPr>
        <w:t>NY5072-2002</w:t>
      </w:r>
      <w:r>
        <w:rPr>
          <w:sz w:val="24"/>
          <w:szCs w:val="22"/>
        </w:rPr>
        <w:t>）</w:t>
      </w:r>
      <w:r>
        <w:rPr>
          <w:sz w:val="24"/>
          <w:szCs w:val="22"/>
        </w:rPr>
        <w:t>]</w:t>
      </w:r>
      <w:r>
        <w:rPr>
          <w:sz w:val="24"/>
          <w:szCs w:val="22"/>
        </w:rPr>
        <w:t>，鱼类饲料中棉酚的安全使用量应低于</w:t>
      </w:r>
      <w:r>
        <w:rPr>
          <w:sz w:val="24"/>
          <w:szCs w:val="22"/>
        </w:rPr>
        <w:t>150mg/kg</w:t>
      </w:r>
      <w:r>
        <w:rPr>
          <w:sz w:val="24"/>
          <w:szCs w:val="22"/>
        </w:rPr>
        <w:t>，不同的鱼类对棉酚的敏感度不同，过高的棉酚会引起中毒</w:t>
      </w:r>
      <w:r>
        <w:rPr>
          <w:sz w:val="24"/>
          <w:szCs w:val="22"/>
          <w:vertAlign w:val="superscript"/>
        </w:rPr>
        <w:t>[24]</w:t>
      </w:r>
      <w:r>
        <w:rPr>
          <w:sz w:val="24"/>
          <w:szCs w:val="22"/>
        </w:rPr>
        <w:t>，棉酚中毒一般表现为生长受阻、营养不良以及引发肠胃炎等消化道疾病</w:t>
      </w:r>
      <w:r>
        <w:rPr>
          <w:sz w:val="24"/>
          <w:szCs w:val="22"/>
          <w:vertAlign w:val="superscript"/>
        </w:rPr>
        <w:t>[25]</w:t>
      </w:r>
      <w:r>
        <w:rPr>
          <w:sz w:val="24"/>
          <w:szCs w:val="22"/>
        </w:rPr>
        <w:t>。</w:t>
      </w:r>
      <w:r>
        <w:rPr>
          <w:sz w:val="24"/>
          <w:szCs w:val="22"/>
        </w:rPr>
        <w:t>Li</w:t>
      </w:r>
      <w:r>
        <w:rPr>
          <w:sz w:val="24"/>
          <w:szCs w:val="22"/>
        </w:rPr>
        <w:t>等</w:t>
      </w:r>
      <w:r>
        <w:rPr>
          <w:sz w:val="24"/>
          <w:szCs w:val="22"/>
          <w:vertAlign w:val="superscript"/>
        </w:rPr>
        <w:t>[26]</w:t>
      </w:r>
      <w:r>
        <w:rPr>
          <w:sz w:val="24"/>
          <w:szCs w:val="22"/>
        </w:rPr>
        <w:t>研究表明，棉籽浓缩蛋白替代</w:t>
      </w:r>
      <w:r>
        <w:rPr>
          <w:sz w:val="24"/>
          <w:szCs w:val="22"/>
        </w:rPr>
        <w:t>30%</w:t>
      </w:r>
      <w:r>
        <w:rPr>
          <w:sz w:val="24"/>
          <w:szCs w:val="22"/>
        </w:rPr>
        <w:t>及以下的豆粕（游离棉酚含量为</w:t>
      </w:r>
      <w:r>
        <w:rPr>
          <w:sz w:val="24"/>
          <w:szCs w:val="22"/>
        </w:rPr>
        <w:t>37.21mg/kg</w:t>
      </w:r>
      <w:r>
        <w:rPr>
          <w:sz w:val="24"/>
          <w:szCs w:val="22"/>
        </w:rPr>
        <w:t>）不会影响尼罗罗非鱼（</w:t>
      </w:r>
      <w:r>
        <w:rPr>
          <w:i/>
          <w:iCs/>
          <w:sz w:val="24"/>
          <w:szCs w:val="22"/>
        </w:rPr>
        <w:t>Oreochromis</w:t>
      </w:r>
      <w:r>
        <w:rPr>
          <w:rFonts w:hint="eastAsia"/>
          <w:i/>
          <w:iCs/>
          <w:sz w:val="24"/>
          <w:szCs w:val="22"/>
        </w:rPr>
        <w:t xml:space="preserve"> </w:t>
      </w:r>
      <w:r>
        <w:rPr>
          <w:i/>
          <w:iCs/>
          <w:sz w:val="24"/>
          <w:szCs w:val="22"/>
        </w:rPr>
        <w:t>niloticus</w:t>
      </w:r>
      <w:r>
        <w:rPr>
          <w:sz w:val="24"/>
          <w:szCs w:val="22"/>
        </w:rPr>
        <w:t>)</w:t>
      </w:r>
      <w:r>
        <w:rPr>
          <w:sz w:val="24"/>
          <w:szCs w:val="22"/>
        </w:rPr>
        <w:t>生长状况。</w:t>
      </w:r>
      <w:r>
        <w:rPr>
          <w:sz w:val="24"/>
          <w:szCs w:val="22"/>
        </w:rPr>
        <w:t>Liu</w:t>
      </w:r>
      <w:r>
        <w:rPr>
          <w:sz w:val="24"/>
          <w:szCs w:val="22"/>
        </w:rPr>
        <w:t>等</w:t>
      </w:r>
      <w:r>
        <w:rPr>
          <w:sz w:val="24"/>
          <w:szCs w:val="22"/>
          <w:vertAlign w:val="superscript"/>
        </w:rPr>
        <w:t>[15]</w:t>
      </w:r>
      <w:r>
        <w:rPr>
          <w:sz w:val="24"/>
          <w:szCs w:val="22"/>
        </w:rPr>
        <w:t>研究表明，棉籽浓缩蛋白替代</w:t>
      </w:r>
      <w:r>
        <w:rPr>
          <w:sz w:val="24"/>
          <w:szCs w:val="22"/>
        </w:rPr>
        <w:t>25%</w:t>
      </w:r>
      <w:r>
        <w:rPr>
          <w:sz w:val="24"/>
          <w:szCs w:val="22"/>
        </w:rPr>
        <w:t>和</w:t>
      </w:r>
      <w:r>
        <w:rPr>
          <w:sz w:val="24"/>
          <w:szCs w:val="22"/>
        </w:rPr>
        <w:t>50%</w:t>
      </w:r>
      <w:r>
        <w:rPr>
          <w:sz w:val="24"/>
          <w:szCs w:val="22"/>
        </w:rPr>
        <w:t>鱼粉（游离棉酚含量</w:t>
      </w:r>
      <w:r>
        <w:rPr>
          <w:sz w:val="24"/>
          <w:szCs w:val="22"/>
        </w:rPr>
        <w:t>&lt;151mg/kg</w:t>
      </w:r>
      <w:r>
        <w:rPr>
          <w:sz w:val="24"/>
          <w:szCs w:val="22"/>
        </w:rPr>
        <w:t>）对大口黑鲈生长性能无显著影响，替代</w:t>
      </w:r>
      <w:r>
        <w:rPr>
          <w:sz w:val="24"/>
          <w:szCs w:val="22"/>
        </w:rPr>
        <w:t>75%</w:t>
      </w:r>
      <w:r>
        <w:rPr>
          <w:sz w:val="24"/>
          <w:szCs w:val="22"/>
        </w:rPr>
        <w:t>鱼粉（游离棉酚含量为</w:t>
      </w:r>
      <w:r>
        <w:rPr>
          <w:sz w:val="24"/>
          <w:szCs w:val="22"/>
        </w:rPr>
        <w:t>284mg/kg</w:t>
      </w:r>
      <w:r>
        <w:rPr>
          <w:sz w:val="24"/>
          <w:szCs w:val="22"/>
        </w:rPr>
        <w:t>）则显著降低了鱼体的生长性能。</w:t>
      </w:r>
      <w:r>
        <w:rPr>
          <w:sz w:val="24"/>
          <w:szCs w:val="22"/>
        </w:rPr>
        <w:t>Chen</w:t>
      </w:r>
      <w:r>
        <w:rPr>
          <w:sz w:val="24"/>
          <w:szCs w:val="22"/>
        </w:rPr>
        <w:t>等</w:t>
      </w:r>
      <w:r>
        <w:rPr>
          <w:sz w:val="24"/>
          <w:szCs w:val="22"/>
          <w:vertAlign w:val="superscript"/>
        </w:rPr>
        <w:t>[19]</w:t>
      </w:r>
      <w:r>
        <w:rPr>
          <w:sz w:val="24"/>
          <w:szCs w:val="22"/>
        </w:rPr>
        <w:t>研究表明，低于</w:t>
      </w:r>
      <w:r>
        <w:rPr>
          <w:sz w:val="24"/>
          <w:szCs w:val="22"/>
        </w:rPr>
        <w:t>60%</w:t>
      </w:r>
      <w:r>
        <w:rPr>
          <w:sz w:val="24"/>
          <w:szCs w:val="22"/>
        </w:rPr>
        <w:t>的脱酚棉籽蛋白可以替代大黄鱼幼鱼饲料中的鱼粉而不显著抑制生长性能。在卵形鲳爹的研究中发现，浓缩棉籽蛋白的替代比例在</w:t>
      </w:r>
      <w:r>
        <w:rPr>
          <w:sz w:val="24"/>
          <w:szCs w:val="22"/>
        </w:rPr>
        <w:t>36%</w:t>
      </w:r>
      <w:r>
        <w:rPr>
          <w:sz w:val="24"/>
          <w:szCs w:val="22"/>
        </w:rPr>
        <w:t>以内，对</w:t>
      </w:r>
      <w:r>
        <w:rPr>
          <w:sz w:val="24"/>
          <w:szCs w:val="22"/>
        </w:rPr>
        <w:t>WGR</w:t>
      </w:r>
      <w:r>
        <w:rPr>
          <w:sz w:val="24"/>
          <w:szCs w:val="22"/>
        </w:rPr>
        <w:t>和</w:t>
      </w:r>
      <w:r>
        <w:rPr>
          <w:sz w:val="24"/>
          <w:szCs w:val="22"/>
        </w:rPr>
        <w:t>SGR</w:t>
      </w:r>
      <w:r>
        <w:rPr>
          <w:sz w:val="24"/>
          <w:szCs w:val="22"/>
        </w:rPr>
        <w:t>影响不显著，超过</w:t>
      </w:r>
      <w:r>
        <w:rPr>
          <w:sz w:val="24"/>
          <w:szCs w:val="22"/>
        </w:rPr>
        <w:t>48%</w:t>
      </w:r>
      <w:r>
        <w:rPr>
          <w:sz w:val="24"/>
          <w:szCs w:val="22"/>
        </w:rPr>
        <w:t>的替代比例则会降低生长性能</w:t>
      </w:r>
      <w:r>
        <w:rPr>
          <w:sz w:val="24"/>
          <w:szCs w:val="22"/>
          <w:vertAlign w:val="superscript"/>
        </w:rPr>
        <w:t>[18]</w:t>
      </w:r>
      <w:r>
        <w:rPr>
          <w:sz w:val="24"/>
          <w:szCs w:val="22"/>
        </w:rPr>
        <w:t>。上述研究说明，适宜的棉籽浓缩蛋白不会对水产动物生长方面产生负面影响。本研究结果表明，棉籽浓缩蛋白替代</w:t>
      </w:r>
      <w:r>
        <w:rPr>
          <w:sz w:val="24"/>
          <w:szCs w:val="22"/>
        </w:rPr>
        <w:t>44%</w:t>
      </w:r>
      <w:r>
        <w:rPr>
          <w:sz w:val="24"/>
          <w:szCs w:val="22"/>
        </w:rPr>
        <w:t>及以下的鱼粉对大鳞副泥鳅生长性能无显著影响，替代</w:t>
      </w:r>
      <w:r>
        <w:rPr>
          <w:sz w:val="24"/>
          <w:szCs w:val="22"/>
        </w:rPr>
        <w:t>56%</w:t>
      </w:r>
      <w:r>
        <w:rPr>
          <w:sz w:val="24"/>
          <w:szCs w:val="22"/>
        </w:rPr>
        <w:t>及以上的鱼粉则显著降低了大鳞副泥鳅的</w:t>
      </w:r>
      <w:r>
        <w:rPr>
          <w:sz w:val="24"/>
          <w:szCs w:val="22"/>
        </w:rPr>
        <w:t>WGR</w:t>
      </w:r>
      <w:r>
        <w:rPr>
          <w:sz w:val="24"/>
          <w:szCs w:val="22"/>
        </w:rPr>
        <w:t>、</w:t>
      </w:r>
      <w:r>
        <w:rPr>
          <w:sz w:val="24"/>
          <w:szCs w:val="22"/>
        </w:rPr>
        <w:t>SGR</w:t>
      </w:r>
      <w:r>
        <w:rPr>
          <w:sz w:val="24"/>
          <w:szCs w:val="22"/>
        </w:rPr>
        <w:t>、</w:t>
      </w:r>
      <w:r>
        <w:rPr>
          <w:sz w:val="24"/>
          <w:szCs w:val="22"/>
        </w:rPr>
        <w:t>HSI</w:t>
      </w:r>
      <w:r>
        <w:rPr>
          <w:sz w:val="24"/>
          <w:szCs w:val="22"/>
        </w:rPr>
        <w:t>和</w:t>
      </w:r>
      <w:r>
        <w:rPr>
          <w:sz w:val="24"/>
          <w:szCs w:val="22"/>
        </w:rPr>
        <w:t>VSI</w:t>
      </w:r>
      <w:r>
        <w:rPr>
          <w:sz w:val="24"/>
          <w:szCs w:val="22"/>
        </w:rPr>
        <w:t>，抑制了大鳞副泥鳅的生长。其主要原因可能是随着棉籽浓缩蛋白替代比例的提高，游离棉酚等抗营养因子含量增加，造成动物机体损伤，机体对营养物质的消化吸收能力下降，出现生长受阻现象</w:t>
      </w:r>
      <w:r>
        <w:rPr>
          <w:sz w:val="24"/>
          <w:szCs w:val="22"/>
          <w:vertAlign w:val="superscript"/>
        </w:rPr>
        <w:t>[25]</w:t>
      </w:r>
      <w:r>
        <w:rPr>
          <w:sz w:val="24"/>
          <w:szCs w:val="22"/>
        </w:rPr>
        <w:t>。棉籽浓缩蛋白具有游离棉酚含量低、蛋白质含量高以及精氨酸</w:t>
      </w:r>
      <w:r>
        <w:rPr>
          <w:sz w:val="24"/>
          <w:szCs w:val="22"/>
        </w:rPr>
        <w:lastRenderedPageBreak/>
        <w:t>和谷氨酸含量高的特点</w:t>
      </w:r>
      <w:r>
        <w:rPr>
          <w:sz w:val="24"/>
          <w:szCs w:val="22"/>
          <w:vertAlign w:val="superscript"/>
        </w:rPr>
        <w:t>[23]</w:t>
      </w:r>
      <w:r>
        <w:rPr>
          <w:sz w:val="24"/>
          <w:szCs w:val="22"/>
        </w:rPr>
        <w:t>，在黄颡鱼（</w:t>
      </w:r>
      <w:proofErr w:type="spellStart"/>
      <w:r>
        <w:rPr>
          <w:i/>
          <w:iCs/>
          <w:sz w:val="24"/>
          <w:szCs w:val="22"/>
        </w:rPr>
        <w:t>Pelteobagrus</w:t>
      </w:r>
      <w:proofErr w:type="spellEnd"/>
      <w:r>
        <w:rPr>
          <w:rFonts w:hint="eastAsia"/>
          <w:i/>
          <w:iCs/>
          <w:sz w:val="24"/>
          <w:szCs w:val="22"/>
        </w:rPr>
        <w:t xml:space="preserve"> </w:t>
      </w:r>
      <w:proofErr w:type="spellStart"/>
      <w:r>
        <w:rPr>
          <w:i/>
          <w:iCs/>
          <w:sz w:val="24"/>
          <w:szCs w:val="22"/>
        </w:rPr>
        <w:t>fulvidraco</w:t>
      </w:r>
      <w:proofErr w:type="spellEnd"/>
      <w:r>
        <w:rPr>
          <w:sz w:val="24"/>
          <w:szCs w:val="22"/>
        </w:rPr>
        <w:t>)</w:t>
      </w:r>
      <w:r>
        <w:rPr>
          <w:sz w:val="24"/>
          <w:szCs w:val="22"/>
        </w:rPr>
        <w:t>幼鱼</w:t>
      </w:r>
      <w:r>
        <w:rPr>
          <w:sz w:val="24"/>
          <w:szCs w:val="22"/>
          <w:vertAlign w:val="superscript"/>
        </w:rPr>
        <w:t>[27]</w:t>
      </w:r>
      <w:r>
        <w:rPr>
          <w:sz w:val="24"/>
          <w:szCs w:val="22"/>
        </w:rPr>
        <w:t>、许氏平触</w:t>
      </w:r>
      <w:r>
        <w:rPr>
          <w:sz w:val="24"/>
          <w:szCs w:val="22"/>
        </w:rPr>
        <w:t>(</w:t>
      </w:r>
      <w:r>
        <w:rPr>
          <w:i/>
          <w:iCs/>
          <w:sz w:val="24"/>
          <w:szCs w:val="22"/>
        </w:rPr>
        <w:t>Sebastes</w:t>
      </w:r>
      <w:r>
        <w:rPr>
          <w:rFonts w:hint="eastAsia"/>
          <w:i/>
          <w:iCs/>
          <w:sz w:val="24"/>
          <w:szCs w:val="22"/>
        </w:rPr>
        <w:t xml:space="preserve"> </w:t>
      </w:r>
      <w:r>
        <w:rPr>
          <w:i/>
          <w:iCs/>
          <w:sz w:val="24"/>
          <w:szCs w:val="22"/>
        </w:rPr>
        <w:t>schlegelii</w:t>
      </w:r>
      <w:r>
        <w:rPr>
          <w:sz w:val="24"/>
          <w:szCs w:val="22"/>
        </w:rPr>
        <w:t>)</w:t>
      </w:r>
      <w:r>
        <w:rPr>
          <w:sz w:val="24"/>
          <w:szCs w:val="22"/>
        </w:rPr>
        <w:t>幼鱼</w:t>
      </w:r>
      <w:r>
        <w:rPr>
          <w:sz w:val="24"/>
          <w:szCs w:val="22"/>
          <w:vertAlign w:val="superscript"/>
        </w:rPr>
        <w:t>[28]</w:t>
      </w:r>
      <w:r>
        <w:rPr>
          <w:sz w:val="24"/>
          <w:szCs w:val="22"/>
        </w:rPr>
        <w:t>中的研究表明，饲料中精氨酸含量过高对其生长产生了显著抑制，同时精氨酸与赖氨酸存在拮抗作用，精氨酸含量过高会影响赖氨酸的利用率</w:t>
      </w:r>
      <w:r>
        <w:rPr>
          <w:sz w:val="24"/>
          <w:szCs w:val="22"/>
          <w:vertAlign w:val="superscript"/>
        </w:rPr>
        <w:t>[29]</w:t>
      </w:r>
      <w:r>
        <w:rPr>
          <w:sz w:val="24"/>
          <w:szCs w:val="22"/>
        </w:rPr>
        <w:t>。此外，游离棉酚具有与赖氨酸结合的特性</w:t>
      </w:r>
      <w:r w:rsidR="006E3BBC">
        <w:rPr>
          <w:sz w:val="24"/>
          <w:szCs w:val="22"/>
        </w:rPr>
        <w:t>,</w:t>
      </w:r>
      <w:r>
        <w:rPr>
          <w:sz w:val="24"/>
          <w:szCs w:val="22"/>
        </w:rPr>
        <w:t>同样会降低赖氨酸的利用率</w:t>
      </w:r>
      <w:r>
        <w:rPr>
          <w:sz w:val="24"/>
          <w:szCs w:val="22"/>
          <w:vertAlign w:val="superscript"/>
        </w:rPr>
        <w:t>[30]</w:t>
      </w:r>
      <w:r>
        <w:rPr>
          <w:sz w:val="24"/>
          <w:szCs w:val="22"/>
        </w:rPr>
        <w:t>。本试验采用</w:t>
      </w:r>
      <w:r>
        <w:rPr>
          <w:sz w:val="24"/>
          <w:szCs w:val="22"/>
        </w:rPr>
        <w:t>WGR</w:t>
      </w:r>
      <w:r>
        <w:rPr>
          <w:sz w:val="24"/>
          <w:szCs w:val="22"/>
        </w:rPr>
        <w:t>与棉籽浓缩蛋白替代比例作双折线回归分析发现</w:t>
      </w:r>
      <w:r w:rsidR="006E3BBC">
        <w:rPr>
          <w:sz w:val="24"/>
          <w:szCs w:val="22"/>
        </w:rPr>
        <w:t>,</w:t>
      </w:r>
      <w:r>
        <w:rPr>
          <w:sz w:val="24"/>
          <w:szCs w:val="22"/>
        </w:rPr>
        <w:t>本试验中棉籽浓缩蛋白替代鱼粉的适宜比例为</w:t>
      </w:r>
      <w:r>
        <w:rPr>
          <w:sz w:val="24"/>
          <w:szCs w:val="22"/>
        </w:rPr>
        <w:t>30.46%</w:t>
      </w:r>
      <w:r>
        <w:rPr>
          <w:sz w:val="24"/>
          <w:szCs w:val="22"/>
        </w:rPr>
        <w:t>。</w:t>
      </w:r>
    </w:p>
    <w:p w14:paraId="1604B50F" w14:textId="77777777" w:rsidR="00400E98" w:rsidRDefault="00400E98" w:rsidP="00400E98">
      <w:pPr>
        <w:spacing w:line="360" w:lineRule="auto"/>
        <w:jc w:val="center"/>
        <w:rPr>
          <w:sz w:val="24"/>
          <w:szCs w:val="22"/>
        </w:rPr>
      </w:pPr>
      <w:r>
        <w:rPr>
          <w:rFonts w:ascii="宋体" w:hAnsi="宋体" w:cs="宋体"/>
          <w:noProof/>
          <w:sz w:val="24"/>
        </w:rPr>
        <w:drawing>
          <wp:inline distT="0" distB="0" distL="114300" distR="114300" wp14:anchorId="1FBAB784" wp14:editId="32D9016B">
            <wp:extent cx="5687714" cy="3876675"/>
            <wp:effectExtent l="0" t="0" r="825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4"/>
                    <a:stretch>
                      <a:fillRect/>
                    </a:stretch>
                  </pic:blipFill>
                  <pic:spPr>
                    <a:xfrm>
                      <a:off x="0" y="0"/>
                      <a:ext cx="5697510" cy="3883352"/>
                    </a:xfrm>
                    <a:prstGeom prst="rect">
                      <a:avLst/>
                    </a:prstGeom>
                    <a:noFill/>
                    <a:ln w="9525">
                      <a:noFill/>
                    </a:ln>
                  </pic:spPr>
                </pic:pic>
              </a:graphicData>
            </a:graphic>
          </wp:inline>
        </w:drawing>
      </w:r>
    </w:p>
    <w:p w14:paraId="4DA2B280" w14:textId="4A1838F7" w:rsidR="00400E98" w:rsidRDefault="00400E98" w:rsidP="00400E98">
      <w:pPr>
        <w:spacing w:line="360" w:lineRule="auto"/>
        <w:rPr>
          <w:sz w:val="24"/>
          <w:szCs w:val="22"/>
        </w:rPr>
      </w:pPr>
      <w:r>
        <w:rPr>
          <w:sz w:val="24"/>
          <w:szCs w:val="22"/>
        </w:rPr>
        <w:t>3.2</w:t>
      </w:r>
      <w:r>
        <w:rPr>
          <w:sz w:val="24"/>
          <w:szCs w:val="22"/>
        </w:rPr>
        <w:t>棉籽浓缩蛋白替代鱼粉对大鳞副泥鳅血清生化和免疫指标的影响</w:t>
      </w:r>
    </w:p>
    <w:p w14:paraId="75A6BF39" w14:textId="77777777" w:rsidR="00400E98" w:rsidRDefault="00400E98" w:rsidP="00400E98">
      <w:pPr>
        <w:spacing w:line="360" w:lineRule="auto"/>
        <w:ind w:firstLineChars="200" w:firstLine="480"/>
        <w:rPr>
          <w:sz w:val="24"/>
          <w:szCs w:val="22"/>
        </w:rPr>
      </w:pPr>
      <w:r>
        <w:rPr>
          <w:sz w:val="24"/>
          <w:szCs w:val="22"/>
        </w:rPr>
        <w:t>血清生化指标可以反映机体代谢情况、健康状态以及营养状况</w:t>
      </w:r>
      <w:r>
        <w:rPr>
          <w:sz w:val="24"/>
          <w:szCs w:val="22"/>
          <w:vertAlign w:val="superscript"/>
        </w:rPr>
        <w:t>[31]</w:t>
      </w:r>
      <w:r>
        <w:rPr>
          <w:sz w:val="24"/>
          <w:szCs w:val="22"/>
        </w:rPr>
        <w:t>。血清</w:t>
      </w:r>
      <w:r>
        <w:rPr>
          <w:sz w:val="24"/>
          <w:szCs w:val="22"/>
        </w:rPr>
        <w:t>GLU</w:t>
      </w:r>
      <w:r>
        <w:rPr>
          <w:sz w:val="24"/>
          <w:szCs w:val="22"/>
        </w:rPr>
        <w:t>含量是反映鱼体整体健康状况水平的重要指标之一</w:t>
      </w:r>
      <w:r>
        <w:rPr>
          <w:sz w:val="24"/>
          <w:szCs w:val="22"/>
          <w:vertAlign w:val="superscript"/>
        </w:rPr>
        <w:t>[32]</w:t>
      </w:r>
      <w:r>
        <w:rPr>
          <w:sz w:val="24"/>
          <w:szCs w:val="22"/>
        </w:rPr>
        <w:t>。本试验中，</w:t>
      </w:r>
      <w:r>
        <w:rPr>
          <w:sz w:val="24"/>
          <w:szCs w:val="22"/>
        </w:rPr>
        <w:t>44%</w:t>
      </w:r>
      <w:r>
        <w:rPr>
          <w:sz w:val="24"/>
          <w:szCs w:val="22"/>
        </w:rPr>
        <w:t>及以上的棉籽浓缩蛋白替代鱼粉显著降低大鳞副泥鳅血清</w:t>
      </w:r>
      <w:r>
        <w:rPr>
          <w:sz w:val="24"/>
          <w:szCs w:val="22"/>
        </w:rPr>
        <w:t>GLU</w:t>
      </w:r>
      <w:r>
        <w:rPr>
          <w:sz w:val="24"/>
          <w:szCs w:val="22"/>
        </w:rPr>
        <w:t>含量，这与申建飞等</w:t>
      </w:r>
      <w:r>
        <w:rPr>
          <w:sz w:val="24"/>
          <w:szCs w:val="22"/>
          <w:vertAlign w:val="superscript"/>
        </w:rPr>
        <w:t>[18]</w:t>
      </w:r>
      <w:r>
        <w:rPr>
          <w:sz w:val="24"/>
          <w:szCs w:val="22"/>
        </w:rPr>
        <w:t>、</w:t>
      </w:r>
      <w:r>
        <w:rPr>
          <w:sz w:val="24"/>
          <w:szCs w:val="22"/>
        </w:rPr>
        <w:t>Xu</w:t>
      </w:r>
      <w:r>
        <w:rPr>
          <w:sz w:val="24"/>
          <w:szCs w:val="22"/>
        </w:rPr>
        <w:t>等</w:t>
      </w:r>
      <w:r>
        <w:rPr>
          <w:sz w:val="24"/>
          <w:szCs w:val="22"/>
          <w:vertAlign w:val="superscript"/>
        </w:rPr>
        <w:t>[32]</w:t>
      </w:r>
      <w:r>
        <w:rPr>
          <w:sz w:val="24"/>
          <w:szCs w:val="22"/>
        </w:rPr>
        <w:t>的研究结果一致，可能是由于棉籽浓缩蛋白替代比例过高，饲料中抗营养因子含量会增加，导致大鳞副泥鳅肝脏中糖代谢受损</w:t>
      </w:r>
      <w:r>
        <w:rPr>
          <w:sz w:val="24"/>
          <w:szCs w:val="22"/>
          <w:vertAlign w:val="superscript"/>
        </w:rPr>
        <w:t>[33</w:t>
      </w:r>
      <w:r>
        <w:rPr>
          <w:rFonts w:hint="eastAsia"/>
          <w:sz w:val="24"/>
          <w:szCs w:val="22"/>
          <w:vertAlign w:val="superscript"/>
        </w:rPr>
        <w:t>]</w:t>
      </w:r>
      <w:r>
        <w:rPr>
          <w:sz w:val="24"/>
          <w:szCs w:val="22"/>
        </w:rPr>
        <w:t>。</w:t>
      </w:r>
      <w:r>
        <w:rPr>
          <w:sz w:val="24"/>
          <w:szCs w:val="22"/>
        </w:rPr>
        <w:t>HDL-C</w:t>
      </w:r>
      <w:r>
        <w:rPr>
          <w:sz w:val="24"/>
          <w:szCs w:val="22"/>
        </w:rPr>
        <w:t>能将肝脏外的胆固醇输入肝脏进行分解，加快脂质的运转</w:t>
      </w:r>
      <w:r>
        <w:rPr>
          <w:sz w:val="24"/>
          <w:szCs w:val="22"/>
          <w:vertAlign w:val="superscript"/>
        </w:rPr>
        <w:t>[34-35</w:t>
      </w:r>
      <w:r>
        <w:rPr>
          <w:rFonts w:hint="eastAsia"/>
          <w:sz w:val="24"/>
          <w:szCs w:val="22"/>
          <w:vertAlign w:val="superscript"/>
        </w:rPr>
        <w:t>]</w:t>
      </w:r>
      <w:r>
        <w:rPr>
          <w:sz w:val="24"/>
          <w:szCs w:val="22"/>
        </w:rPr>
        <w:t>。研究表明，棉籽粕替代鱼粉能显著降低血清</w:t>
      </w:r>
      <w:r>
        <w:rPr>
          <w:sz w:val="24"/>
          <w:szCs w:val="22"/>
        </w:rPr>
        <w:t>HDL-C</w:t>
      </w:r>
      <w:r>
        <w:rPr>
          <w:sz w:val="24"/>
          <w:szCs w:val="22"/>
        </w:rPr>
        <w:t>含量，影响脂质代谢</w:t>
      </w:r>
      <w:r>
        <w:rPr>
          <w:sz w:val="24"/>
          <w:szCs w:val="22"/>
          <w:vertAlign w:val="superscript"/>
        </w:rPr>
        <w:t>[36]</w:t>
      </w:r>
      <w:r>
        <w:rPr>
          <w:sz w:val="24"/>
          <w:szCs w:val="22"/>
        </w:rPr>
        <w:t>，这与本研究结果一致。</w:t>
      </w:r>
      <w:r>
        <w:rPr>
          <w:sz w:val="24"/>
          <w:szCs w:val="22"/>
        </w:rPr>
        <w:t>TG</w:t>
      </w:r>
      <w:r>
        <w:rPr>
          <w:sz w:val="24"/>
          <w:szCs w:val="22"/>
        </w:rPr>
        <w:t>是血脂的主要组成部分，其含量与鱼体脂质代谢能力密切相关。研究报道，酶促棉籽蛋白替代鱼粉能够降低血清</w:t>
      </w:r>
      <w:r>
        <w:rPr>
          <w:sz w:val="24"/>
          <w:szCs w:val="22"/>
        </w:rPr>
        <w:t>TG</w:t>
      </w:r>
      <w:r>
        <w:rPr>
          <w:sz w:val="24"/>
          <w:szCs w:val="22"/>
        </w:rPr>
        <w:t>含量</w:t>
      </w:r>
      <w:r>
        <w:rPr>
          <w:sz w:val="24"/>
          <w:szCs w:val="22"/>
          <w:vertAlign w:val="superscript"/>
        </w:rPr>
        <w:t>[21</w:t>
      </w:r>
      <w:r>
        <w:rPr>
          <w:rFonts w:hint="eastAsia"/>
          <w:sz w:val="24"/>
          <w:szCs w:val="22"/>
          <w:vertAlign w:val="superscript"/>
        </w:rPr>
        <w:t>]</w:t>
      </w:r>
      <w:r>
        <w:rPr>
          <w:sz w:val="24"/>
          <w:szCs w:val="22"/>
        </w:rPr>
        <w:t>。本研究中，</w:t>
      </w:r>
      <w:r>
        <w:rPr>
          <w:sz w:val="24"/>
          <w:szCs w:val="22"/>
        </w:rPr>
        <w:t>CPC68</w:t>
      </w:r>
      <w:r>
        <w:rPr>
          <w:sz w:val="24"/>
          <w:szCs w:val="22"/>
        </w:rPr>
        <w:t>组和</w:t>
      </w:r>
      <w:r>
        <w:rPr>
          <w:sz w:val="24"/>
          <w:szCs w:val="22"/>
        </w:rPr>
        <w:t>CPC80</w:t>
      </w:r>
      <w:r>
        <w:rPr>
          <w:sz w:val="24"/>
          <w:szCs w:val="22"/>
        </w:rPr>
        <w:t>组血清</w:t>
      </w:r>
      <w:r>
        <w:rPr>
          <w:sz w:val="24"/>
          <w:szCs w:val="22"/>
        </w:rPr>
        <w:t>TG</w:t>
      </w:r>
      <w:r>
        <w:rPr>
          <w:sz w:val="24"/>
          <w:szCs w:val="22"/>
        </w:rPr>
        <w:t>含量显著低于</w:t>
      </w:r>
      <w:r>
        <w:rPr>
          <w:sz w:val="24"/>
          <w:szCs w:val="22"/>
        </w:rPr>
        <w:t>FM</w:t>
      </w:r>
      <w:r>
        <w:rPr>
          <w:sz w:val="24"/>
          <w:szCs w:val="22"/>
        </w:rPr>
        <w:t>组，可能是因为</w:t>
      </w:r>
      <w:r>
        <w:rPr>
          <w:sz w:val="24"/>
          <w:szCs w:val="22"/>
        </w:rPr>
        <w:t>GLU</w:t>
      </w:r>
      <w:r>
        <w:rPr>
          <w:sz w:val="24"/>
          <w:szCs w:val="22"/>
        </w:rPr>
        <w:t>缺乏，</w:t>
      </w:r>
      <w:r>
        <w:rPr>
          <w:sz w:val="24"/>
          <w:szCs w:val="22"/>
        </w:rPr>
        <w:t>TG</w:t>
      </w:r>
      <w:r>
        <w:rPr>
          <w:sz w:val="24"/>
          <w:szCs w:val="22"/>
        </w:rPr>
        <w:t>用于提供能量和营养物质所致</w:t>
      </w:r>
      <w:r>
        <w:rPr>
          <w:sz w:val="24"/>
          <w:szCs w:val="22"/>
          <w:vertAlign w:val="superscript"/>
        </w:rPr>
        <w:t>[37]</w:t>
      </w:r>
      <w:r>
        <w:rPr>
          <w:sz w:val="24"/>
          <w:szCs w:val="22"/>
        </w:rPr>
        <w:t>。此外，在对</w:t>
      </w:r>
      <w:r>
        <w:rPr>
          <w:sz w:val="24"/>
          <w:szCs w:val="22"/>
        </w:rPr>
        <w:t>Ⅱ</w:t>
      </w:r>
      <w:r>
        <w:rPr>
          <w:sz w:val="24"/>
          <w:szCs w:val="22"/>
        </w:rPr>
        <w:t>型糖尿病小鼠的研究中发现，经棉酚干预后，糖尿病小鼠血清</w:t>
      </w:r>
      <w:r>
        <w:rPr>
          <w:sz w:val="24"/>
          <w:szCs w:val="22"/>
        </w:rPr>
        <w:t>GLU</w:t>
      </w:r>
      <w:r>
        <w:rPr>
          <w:sz w:val="24"/>
          <w:szCs w:val="22"/>
        </w:rPr>
        <w:t>和</w:t>
      </w:r>
      <w:r>
        <w:rPr>
          <w:sz w:val="24"/>
          <w:szCs w:val="22"/>
        </w:rPr>
        <w:t>TG</w:t>
      </w:r>
      <w:r>
        <w:rPr>
          <w:sz w:val="24"/>
          <w:szCs w:val="22"/>
        </w:rPr>
        <w:t>含量显著</w:t>
      </w:r>
      <w:r>
        <w:rPr>
          <w:sz w:val="24"/>
          <w:szCs w:val="22"/>
        </w:rPr>
        <w:lastRenderedPageBreak/>
        <w:t>降低，棉酚能够通过调节脂代谢，发挥降血糖作用</w:t>
      </w:r>
      <w:r>
        <w:rPr>
          <w:sz w:val="24"/>
          <w:szCs w:val="22"/>
          <w:vertAlign w:val="superscript"/>
        </w:rPr>
        <w:t>[38]</w:t>
      </w:r>
      <w:r>
        <w:rPr>
          <w:sz w:val="24"/>
          <w:szCs w:val="22"/>
        </w:rPr>
        <w:t>。动物体内最主要的解毒器官是肝脏，棉酚在动物体内沉积量最多的也是肝脏，棉酚经血液在肝脏中部分分解，但没分解的棉酚在肝脏中大量淤积，对肝脏造成损伤</w:t>
      </w:r>
      <w:r>
        <w:rPr>
          <w:sz w:val="24"/>
          <w:szCs w:val="22"/>
          <w:vertAlign w:val="superscript"/>
        </w:rPr>
        <w:t>[25]</w:t>
      </w:r>
      <w:r>
        <w:rPr>
          <w:sz w:val="24"/>
          <w:szCs w:val="22"/>
        </w:rPr>
        <w:t>。</w:t>
      </w:r>
      <w:r>
        <w:rPr>
          <w:sz w:val="24"/>
          <w:szCs w:val="22"/>
        </w:rPr>
        <w:t>ALT</w:t>
      </w:r>
      <w:r>
        <w:rPr>
          <w:sz w:val="24"/>
          <w:szCs w:val="22"/>
        </w:rPr>
        <w:t>和</w:t>
      </w:r>
      <w:r>
        <w:rPr>
          <w:sz w:val="24"/>
          <w:szCs w:val="22"/>
        </w:rPr>
        <w:t>AST</w:t>
      </w:r>
      <w:r>
        <w:rPr>
          <w:sz w:val="24"/>
          <w:szCs w:val="22"/>
        </w:rPr>
        <w:t>是血清中重要的氨基转移酶，其活性常作为反映鱼类肝脏健康及其功能的重要指标</w:t>
      </w:r>
      <w:r>
        <w:rPr>
          <w:sz w:val="24"/>
          <w:szCs w:val="22"/>
          <w:vertAlign w:val="superscript"/>
        </w:rPr>
        <w:t>[39]</w:t>
      </w:r>
      <w:r>
        <w:rPr>
          <w:sz w:val="24"/>
          <w:szCs w:val="22"/>
        </w:rPr>
        <w:t>，当鱼体肝脏组织受损时，细胞膜通透性发生变化，</w:t>
      </w:r>
      <w:r>
        <w:rPr>
          <w:sz w:val="24"/>
          <w:szCs w:val="22"/>
        </w:rPr>
        <w:t>ALT</w:t>
      </w:r>
      <w:r>
        <w:rPr>
          <w:sz w:val="24"/>
          <w:szCs w:val="22"/>
        </w:rPr>
        <w:t>和</w:t>
      </w:r>
      <w:r>
        <w:rPr>
          <w:sz w:val="24"/>
          <w:szCs w:val="22"/>
        </w:rPr>
        <w:t>AST</w:t>
      </w:r>
      <w:r>
        <w:rPr>
          <w:sz w:val="24"/>
          <w:szCs w:val="22"/>
        </w:rPr>
        <w:t>被释放入血液循环</w:t>
      </w:r>
      <w:r>
        <w:rPr>
          <w:sz w:val="24"/>
          <w:szCs w:val="22"/>
          <w:vertAlign w:val="superscript"/>
        </w:rPr>
        <w:t>[40-41]</w:t>
      </w:r>
      <w:r>
        <w:rPr>
          <w:sz w:val="24"/>
          <w:szCs w:val="22"/>
        </w:rPr>
        <w:t>。本研究中，大鳞副泥鳅血清</w:t>
      </w:r>
      <w:r>
        <w:rPr>
          <w:sz w:val="24"/>
          <w:szCs w:val="22"/>
        </w:rPr>
        <w:t>ALT</w:t>
      </w:r>
      <w:r>
        <w:rPr>
          <w:sz w:val="24"/>
          <w:szCs w:val="22"/>
        </w:rPr>
        <w:t>和</w:t>
      </w:r>
      <w:r>
        <w:rPr>
          <w:sz w:val="24"/>
          <w:szCs w:val="22"/>
        </w:rPr>
        <w:t>AST</w:t>
      </w:r>
      <w:r>
        <w:rPr>
          <w:sz w:val="24"/>
          <w:szCs w:val="22"/>
        </w:rPr>
        <w:t>活性随棉籽浓缩蛋白替代鱼粉比例的提高呈现上升趋势，在肝脏中则相反，这与在松浦镜鲤（</w:t>
      </w:r>
      <w:r>
        <w:rPr>
          <w:i/>
          <w:iCs/>
          <w:sz w:val="24"/>
          <w:szCs w:val="22"/>
        </w:rPr>
        <w:t>Cyprinus</w:t>
      </w:r>
      <w:r>
        <w:rPr>
          <w:rFonts w:hint="eastAsia"/>
          <w:i/>
          <w:iCs/>
          <w:sz w:val="24"/>
          <w:szCs w:val="22"/>
        </w:rPr>
        <w:t xml:space="preserve"> </w:t>
      </w:r>
      <w:r>
        <w:rPr>
          <w:i/>
          <w:iCs/>
          <w:sz w:val="24"/>
          <w:szCs w:val="22"/>
        </w:rPr>
        <w:t>carpio</w:t>
      </w:r>
      <w:r>
        <w:rPr>
          <w:rFonts w:hint="eastAsia"/>
          <w:i/>
          <w:iCs/>
          <w:sz w:val="24"/>
          <w:szCs w:val="22"/>
        </w:rPr>
        <w:t xml:space="preserve"> </w:t>
      </w:r>
      <w:proofErr w:type="spellStart"/>
      <w:r>
        <w:rPr>
          <w:i/>
          <w:iCs/>
          <w:sz w:val="24"/>
          <w:szCs w:val="22"/>
        </w:rPr>
        <w:t>Songpu</w:t>
      </w:r>
      <w:proofErr w:type="spellEnd"/>
      <w:r>
        <w:rPr>
          <w:sz w:val="24"/>
          <w:szCs w:val="22"/>
        </w:rPr>
        <w:t>）幼鱼</w:t>
      </w:r>
      <w:r>
        <w:rPr>
          <w:sz w:val="24"/>
          <w:szCs w:val="22"/>
          <w:vertAlign w:val="superscript"/>
        </w:rPr>
        <w:t>[34]</w:t>
      </w:r>
      <w:r>
        <w:rPr>
          <w:sz w:val="24"/>
          <w:szCs w:val="22"/>
        </w:rPr>
        <w:t>和虹鳟幼鱼</w:t>
      </w:r>
      <w:r>
        <w:rPr>
          <w:sz w:val="24"/>
          <w:szCs w:val="22"/>
          <w:vertAlign w:val="superscript"/>
        </w:rPr>
        <w:t>[16]</w:t>
      </w:r>
      <w:r>
        <w:rPr>
          <w:sz w:val="24"/>
          <w:szCs w:val="22"/>
        </w:rPr>
        <w:t>中的研究结果相似，可能意味着高水平棉籽浓缩蛋白替代鱼粉可能对大鳞副泥鳅肝脏健康产生不利影响。根据以上结果推测，随着棉籽浓缩蛋白替代比例的提高，饲料中抗营养因子含量增加，对大鳞副泥鳅肝脏功能造成一定损伤，增加肝脏代谢负荷，从而进一步导致鱼体糖与脂代谢异常。</w:t>
      </w:r>
    </w:p>
    <w:p w14:paraId="1902EF09" w14:textId="77777777" w:rsidR="00400E98" w:rsidRDefault="00400E98" w:rsidP="00400E98">
      <w:pPr>
        <w:spacing w:line="360" w:lineRule="auto"/>
        <w:ind w:firstLineChars="200" w:firstLine="480"/>
        <w:rPr>
          <w:sz w:val="24"/>
          <w:szCs w:val="22"/>
        </w:rPr>
      </w:pPr>
      <w:r>
        <w:rPr>
          <w:sz w:val="24"/>
          <w:szCs w:val="22"/>
        </w:rPr>
        <w:t>LYS</w:t>
      </w:r>
      <w:r>
        <w:rPr>
          <w:sz w:val="24"/>
          <w:szCs w:val="22"/>
        </w:rPr>
        <w:t>、</w:t>
      </w:r>
      <w:r>
        <w:rPr>
          <w:sz w:val="24"/>
          <w:szCs w:val="22"/>
        </w:rPr>
        <w:t>IgM</w:t>
      </w:r>
      <w:r>
        <w:rPr>
          <w:sz w:val="24"/>
          <w:szCs w:val="22"/>
        </w:rPr>
        <w:t>、</w:t>
      </w:r>
      <w:r>
        <w:rPr>
          <w:sz w:val="24"/>
          <w:szCs w:val="22"/>
        </w:rPr>
        <w:t>ACP</w:t>
      </w:r>
      <w:r>
        <w:rPr>
          <w:sz w:val="24"/>
          <w:szCs w:val="22"/>
        </w:rPr>
        <w:t>和</w:t>
      </w:r>
      <w:r>
        <w:rPr>
          <w:sz w:val="24"/>
          <w:szCs w:val="22"/>
        </w:rPr>
        <w:t>AKP</w:t>
      </w:r>
      <w:r>
        <w:rPr>
          <w:sz w:val="24"/>
          <w:szCs w:val="22"/>
        </w:rPr>
        <w:t>是鱼类非特异性免疫的重要指标，在机体抵御外来病原的免疫反应中起重要作用</w:t>
      </w:r>
      <w:r>
        <w:rPr>
          <w:sz w:val="24"/>
          <w:szCs w:val="22"/>
          <w:vertAlign w:val="superscript"/>
        </w:rPr>
        <w:t>[42-43]</w:t>
      </w:r>
      <w:r>
        <w:rPr>
          <w:sz w:val="24"/>
          <w:szCs w:val="22"/>
        </w:rPr>
        <w:t>。在乌苏里鲶</w:t>
      </w:r>
      <w:r>
        <w:rPr>
          <w:sz w:val="24"/>
          <w:szCs w:val="22"/>
        </w:rPr>
        <w:t>(</w:t>
      </w:r>
      <w:proofErr w:type="spellStart"/>
      <w:r>
        <w:rPr>
          <w:i/>
          <w:iCs/>
          <w:sz w:val="24"/>
          <w:szCs w:val="22"/>
        </w:rPr>
        <w:t>Pseudobagrus</w:t>
      </w:r>
      <w:proofErr w:type="spellEnd"/>
      <w:r>
        <w:rPr>
          <w:rFonts w:hint="eastAsia"/>
          <w:i/>
          <w:iCs/>
          <w:sz w:val="24"/>
          <w:szCs w:val="22"/>
        </w:rPr>
        <w:t xml:space="preserve"> </w:t>
      </w:r>
      <w:proofErr w:type="spellStart"/>
      <w:r>
        <w:rPr>
          <w:i/>
          <w:iCs/>
          <w:sz w:val="24"/>
          <w:szCs w:val="22"/>
        </w:rPr>
        <w:t>ussuriensis</w:t>
      </w:r>
      <w:proofErr w:type="spellEnd"/>
      <w:r>
        <w:rPr>
          <w:sz w:val="24"/>
          <w:szCs w:val="22"/>
        </w:rPr>
        <w:t>）幼鱼</w:t>
      </w:r>
      <w:r>
        <w:rPr>
          <w:sz w:val="24"/>
          <w:szCs w:val="22"/>
          <w:vertAlign w:val="superscript"/>
        </w:rPr>
        <w:t>[44]</w:t>
      </w:r>
      <w:r>
        <w:rPr>
          <w:sz w:val="24"/>
          <w:szCs w:val="22"/>
        </w:rPr>
        <w:t>和中华绒螯蟹（</w:t>
      </w:r>
      <w:proofErr w:type="spellStart"/>
      <w:r>
        <w:rPr>
          <w:i/>
          <w:iCs/>
          <w:sz w:val="24"/>
          <w:szCs w:val="22"/>
        </w:rPr>
        <w:t>Eriocheir</w:t>
      </w:r>
      <w:proofErr w:type="spellEnd"/>
      <w:r>
        <w:rPr>
          <w:rFonts w:hint="eastAsia"/>
          <w:i/>
          <w:iCs/>
          <w:sz w:val="24"/>
          <w:szCs w:val="22"/>
        </w:rPr>
        <w:t xml:space="preserve"> </w:t>
      </w:r>
      <w:r>
        <w:rPr>
          <w:i/>
          <w:iCs/>
          <w:sz w:val="24"/>
          <w:szCs w:val="22"/>
        </w:rPr>
        <w:t>sinensis</w:t>
      </w:r>
      <w:r>
        <w:rPr>
          <w:sz w:val="24"/>
          <w:szCs w:val="22"/>
        </w:rPr>
        <w:t>)</w:t>
      </w:r>
      <w:r>
        <w:rPr>
          <w:sz w:val="24"/>
          <w:szCs w:val="22"/>
          <w:vertAlign w:val="superscript"/>
        </w:rPr>
        <w:t>[45]</w:t>
      </w:r>
      <w:r>
        <w:rPr>
          <w:sz w:val="24"/>
          <w:szCs w:val="22"/>
        </w:rPr>
        <w:t>的研究中发现。用棉籽蛋白水解物替代鱼粉，其</w:t>
      </w:r>
      <w:r>
        <w:rPr>
          <w:sz w:val="24"/>
          <w:szCs w:val="22"/>
        </w:rPr>
        <w:t>AKP</w:t>
      </w:r>
      <w:r>
        <w:rPr>
          <w:sz w:val="24"/>
          <w:szCs w:val="22"/>
        </w:rPr>
        <w:t>和</w:t>
      </w:r>
      <w:r>
        <w:rPr>
          <w:sz w:val="24"/>
          <w:szCs w:val="22"/>
        </w:rPr>
        <w:t>LYS</w:t>
      </w:r>
      <w:r>
        <w:rPr>
          <w:sz w:val="24"/>
          <w:szCs w:val="22"/>
        </w:rPr>
        <w:t>活性随替代比例的提高呈现先上升后下降的趋势。对草鱼（</w:t>
      </w:r>
      <w:proofErr w:type="spellStart"/>
      <w:r>
        <w:rPr>
          <w:i/>
          <w:iCs/>
          <w:sz w:val="24"/>
          <w:szCs w:val="22"/>
        </w:rPr>
        <w:t>Ctenopharyngodon</w:t>
      </w:r>
      <w:proofErr w:type="spellEnd"/>
      <w:r>
        <w:rPr>
          <w:rFonts w:hint="eastAsia"/>
          <w:i/>
          <w:iCs/>
          <w:sz w:val="24"/>
          <w:szCs w:val="22"/>
        </w:rPr>
        <w:t xml:space="preserve"> </w:t>
      </w:r>
      <w:proofErr w:type="spellStart"/>
      <w:r>
        <w:rPr>
          <w:i/>
          <w:iCs/>
          <w:sz w:val="24"/>
          <w:szCs w:val="22"/>
        </w:rPr>
        <w:t>idella</w:t>
      </w:r>
      <w:proofErr w:type="spellEnd"/>
      <w:r>
        <w:rPr>
          <w:sz w:val="24"/>
          <w:szCs w:val="22"/>
        </w:rPr>
        <w:t>）进行攻毒试验显示</w:t>
      </w:r>
      <w:r>
        <w:rPr>
          <w:sz w:val="24"/>
          <w:szCs w:val="22"/>
          <w:vertAlign w:val="superscript"/>
        </w:rPr>
        <w:t>[46]</w:t>
      </w:r>
      <w:r>
        <w:rPr>
          <w:sz w:val="24"/>
          <w:szCs w:val="22"/>
        </w:rPr>
        <w:t>，饲料中的棉酚含量大于</w:t>
      </w:r>
      <w:r>
        <w:rPr>
          <w:sz w:val="24"/>
          <w:szCs w:val="22"/>
        </w:rPr>
        <w:t>121.38mg/kg</w:t>
      </w:r>
      <w:r>
        <w:rPr>
          <w:sz w:val="24"/>
          <w:szCs w:val="22"/>
        </w:rPr>
        <w:t>会显著降低草鱼肠道</w:t>
      </w:r>
      <w:r>
        <w:rPr>
          <w:sz w:val="24"/>
          <w:szCs w:val="22"/>
        </w:rPr>
        <w:t>LYS</w:t>
      </w:r>
      <w:r>
        <w:rPr>
          <w:sz w:val="24"/>
          <w:szCs w:val="22"/>
        </w:rPr>
        <w:t>和</w:t>
      </w:r>
      <w:r>
        <w:rPr>
          <w:sz w:val="24"/>
          <w:szCs w:val="22"/>
        </w:rPr>
        <w:t>ACP</w:t>
      </w:r>
      <w:r>
        <w:rPr>
          <w:sz w:val="24"/>
          <w:szCs w:val="22"/>
        </w:rPr>
        <w:t>活以及</w:t>
      </w:r>
      <w:r>
        <w:rPr>
          <w:sz w:val="24"/>
          <w:szCs w:val="22"/>
        </w:rPr>
        <w:t>IgM</w:t>
      </w:r>
      <w:r>
        <w:rPr>
          <w:sz w:val="24"/>
          <w:szCs w:val="22"/>
        </w:rPr>
        <w:t>含量，下调抗菌肽与非特异性免疫相关基因的表达，损害鱼类肠道免疫功能。本试验结果表明，适当比例的棉籽浓缩蛋白替代鱼粉对大鳞副泥鳅免疫相关酶活性几乎无负面影响，当替代比例在</w:t>
      </w:r>
      <w:r>
        <w:rPr>
          <w:sz w:val="24"/>
          <w:szCs w:val="22"/>
        </w:rPr>
        <w:t>68%</w:t>
      </w:r>
      <w:r>
        <w:rPr>
          <w:sz w:val="24"/>
          <w:szCs w:val="22"/>
        </w:rPr>
        <w:t>及以上（游离棉酚含量</w:t>
      </w:r>
      <w:r>
        <w:rPr>
          <w:sz w:val="24"/>
          <w:szCs w:val="22"/>
        </w:rPr>
        <w:t>&gt;79.30mg/kg</w:t>
      </w:r>
      <w:r>
        <w:rPr>
          <w:sz w:val="24"/>
          <w:szCs w:val="22"/>
        </w:rPr>
        <w:t>）则可能降低机体的免疫功能，这可能是与饲料中游离棉酚含量过高，降低了肠道中抗菌物质的活力和含量，对非特异性免疫能力产生负面影响有关</w:t>
      </w:r>
      <w:r>
        <w:rPr>
          <w:sz w:val="24"/>
          <w:szCs w:val="22"/>
          <w:vertAlign w:val="superscript"/>
        </w:rPr>
        <w:t>[44]</w:t>
      </w:r>
      <w:r>
        <w:rPr>
          <w:sz w:val="24"/>
          <w:szCs w:val="22"/>
        </w:rPr>
        <w:t>。</w:t>
      </w:r>
    </w:p>
    <w:p w14:paraId="2098F387" w14:textId="2EFAB482" w:rsidR="00400E98" w:rsidRDefault="00400E98" w:rsidP="00400E98">
      <w:pPr>
        <w:spacing w:line="360" w:lineRule="auto"/>
        <w:rPr>
          <w:sz w:val="24"/>
          <w:szCs w:val="22"/>
        </w:rPr>
      </w:pPr>
      <w:r>
        <w:rPr>
          <w:sz w:val="24"/>
          <w:szCs w:val="22"/>
        </w:rPr>
        <w:t>3.3</w:t>
      </w:r>
      <w:r>
        <w:rPr>
          <w:sz w:val="24"/>
          <w:szCs w:val="22"/>
        </w:rPr>
        <w:t>棉籽浓缩蛋白替代鱼粉对大鳞副泥鳅肝脏抗氧化指标的影响</w:t>
      </w:r>
    </w:p>
    <w:p w14:paraId="26C351EB" w14:textId="77777777" w:rsidR="00400E98" w:rsidRDefault="00400E98" w:rsidP="00400E98">
      <w:pPr>
        <w:spacing w:line="360" w:lineRule="auto"/>
        <w:ind w:firstLineChars="200" w:firstLine="480"/>
        <w:rPr>
          <w:sz w:val="24"/>
          <w:szCs w:val="22"/>
        </w:rPr>
      </w:pPr>
      <w:r>
        <w:rPr>
          <w:sz w:val="24"/>
          <w:szCs w:val="22"/>
        </w:rPr>
        <w:t>鱼类的抗氧化系统对鱼体健康和生长起着重要作用，主要由抗氧化酶系统和非抗氧化酶系统构成，包括</w:t>
      </w:r>
      <w:r>
        <w:rPr>
          <w:sz w:val="24"/>
          <w:szCs w:val="22"/>
        </w:rPr>
        <w:t>SOD</w:t>
      </w:r>
      <w:r>
        <w:rPr>
          <w:sz w:val="24"/>
          <w:szCs w:val="22"/>
        </w:rPr>
        <w:t>、</w:t>
      </w:r>
      <w:r>
        <w:rPr>
          <w:sz w:val="24"/>
          <w:szCs w:val="22"/>
        </w:rPr>
        <w:t>CAT</w:t>
      </w:r>
      <w:r>
        <w:rPr>
          <w:sz w:val="24"/>
          <w:szCs w:val="22"/>
        </w:rPr>
        <w:t>及</w:t>
      </w:r>
      <w:r>
        <w:rPr>
          <w:sz w:val="24"/>
          <w:szCs w:val="22"/>
        </w:rPr>
        <w:t>GSH</w:t>
      </w:r>
      <w:r>
        <w:rPr>
          <w:sz w:val="24"/>
          <w:szCs w:val="22"/>
        </w:rPr>
        <w:t>等，主要功能是清除机体在接受外源性刺激后体内过量生成的活性氧</w:t>
      </w:r>
      <w:r>
        <w:rPr>
          <w:sz w:val="24"/>
          <w:szCs w:val="22"/>
          <w:vertAlign w:val="superscript"/>
        </w:rPr>
        <w:t>[18-19</w:t>
      </w:r>
      <w:r>
        <w:rPr>
          <w:sz w:val="24"/>
          <w:szCs w:val="22"/>
          <w:vertAlign w:val="superscript"/>
        </w:rPr>
        <w:t>，</w:t>
      </w:r>
      <w:r>
        <w:rPr>
          <w:sz w:val="24"/>
          <w:szCs w:val="22"/>
          <w:vertAlign w:val="superscript"/>
        </w:rPr>
        <w:t>31]</w:t>
      </w:r>
      <w:r>
        <w:rPr>
          <w:sz w:val="24"/>
          <w:szCs w:val="22"/>
        </w:rPr>
        <w:t>。</w:t>
      </w:r>
      <w:r>
        <w:rPr>
          <w:sz w:val="24"/>
          <w:szCs w:val="22"/>
        </w:rPr>
        <w:t>MDA</w:t>
      </w:r>
      <w:r>
        <w:rPr>
          <w:sz w:val="24"/>
          <w:szCs w:val="22"/>
        </w:rPr>
        <w:t>是脂质过氧化的主要代谢产物，可作为氧化损伤的标志物，间接反映组织氧化损伤的程度</w:t>
      </w:r>
      <w:r>
        <w:rPr>
          <w:sz w:val="24"/>
          <w:szCs w:val="22"/>
          <w:vertAlign w:val="superscript"/>
        </w:rPr>
        <w:t>[2</w:t>
      </w:r>
      <w:r>
        <w:rPr>
          <w:sz w:val="24"/>
          <w:szCs w:val="22"/>
          <w:vertAlign w:val="superscript"/>
        </w:rPr>
        <w:t>，</w:t>
      </w:r>
      <w:r>
        <w:rPr>
          <w:sz w:val="24"/>
          <w:szCs w:val="22"/>
          <w:vertAlign w:val="superscript"/>
        </w:rPr>
        <w:t>47</w:t>
      </w:r>
      <w:r>
        <w:rPr>
          <w:rFonts w:hint="eastAsia"/>
          <w:sz w:val="24"/>
          <w:szCs w:val="22"/>
          <w:vertAlign w:val="superscript"/>
        </w:rPr>
        <w:t>]</w:t>
      </w:r>
      <w:r>
        <w:rPr>
          <w:sz w:val="24"/>
          <w:szCs w:val="22"/>
        </w:rPr>
        <w:t>。</w:t>
      </w:r>
      <w:r>
        <w:rPr>
          <w:sz w:val="24"/>
          <w:szCs w:val="22"/>
        </w:rPr>
        <w:t>T-AOC</w:t>
      </w:r>
      <w:r>
        <w:rPr>
          <w:sz w:val="24"/>
          <w:szCs w:val="22"/>
        </w:rPr>
        <w:t>作为评价鱼体抗氧化能力的常用指标，是衡量机体总体抗氧化能力的综合指标</w:t>
      </w:r>
      <w:r>
        <w:rPr>
          <w:sz w:val="24"/>
          <w:szCs w:val="22"/>
          <w:vertAlign w:val="superscript"/>
        </w:rPr>
        <w:t>[48]</w:t>
      </w:r>
      <w:r>
        <w:rPr>
          <w:sz w:val="24"/>
          <w:szCs w:val="22"/>
        </w:rPr>
        <w:t>。</w:t>
      </w:r>
      <w:r>
        <w:rPr>
          <w:sz w:val="24"/>
          <w:szCs w:val="22"/>
        </w:rPr>
        <w:t>Fan</w:t>
      </w:r>
      <w:r>
        <w:rPr>
          <w:sz w:val="24"/>
          <w:szCs w:val="22"/>
        </w:rPr>
        <w:t>等</w:t>
      </w:r>
      <w:r>
        <w:rPr>
          <w:sz w:val="24"/>
          <w:szCs w:val="22"/>
          <w:vertAlign w:val="superscript"/>
        </w:rPr>
        <w:t>[47]</w:t>
      </w:r>
      <w:r>
        <w:rPr>
          <w:sz w:val="24"/>
          <w:szCs w:val="22"/>
        </w:rPr>
        <w:t>在鲤鱼（</w:t>
      </w:r>
      <w:r>
        <w:rPr>
          <w:sz w:val="24"/>
          <w:szCs w:val="22"/>
        </w:rPr>
        <w:t>Cyprinus</w:t>
      </w:r>
      <w:r>
        <w:rPr>
          <w:rFonts w:hint="eastAsia"/>
          <w:sz w:val="24"/>
          <w:szCs w:val="22"/>
        </w:rPr>
        <w:t xml:space="preserve"> </w:t>
      </w:r>
      <w:r>
        <w:rPr>
          <w:sz w:val="24"/>
          <w:szCs w:val="22"/>
        </w:rPr>
        <w:t>carpio)</w:t>
      </w:r>
      <w:r>
        <w:rPr>
          <w:sz w:val="24"/>
          <w:szCs w:val="22"/>
        </w:rPr>
        <w:t>的研究中发现，棉籽浓缩蛋白替代比例为</w:t>
      </w:r>
      <w:r>
        <w:rPr>
          <w:sz w:val="24"/>
          <w:szCs w:val="22"/>
        </w:rPr>
        <w:t>75%</w:t>
      </w:r>
      <w:r>
        <w:rPr>
          <w:sz w:val="24"/>
          <w:szCs w:val="22"/>
        </w:rPr>
        <w:t>和</w:t>
      </w:r>
      <w:r>
        <w:rPr>
          <w:sz w:val="24"/>
          <w:szCs w:val="22"/>
        </w:rPr>
        <w:t>100%</w:t>
      </w:r>
      <w:r>
        <w:rPr>
          <w:sz w:val="24"/>
          <w:szCs w:val="22"/>
        </w:rPr>
        <w:t>时，机体抗氧化酶</w:t>
      </w:r>
      <w:r>
        <w:rPr>
          <w:sz w:val="24"/>
          <w:szCs w:val="22"/>
        </w:rPr>
        <w:t>(SOD</w:t>
      </w:r>
      <w:r>
        <w:rPr>
          <w:sz w:val="24"/>
          <w:szCs w:val="22"/>
        </w:rPr>
        <w:t>、</w:t>
      </w:r>
      <w:r>
        <w:rPr>
          <w:sz w:val="24"/>
          <w:szCs w:val="22"/>
        </w:rPr>
        <w:t>CAT</w:t>
      </w:r>
      <w:r>
        <w:rPr>
          <w:sz w:val="24"/>
          <w:szCs w:val="22"/>
        </w:rPr>
        <w:t>和</w:t>
      </w:r>
      <w:proofErr w:type="spellStart"/>
      <w:r>
        <w:rPr>
          <w:sz w:val="24"/>
          <w:szCs w:val="22"/>
        </w:rPr>
        <w:t>GSH.Px</w:t>
      </w:r>
      <w:proofErr w:type="spellEnd"/>
      <w:r>
        <w:rPr>
          <w:sz w:val="24"/>
          <w:szCs w:val="22"/>
        </w:rPr>
        <w:t>）活性均有所降低。据报道，棉籽浓缩蛋白替代比例为</w:t>
      </w:r>
      <w:r>
        <w:rPr>
          <w:sz w:val="24"/>
          <w:szCs w:val="22"/>
        </w:rPr>
        <w:t>20%</w:t>
      </w:r>
      <w:r>
        <w:rPr>
          <w:sz w:val="24"/>
          <w:szCs w:val="22"/>
        </w:rPr>
        <w:t>时，中华绒螯蟹的</w:t>
      </w:r>
      <w:r>
        <w:rPr>
          <w:sz w:val="24"/>
          <w:szCs w:val="22"/>
        </w:rPr>
        <w:t>MDA</w:t>
      </w:r>
      <w:r>
        <w:rPr>
          <w:sz w:val="24"/>
          <w:szCs w:val="22"/>
        </w:rPr>
        <w:t>含量显著低于其余各组，且随着棉籽浓缩蛋白替代鱼粉比例的逐渐升高，肝胰腺</w:t>
      </w:r>
      <w:r>
        <w:rPr>
          <w:sz w:val="24"/>
          <w:szCs w:val="22"/>
        </w:rPr>
        <w:t>SOD</w:t>
      </w:r>
      <w:r>
        <w:rPr>
          <w:sz w:val="24"/>
          <w:szCs w:val="22"/>
        </w:rPr>
        <w:t>活性、</w:t>
      </w:r>
      <w:r>
        <w:rPr>
          <w:sz w:val="24"/>
          <w:szCs w:val="22"/>
        </w:rPr>
        <w:t>T-AOC</w:t>
      </w:r>
      <w:r>
        <w:rPr>
          <w:sz w:val="24"/>
          <w:szCs w:val="22"/>
        </w:rPr>
        <w:t>、</w:t>
      </w:r>
      <w:r>
        <w:rPr>
          <w:sz w:val="24"/>
          <w:szCs w:val="22"/>
        </w:rPr>
        <w:t>GSH</w:t>
      </w:r>
      <w:r>
        <w:rPr>
          <w:sz w:val="24"/>
          <w:szCs w:val="22"/>
        </w:rPr>
        <w:lastRenderedPageBreak/>
        <w:t>含量以及谷胱甘肽</w:t>
      </w:r>
      <w:r>
        <w:rPr>
          <w:sz w:val="24"/>
          <w:szCs w:val="22"/>
        </w:rPr>
        <w:t>-S-</w:t>
      </w:r>
      <w:r>
        <w:rPr>
          <w:sz w:val="24"/>
          <w:szCs w:val="22"/>
        </w:rPr>
        <w:t>转移酶（</w:t>
      </w:r>
      <w:r>
        <w:rPr>
          <w:sz w:val="24"/>
          <w:szCs w:val="22"/>
        </w:rPr>
        <w:t>GSH-ST)</w:t>
      </w:r>
      <w:r>
        <w:rPr>
          <w:sz w:val="24"/>
          <w:szCs w:val="22"/>
        </w:rPr>
        <w:t>活性均呈下降趋势</w:t>
      </w:r>
      <w:r>
        <w:rPr>
          <w:rFonts w:hint="eastAsia"/>
          <w:sz w:val="24"/>
          <w:szCs w:val="22"/>
          <w:vertAlign w:val="superscript"/>
        </w:rPr>
        <w:t>[</w:t>
      </w:r>
      <w:r>
        <w:rPr>
          <w:sz w:val="24"/>
          <w:szCs w:val="22"/>
          <w:vertAlign w:val="superscript"/>
        </w:rPr>
        <w:t>49]</w:t>
      </w:r>
      <w:r>
        <w:rPr>
          <w:sz w:val="24"/>
          <w:szCs w:val="22"/>
        </w:rPr>
        <w:t>。本研究中，与</w:t>
      </w:r>
      <w:r>
        <w:rPr>
          <w:sz w:val="24"/>
          <w:szCs w:val="22"/>
        </w:rPr>
        <w:t>FM</w:t>
      </w:r>
      <w:r>
        <w:rPr>
          <w:sz w:val="24"/>
          <w:szCs w:val="22"/>
        </w:rPr>
        <w:t>组相比，</w:t>
      </w:r>
      <w:r>
        <w:rPr>
          <w:sz w:val="24"/>
          <w:szCs w:val="22"/>
        </w:rPr>
        <w:t>CPC32</w:t>
      </w:r>
      <w:r>
        <w:rPr>
          <w:sz w:val="24"/>
          <w:szCs w:val="22"/>
        </w:rPr>
        <w:t>组肝脏</w:t>
      </w:r>
      <w:r>
        <w:rPr>
          <w:sz w:val="24"/>
          <w:szCs w:val="22"/>
        </w:rPr>
        <w:t>MDA</w:t>
      </w:r>
      <w:r>
        <w:rPr>
          <w:sz w:val="24"/>
          <w:szCs w:val="22"/>
        </w:rPr>
        <w:t>含量显著降低，</w:t>
      </w:r>
      <w:r>
        <w:rPr>
          <w:sz w:val="24"/>
          <w:szCs w:val="22"/>
        </w:rPr>
        <w:t>CPC44</w:t>
      </w:r>
      <w:r>
        <w:rPr>
          <w:sz w:val="24"/>
          <w:szCs w:val="22"/>
        </w:rPr>
        <w:t>组肝脏</w:t>
      </w:r>
      <w:r>
        <w:rPr>
          <w:sz w:val="24"/>
          <w:szCs w:val="22"/>
        </w:rPr>
        <w:t>SOD</w:t>
      </w:r>
      <w:r>
        <w:rPr>
          <w:sz w:val="24"/>
          <w:szCs w:val="22"/>
        </w:rPr>
        <w:t>活性显著提高，表明适当比例的棉籽浓缩蛋白替代鱼粉能够改善大鳞副泥鳅的抗氧化能力，减少过氧化物对机体的损伤；而当棉籽浓缩蛋白替代比例大于</w:t>
      </w:r>
      <w:r>
        <w:rPr>
          <w:sz w:val="24"/>
          <w:szCs w:val="22"/>
        </w:rPr>
        <w:t>44%</w:t>
      </w:r>
      <w:r>
        <w:rPr>
          <w:sz w:val="24"/>
          <w:szCs w:val="22"/>
        </w:rPr>
        <w:t>时，肝脏</w:t>
      </w:r>
      <w:r>
        <w:rPr>
          <w:sz w:val="24"/>
          <w:szCs w:val="22"/>
        </w:rPr>
        <w:t>MDA</w:t>
      </w:r>
      <w:r>
        <w:rPr>
          <w:sz w:val="24"/>
          <w:szCs w:val="22"/>
        </w:rPr>
        <w:t>含量呈上升趋势，肝脏</w:t>
      </w:r>
      <w:r>
        <w:rPr>
          <w:sz w:val="24"/>
          <w:szCs w:val="22"/>
        </w:rPr>
        <w:t>T-AOC</w:t>
      </w:r>
      <w:r>
        <w:rPr>
          <w:sz w:val="24"/>
          <w:szCs w:val="22"/>
        </w:rPr>
        <w:t>、</w:t>
      </w:r>
      <w:r>
        <w:rPr>
          <w:sz w:val="24"/>
          <w:szCs w:val="22"/>
        </w:rPr>
        <w:t>CAT</w:t>
      </w:r>
      <w:r>
        <w:rPr>
          <w:sz w:val="24"/>
          <w:szCs w:val="22"/>
        </w:rPr>
        <w:t>活性、</w:t>
      </w:r>
      <w:r>
        <w:rPr>
          <w:sz w:val="24"/>
          <w:szCs w:val="22"/>
        </w:rPr>
        <w:t>GSH</w:t>
      </w:r>
      <w:r>
        <w:rPr>
          <w:sz w:val="24"/>
          <w:szCs w:val="22"/>
        </w:rPr>
        <w:t>含量及和</w:t>
      </w:r>
      <w:r>
        <w:rPr>
          <w:sz w:val="24"/>
          <w:szCs w:val="22"/>
        </w:rPr>
        <w:t>GSH-</w:t>
      </w:r>
      <w:proofErr w:type="spellStart"/>
      <w:r>
        <w:rPr>
          <w:sz w:val="24"/>
          <w:szCs w:val="22"/>
        </w:rPr>
        <w:t>Px</w:t>
      </w:r>
      <w:proofErr w:type="spellEnd"/>
      <w:r>
        <w:rPr>
          <w:sz w:val="24"/>
          <w:szCs w:val="22"/>
        </w:rPr>
        <w:t>则相反。研究表明，棉酚通过乳酸脱氢酶（</w:t>
      </w:r>
      <w:r>
        <w:rPr>
          <w:sz w:val="24"/>
          <w:szCs w:val="22"/>
        </w:rPr>
        <w:t>LDH</w:t>
      </w:r>
      <w:r>
        <w:rPr>
          <w:sz w:val="24"/>
          <w:szCs w:val="22"/>
        </w:rPr>
        <w:t>）同源酶</w:t>
      </w:r>
      <w:r>
        <w:rPr>
          <w:sz w:val="24"/>
          <w:szCs w:val="22"/>
        </w:rPr>
        <w:t>V</w:t>
      </w:r>
      <w:r>
        <w:rPr>
          <w:sz w:val="24"/>
          <w:szCs w:val="22"/>
        </w:rPr>
        <w:t>型抑制线粒体氧化磷酸化和电子传递，破坏线粒体功能，诱导活性氧的过量产生，从而抑制各种酶活性，造成氧化损伤</w:t>
      </w:r>
      <w:r>
        <w:rPr>
          <w:sz w:val="24"/>
          <w:szCs w:val="22"/>
          <w:vertAlign w:val="superscript"/>
        </w:rPr>
        <w:t>[50]</w:t>
      </w:r>
      <w:r>
        <w:rPr>
          <w:sz w:val="24"/>
          <w:szCs w:val="22"/>
        </w:rPr>
        <w:t>，这表明棉籽浓缩蛋白替代比例过高会抑制大鳞副泥鳅肝脏的抗氧化酶活性，对肝脏抗氧化系统造成一定的损伤，同时</w:t>
      </w:r>
      <w:r>
        <w:rPr>
          <w:sz w:val="24"/>
          <w:szCs w:val="22"/>
        </w:rPr>
        <w:t>ALT</w:t>
      </w:r>
      <w:r>
        <w:rPr>
          <w:sz w:val="24"/>
          <w:szCs w:val="22"/>
        </w:rPr>
        <w:t>和</w:t>
      </w:r>
      <w:r>
        <w:rPr>
          <w:sz w:val="24"/>
          <w:szCs w:val="22"/>
        </w:rPr>
        <w:t>AST</w:t>
      </w:r>
      <w:r>
        <w:rPr>
          <w:sz w:val="24"/>
          <w:szCs w:val="22"/>
        </w:rPr>
        <w:t>活性的变化反映大鳞副泥鳅肝脏组织受损，进而对大鳞副泥鳅抗氧化能力造成一定影响。</w:t>
      </w:r>
    </w:p>
    <w:p w14:paraId="2E2A6FFA" w14:textId="62EBAE93" w:rsidR="00400E98" w:rsidRDefault="00400E98" w:rsidP="00400E98">
      <w:pPr>
        <w:spacing w:line="360" w:lineRule="auto"/>
        <w:rPr>
          <w:sz w:val="24"/>
          <w:szCs w:val="22"/>
        </w:rPr>
      </w:pPr>
      <w:r>
        <w:rPr>
          <w:sz w:val="24"/>
          <w:szCs w:val="22"/>
        </w:rPr>
        <w:t>3.4</w:t>
      </w:r>
      <w:r>
        <w:rPr>
          <w:sz w:val="24"/>
          <w:szCs w:val="22"/>
        </w:rPr>
        <w:t>棉籽浓缩蛋白替代鱼粉对大鳞副泥鳅肠道健康的影响</w:t>
      </w:r>
    </w:p>
    <w:p w14:paraId="2D1687DD" w14:textId="069524F5" w:rsidR="00400E98" w:rsidRDefault="00400E98" w:rsidP="00400E98">
      <w:pPr>
        <w:spacing w:line="360" w:lineRule="auto"/>
        <w:rPr>
          <w:sz w:val="24"/>
          <w:szCs w:val="22"/>
        </w:rPr>
      </w:pPr>
      <w:r>
        <w:rPr>
          <w:sz w:val="24"/>
          <w:szCs w:val="22"/>
        </w:rPr>
        <w:t>3.4.1</w:t>
      </w:r>
      <w:r>
        <w:rPr>
          <w:sz w:val="24"/>
          <w:szCs w:val="22"/>
        </w:rPr>
        <w:t>棉籽浓缩蛋白替代鱼粉对大鳞副泥鳅肠道形态结构和消化酶活性的影响</w:t>
      </w:r>
    </w:p>
    <w:p w14:paraId="5466EC0C" w14:textId="77777777" w:rsidR="00400E98" w:rsidRDefault="00400E98" w:rsidP="00400E98">
      <w:pPr>
        <w:spacing w:line="360" w:lineRule="auto"/>
        <w:ind w:firstLineChars="200" w:firstLine="480"/>
        <w:rPr>
          <w:sz w:val="24"/>
          <w:szCs w:val="22"/>
        </w:rPr>
      </w:pPr>
      <w:r>
        <w:rPr>
          <w:sz w:val="24"/>
          <w:szCs w:val="22"/>
        </w:rPr>
        <w:t>肠道是鱼类营养物质消化和吸收的主要场所，且具有免疫调节功能，在鱼体的代谢、生理调控及免疫方面具有重要作用</w:t>
      </w:r>
      <w:r>
        <w:rPr>
          <w:sz w:val="24"/>
          <w:szCs w:val="22"/>
          <w:vertAlign w:val="superscript"/>
        </w:rPr>
        <w:t>[31</w:t>
      </w:r>
      <w:r>
        <w:rPr>
          <w:rFonts w:hint="eastAsia"/>
          <w:sz w:val="24"/>
          <w:szCs w:val="22"/>
          <w:vertAlign w:val="superscript"/>
        </w:rPr>
        <w:t>,</w:t>
      </w:r>
      <w:r>
        <w:rPr>
          <w:sz w:val="24"/>
          <w:szCs w:val="22"/>
          <w:vertAlign w:val="superscript"/>
        </w:rPr>
        <w:t>51]</w:t>
      </w:r>
      <w:r>
        <w:rPr>
          <w:sz w:val="24"/>
          <w:szCs w:val="22"/>
        </w:rPr>
        <w:t>。绒毛高度、隐窝深度和肌层厚度反映了肠道功能以及形态结构的完整性，是衡量肠道健康的重要指标</w:t>
      </w:r>
      <w:r>
        <w:rPr>
          <w:sz w:val="24"/>
          <w:szCs w:val="22"/>
          <w:vertAlign w:val="superscript"/>
        </w:rPr>
        <w:t>[52]</w:t>
      </w:r>
      <w:r>
        <w:rPr>
          <w:sz w:val="24"/>
          <w:szCs w:val="22"/>
        </w:rPr>
        <w:t>。</w:t>
      </w:r>
      <w:r>
        <w:rPr>
          <w:sz w:val="24"/>
          <w:szCs w:val="22"/>
        </w:rPr>
        <w:t>Liu</w:t>
      </w:r>
      <w:r>
        <w:rPr>
          <w:sz w:val="24"/>
          <w:szCs w:val="22"/>
        </w:rPr>
        <w:t>等</w:t>
      </w:r>
      <w:r>
        <w:rPr>
          <w:sz w:val="24"/>
          <w:szCs w:val="22"/>
          <w:vertAlign w:val="superscript"/>
        </w:rPr>
        <w:t>[53]</w:t>
      </w:r>
      <w:r>
        <w:rPr>
          <w:sz w:val="24"/>
          <w:szCs w:val="22"/>
        </w:rPr>
        <w:t>对多鳞鱸（</w:t>
      </w:r>
      <w:proofErr w:type="spellStart"/>
      <w:r>
        <w:rPr>
          <w:i/>
          <w:iCs/>
          <w:sz w:val="24"/>
          <w:szCs w:val="22"/>
        </w:rPr>
        <w:t>Sillago</w:t>
      </w:r>
      <w:proofErr w:type="spellEnd"/>
      <w:r>
        <w:rPr>
          <w:rFonts w:hint="eastAsia"/>
          <w:sz w:val="24"/>
          <w:szCs w:val="22"/>
        </w:rPr>
        <w:t xml:space="preserve"> </w:t>
      </w:r>
      <w:proofErr w:type="spellStart"/>
      <w:r>
        <w:rPr>
          <w:i/>
          <w:iCs/>
          <w:sz w:val="24"/>
          <w:szCs w:val="22"/>
        </w:rPr>
        <w:t>sihama</w:t>
      </w:r>
      <w:proofErr w:type="spellEnd"/>
      <w:r>
        <w:rPr>
          <w:rFonts w:hint="eastAsia"/>
          <w:i/>
          <w:iCs/>
          <w:sz w:val="24"/>
          <w:szCs w:val="22"/>
        </w:rPr>
        <w:t xml:space="preserve"> </w:t>
      </w:r>
      <w:proofErr w:type="spellStart"/>
      <w:r>
        <w:rPr>
          <w:i/>
          <w:iCs/>
          <w:sz w:val="24"/>
          <w:szCs w:val="22"/>
        </w:rPr>
        <w:t>Forsskal</w:t>
      </w:r>
      <w:proofErr w:type="spellEnd"/>
      <w:r>
        <w:rPr>
          <w:sz w:val="24"/>
          <w:szCs w:val="22"/>
        </w:rPr>
        <w:t>）的研究表明，高替代组肠道组织结构完整性遭到破坏，肠绒毛缩短、脱落或受损。在大口黑鲈的研究中也有相似的结论</w:t>
      </w:r>
      <w:r>
        <w:rPr>
          <w:sz w:val="24"/>
          <w:szCs w:val="22"/>
          <w:vertAlign w:val="superscript"/>
        </w:rPr>
        <w:t>[15]</w:t>
      </w:r>
      <w:r>
        <w:rPr>
          <w:sz w:val="24"/>
          <w:szCs w:val="22"/>
        </w:rPr>
        <w:t>，然而在对鲫鱼（</w:t>
      </w:r>
      <w:r>
        <w:rPr>
          <w:i/>
          <w:iCs/>
          <w:sz w:val="24"/>
          <w:szCs w:val="22"/>
        </w:rPr>
        <w:t>Carassius</w:t>
      </w:r>
      <w:r>
        <w:rPr>
          <w:rFonts w:hint="eastAsia"/>
          <w:i/>
          <w:iCs/>
          <w:sz w:val="24"/>
          <w:szCs w:val="22"/>
        </w:rPr>
        <w:t xml:space="preserve"> </w:t>
      </w:r>
      <w:r>
        <w:rPr>
          <w:i/>
          <w:iCs/>
          <w:sz w:val="24"/>
          <w:szCs w:val="22"/>
        </w:rPr>
        <w:t>auratus</w:t>
      </w:r>
      <w:r>
        <w:rPr>
          <w:rFonts w:hint="eastAsia"/>
          <w:i/>
          <w:iCs/>
          <w:sz w:val="24"/>
          <w:szCs w:val="22"/>
        </w:rPr>
        <w:t xml:space="preserve"> </w:t>
      </w:r>
      <w:proofErr w:type="spellStart"/>
      <w:r>
        <w:rPr>
          <w:i/>
          <w:iCs/>
          <w:sz w:val="24"/>
          <w:szCs w:val="22"/>
        </w:rPr>
        <w:t>gibelio</w:t>
      </w:r>
      <w:proofErr w:type="spellEnd"/>
      <w:r>
        <w:rPr>
          <w:rFonts w:hint="eastAsia"/>
          <w:sz w:val="24"/>
          <w:szCs w:val="22"/>
        </w:rPr>
        <w:t>♀×</w:t>
      </w:r>
      <w:r>
        <w:rPr>
          <w:i/>
          <w:iCs/>
          <w:sz w:val="24"/>
          <w:szCs w:val="22"/>
        </w:rPr>
        <w:t>Cyprinus</w:t>
      </w:r>
      <w:r>
        <w:rPr>
          <w:rFonts w:hint="eastAsia"/>
          <w:i/>
          <w:iCs/>
          <w:sz w:val="24"/>
          <w:szCs w:val="22"/>
        </w:rPr>
        <w:t xml:space="preserve"> </w:t>
      </w:r>
      <w:r>
        <w:rPr>
          <w:i/>
          <w:iCs/>
          <w:sz w:val="24"/>
          <w:szCs w:val="22"/>
        </w:rPr>
        <w:t>carpio</w:t>
      </w:r>
      <w:r>
        <w:rPr>
          <w:rFonts w:hint="eastAsia"/>
          <w:sz w:val="24"/>
          <w:szCs w:val="22"/>
        </w:rPr>
        <w:t>♂</w:t>
      </w:r>
      <w:r>
        <w:rPr>
          <w:sz w:val="24"/>
          <w:szCs w:val="22"/>
        </w:rPr>
        <w:t>）的研究中则发现高替代对其肠道结构未造成显著影响</w:t>
      </w:r>
      <w:r>
        <w:rPr>
          <w:sz w:val="24"/>
          <w:szCs w:val="22"/>
          <w:vertAlign w:val="superscript"/>
        </w:rPr>
        <w:t>[54]</w:t>
      </w:r>
      <w:r>
        <w:rPr>
          <w:sz w:val="24"/>
          <w:szCs w:val="22"/>
        </w:rPr>
        <w:t>，这可能是因为鱼种不同及其对抗营养因子的耐受程度不同。在探究棉酚对草鱼肠道结构屏障的研究中发现，棉酚通过上调草鱼肠道中凋亡因子相关基因表达，加剧肠道细胞凋亡，损害肠道组织学结构</w:t>
      </w:r>
      <w:r>
        <w:rPr>
          <w:sz w:val="24"/>
          <w:szCs w:val="22"/>
          <w:vertAlign w:val="superscript"/>
        </w:rPr>
        <w:t>[46]</w:t>
      </w:r>
      <w:r>
        <w:rPr>
          <w:sz w:val="24"/>
          <w:szCs w:val="22"/>
        </w:rPr>
        <w:t>。在本研究中，</w:t>
      </w:r>
      <w:r>
        <w:rPr>
          <w:sz w:val="24"/>
          <w:szCs w:val="22"/>
        </w:rPr>
        <w:t>CPC80</w:t>
      </w:r>
      <w:r>
        <w:rPr>
          <w:sz w:val="24"/>
          <w:szCs w:val="22"/>
        </w:rPr>
        <w:t>组肠绒毛变得稀疏，绒毛高度显著低于</w:t>
      </w:r>
      <w:r>
        <w:rPr>
          <w:sz w:val="24"/>
          <w:szCs w:val="22"/>
        </w:rPr>
        <w:t>FM</w:t>
      </w:r>
      <w:r>
        <w:rPr>
          <w:sz w:val="24"/>
          <w:szCs w:val="22"/>
        </w:rPr>
        <w:t>组，出现脱落与游离现象；隐窝深度随替代比例的提高呈现上升趋势，</w:t>
      </w:r>
      <w:r>
        <w:rPr>
          <w:sz w:val="24"/>
          <w:szCs w:val="22"/>
        </w:rPr>
        <w:t>CPC68</w:t>
      </w:r>
      <w:r>
        <w:rPr>
          <w:sz w:val="24"/>
          <w:szCs w:val="22"/>
        </w:rPr>
        <w:t>组隐窝深度明显高于</w:t>
      </w:r>
      <w:r>
        <w:rPr>
          <w:sz w:val="24"/>
          <w:szCs w:val="22"/>
        </w:rPr>
        <w:t>FM</w:t>
      </w:r>
      <w:r>
        <w:rPr>
          <w:sz w:val="24"/>
          <w:szCs w:val="22"/>
        </w:rPr>
        <w:t>组，说明高水平棉籽浓缩蛋白替代鱼粉可能通过损害大鳞副泥鳅的肠道结构，降低肠道对营养物质的吸收和运输能力，从而影响肠道健康。</w:t>
      </w:r>
    </w:p>
    <w:p w14:paraId="0B7A5C22" w14:textId="77777777" w:rsidR="00400E98" w:rsidRDefault="00400E98" w:rsidP="00400E98">
      <w:pPr>
        <w:spacing w:line="360" w:lineRule="auto"/>
        <w:ind w:firstLineChars="200" w:firstLine="480"/>
        <w:rPr>
          <w:sz w:val="24"/>
          <w:szCs w:val="22"/>
        </w:rPr>
      </w:pPr>
      <w:r>
        <w:rPr>
          <w:sz w:val="24"/>
          <w:szCs w:val="22"/>
        </w:rPr>
        <w:t>肠道消化酶的活性往往反映肠道的消化能力</w:t>
      </w:r>
      <w:r>
        <w:rPr>
          <w:sz w:val="24"/>
          <w:szCs w:val="22"/>
          <w:vertAlign w:val="superscript"/>
        </w:rPr>
        <w:t>[55]</w:t>
      </w:r>
      <w:r>
        <w:rPr>
          <w:sz w:val="24"/>
          <w:szCs w:val="22"/>
        </w:rPr>
        <w:t>。脂肪酶可以催化酯水解反应、转脂反应和脂合成反应</w:t>
      </w:r>
      <w:r>
        <w:rPr>
          <w:sz w:val="24"/>
          <w:szCs w:val="22"/>
          <w:vertAlign w:val="superscript"/>
        </w:rPr>
        <w:t>[56]</w:t>
      </w:r>
      <w:r>
        <w:rPr>
          <w:sz w:val="24"/>
          <w:szCs w:val="22"/>
        </w:rPr>
        <w:t>。本试验结果表明，当棉籽浓缩蛋白替代比例为</w:t>
      </w:r>
      <w:r>
        <w:rPr>
          <w:sz w:val="24"/>
          <w:szCs w:val="22"/>
        </w:rPr>
        <w:t>44%</w:t>
      </w:r>
      <w:r>
        <w:rPr>
          <w:sz w:val="24"/>
          <w:szCs w:val="22"/>
        </w:rPr>
        <w:t>时，大鳞副泥鳅肠道脂肪酶活性显著高于</w:t>
      </w:r>
      <w:r>
        <w:rPr>
          <w:sz w:val="24"/>
          <w:szCs w:val="22"/>
        </w:rPr>
        <w:t>FM</w:t>
      </w:r>
      <w:r>
        <w:rPr>
          <w:sz w:val="24"/>
          <w:szCs w:val="22"/>
        </w:rPr>
        <w:t>组。肠道胰蛋白酶活性随棉籽浓缩蛋白替代鱼粉比例的提高呈现先升高后降低的变化趋势，表明棉籽浓缩蛋白的替代对大鳞副泥鳅胰蛋白酶活性没有造成负面影响。然而，在对虹鳟幼鱼</w:t>
      </w:r>
      <w:r>
        <w:rPr>
          <w:sz w:val="24"/>
          <w:szCs w:val="22"/>
          <w:vertAlign w:val="superscript"/>
        </w:rPr>
        <w:t>[57]</w:t>
      </w:r>
      <w:r>
        <w:rPr>
          <w:sz w:val="24"/>
          <w:szCs w:val="22"/>
        </w:rPr>
        <w:t>和卵形鲳修</w:t>
      </w:r>
      <w:r>
        <w:rPr>
          <w:sz w:val="24"/>
          <w:szCs w:val="22"/>
          <w:vertAlign w:val="superscript"/>
        </w:rPr>
        <w:t>[18]</w:t>
      </w:r>
      <w:r>
        <w:rPr>
          <w:sz w:val="24"/>
          <w:szCs w:val="22"/>
        </w:rPr>
        <w:t>的研究中发现，棉籽浓缩蛋白的替代会显著降低其肠道胰蛋白酶活性，松浦镜鲤幼鱼</w:t>
      </w:r>
      <w:r>
        <w:rPr>
          <w:sz w:val="24"/>
          <w:szCs w:val="22"/>
          <w:vertAlign w:val="superscript"/>
        </w:rPr>
        <w:t>[34]</w:t>
      </w:r>
      <w:r>
        <w:rPr>
          <w:sz w:val="24"/>
          <w:szCs w:val="22"/>
        </w:rPr>
        <w:t>、黑鲷（</w:t>
      </w:r>
      <w:proofErr w:type="spellStart"/>
      <w:r>
        <w:rPr>
          <w:i/>
          <w:iCs/>
          <w:sz w:val="24"/>
          <w:szCs w:val="22"/>
        </w:rPr>
        <w:t>Acanthopagrus</w:t>
      </w:r>
      <w:proofErr w:type="spellEnd"/>
      <w:r>
        <w:rPr>
          <w:rFonts w:hint="eastAsia"/>
          <w:i/>
          <w:iCs/>
          <w:sz w:val="24"/>
          <w:szCs w:val="22"/>
        </w:rPr>
        <w:t xml:space="preserve"> </w:t>
      </w:r>
      <w:r>
        <w:rPr>
          <w:i/>
          <w:iCs/>
          <w:sz w:val="24"/>
          <w:szCs w:val="22"/>
        </w:rPr>
        <w:t>schlegelii</w:t>
      </w:r>
      <w:r>
        <w:rPr>
          <w:sz w:val="24"/>
          <w:szCs w:val="22"/>
        </w:rPr>
        <w:t>）幼鱼</w:t>
      </w:r>
      <w:r>
        <w:rPr>
          <w:sz w:val="24"/>
          <w:szCs w:val="22"/>
          <w:vertAlign w:val="superscript"/>
        </w:rPr>
        <w:t>[56]</w:t>
      </w:r>
      <w:r>
        <w:rPr>
          <w:sz w:val="24"/>
          <w:szCs w:val="22"/>
        </w:rPr>
        <w:lastRenderedPageBreak/>
        <w:t>等杂食性鱼类的肠道胰蛋白酶则随棉籽浓缩蛋白替代比例的提高表现出先上升后下降的趋势，这可能是鱼类食性的不同造成的，杂食性鱼类对植物蛋白质的适应性更强，而肉食性鱼类缺乏利用植物性蛋白质源的相关酶系，对植物蛋白质的利用率比较差</w:t>
      </w:r>
      <w:r>
        <w:rPr>
          <w:sz w:val="24"/>
          <w:szCs w:val="22"/>
          <w:vertAlign w:val="superscript"/>
        </w:rPr>
        <w:t>[58]</w:t>
      </w:r>
      <w:r>
        <w:rPr>
          <w:sz w:val="24"/>
          <w:szCs w:val="22"/>
        </w:rPr>
        <w:t>。本研究表明，适宜比例棉籽浓缩蛋白替代鱼粉可能通过提高大鳞副泥鳅肠道胰蛋白酶和脂肪酶活性，提升其对植物蛋白质的利用率，促进脂类物质水解，从而提高机体对营养物质的消化吸收</w:t>
      </w:r>
      <w:r>
        <w:rPr>
          <w:sz w:val="24"/>
          <w:szCs w:val="22"/>
          <w:vertAlign w:val="superscript"/>
        </w:rPr>
        <w:t>[59]</w:t>
      </w:r>
      <w:r>
        <w:rPr>
          <w:sz w:val="24"/>
          <w:szCs w:val="22"/>
        </w:rPr>
        <w:t>。</w:t>
      </w:r>
    </w:p>
    <w:p w14:paraId="702D3AAC" w14:textId="22B77F88" w:rsidR="00400E98" w:rsidRDefault="00400E98" w:rsidP="00400E98">
      <w:pPr>
        <w:spacing w:line="360" w:lineRule="auto"/>
        <w:rPr>
          <w:sz w:val="24"/>
          <w:szCs w:val="22"/>
        </w:rPr>
      </w:pPr>
      <w:r>
        <w:rPr>
          <w:sz w:val="24"/>
          <w:szCs w:val="22"/>
        </w:rPr>
        <w:t>3.4.2</w:t>
      </w:r>
      <w:r>
        <w:rPr>
          <w:sz w:val="24"/>
          <w:szCs w:val="22"/>
        </w:rPr>
        <w:t>棉籽浓缩蛋白替代鱼粉对大鳞副泥鳅肠道菌群的影响</w:t>
      </w:r>
    </w:p>
    <w:p w14:paraId="1230CCC7" w14:textId="77777777" w:rsidR="00400E98" w:rsidRDefault="00400E98" w:rsidP="00400E98">
      <w:pPr>
        <w:spacing w:line="360" w:lineRule="auto"/>
        <w:ind w:firstLineChars="200" w:firstLine="480"/>
        <w:rPr>
          <w:sz w:val="24"/>
          <w:szCs w:val="22"/>
        </w:rPr>
      </w:pPr>
      <w:r>
        <w:rPr>
          <w:sz w:val="24"/>
          <w:szCs w:val="22"/>
        </w:rPr>
        <w:t>肠道菌群是一个与宿主共生的复杂生态系统，通过代谢交换与宿主相互作用，影响其生长、免疫、营养和代谢水平等诸多方面</w:t>
      </w:r>
      <w:r>
        <w:rPr>
          <w:sz w:val="24"/>
          <w:szCs w:val="22"/>
          <w:vertAlign w:val="superscript"/>
        </w:rPr>
        <w:t>[60-61]</w:t>
      </w:r>
      <w:r>
        <w:rPr>
          <w:sz w:val="24"/>
          <w:szCs w:val="22"/>
        </w:rPr>
        <w:t>，在正常肠道功能的发展和肠道稳态的维持中起着至关重要的作用</w:t>
      </w:r>
      <w:r>
        <w:rPr>
          <w:sz w:val="24"/>
          <w:szCs w:val="22"/>
          <w:vertAlign w:val="superscript"/>
        </w:rPr>
        <w:t>[62]</w:t>
      </w:r>
      <w:r>
        <w:rPr>
          <w:sz w:val="24"/>
          <w:szCs w:val="22"/>
        </w:rPr>
        <w:t>。鱼类肠道菌群的组成和丰度受环境、饲料、遗传等方面的影响</w:t>
      </w:r>
      <w:r>
        <w:rPr>
          <w:sz w:val="24"/>
          <w:szCs w:val="22"/>
          <w:vertAlign w:val="superscript"/>
        </w:rPr>
        <w:t>[20</w:t>
      </w:r>
      <w:r>
        <w:rPr>
          <w:rFonts w:hint="eastAsia"/>
          <w:sz w:val="24"/>
          <w:szCs w:val="22"/>
          <w:vertAlign w:val="superscript"/>
        </w:rPr>
        <w:t>,</w:t>
      </w:r>
      <w:r>
        <w:rPr>
          <w:sz w:val="24"/>
          <w:szCs w:val="22"/>
          <w:vertAlign w:val="superscript"/>
        </w:rPr>
        <w:t>43</w:t>
      </w:r>
      <w:r>
        <w:rPr>
          <w:rFonts w:hint="eastAsia"/>
          <w:sz w:val="24"/>
          <w:szCs w:val="22"/>
          <w:vertAlign w:val="superscript"/>
        </w:rPr>
        <w:t>,</w:t>
      </w:r>
      <w:r>
        <w:rPr>
          <w:sz w:val="24"/>
          <w:szCs w:val="22"/>
          <w:vertAlign w:val="superscript"/>
        </w:rPr>
        <w:t>63]</w:t>
      </w:r>
      <w:r>
        <w:rPr>
          <w:sz w:val="24"/>
          <w:szCs w:val="22"/>
        </w:rPr>
        <w:t>。本研究表明，与</w:t>
      </w:r>
      <w:r>
        <w:rPr>
          <w:sz w:val="24"/>
          <w:szCs w:val="22"/>
        </w:rPr>
        <w:t>FM</w:t>
      </w:r>
      <w:r>
        <w:rPr>
          <w:sz w:val="24"/>
          <w:szCs w:val="22"/>
        </w:rPr>
        <w:t>组相比，棉籽浓缩蛋白替代鱼粉对大鳞副泥鳅肠道菌群的多样性和丰富度无显著影响，这与在草鱼</w:t>
      </w:r>
      <w:r>
        <w:rPr>
          <w:sz w:val="24"/>
          <w:szCs w:val="22"/>
          <w:vertAlign w:val="superscript"/>
        </w:rPr>
        <w:t>[64]</w:t>
      </w:r>
      <w:r>
        <w:rPr>
          <w:sz w:val="24"/>
          <w:szCs w:val="22"/>
        </w:rPr>
        <w:t>上的研究结果相似。</w:t>
      </w:r>
      <w:r>
        <w:rPr>
          <w:sz w:val="24"/>
          <w:szCs w:val="22"/>
        </w:rPr>
        <w:t>β</w:t>
      </w:r>
      <w:r>
        <w:rPr>
          <w:sz w:val="24"/>
          <w:szCs w:val="22"/>
        </w:rPr>
        <w:t>多样性结果表明，棉籽浓缩蛋白替代组与</w:t>
      </w:r>
      <w:r>
        <w:rPr>
          <w:sz w:val="24"/>
          <w:szCs w:val="22"/>
        </w:rPr>
        <w:t>FM</w:t>
      </w:r>
      <w:r>
        <w:rPr>
          <w:sz w:val="24"/>
          <w:szCs w:val="22"/>
        </w:rPr>
        <w:t>组肠道菌群结构之间具有显著差异，</w:t>
      </w:r>
      <w:r>
        <w:rPr>
          <w:sz w:val="24"/>
          <w:szCs w:val="22"/>
        </w:rPr>
        <w:t>CPC80</w:t>
      </w:r>
      <w:r>
        <w:rPr>
          <w:sz w:val="24"/>
          <w:szCs w:val="22"/>
        </w:rPr>
        <w:t>组呈聚集状，</w:t>
      </w:r>
      <w:r>
        <w:rPr>
          <w:sz w:val="24"/>
          <w:szCs w:val="22"/>
        </w:rPr>
        <w:t>FM</w:t>
      </w:r>
      <w:r>
        <w:rPr>
          <w:sz w:val="24"/>
          <w:szCs w:val="22"/>
        </w:rPr>
        <w:t>组与</w:t>
      </w:r>
      <w:r>
        <w:rPr>
          <w:sz w:val="24"/>
          <w:szCs w:val="22"/>
        </w:rPr>
        <w:t>CPC32</w:t>
      </w:r>
      <w:r>
        <w:rPr>
          <w:sz w:val="24"/>
          <w:szCs w:val="22"/>
        </w:rPr>
        <w:t>组成分散状，这表明</w:t>
      </w:r>
      <w:r>
        <w:rPr>
          <w:sz w:val="24"/>
          <w:szCs w:val="22"/>
        </w:rPr>
        <w:t>CPC80</w:t>
      </w:r>
      <w:r>
        <w:rPr>
          <w:sz w:val="24"/>
          <w:szCs w:val="22"/>
        </w:rPr>
        <w:t>组大鳞副泥鳅的肠道菌群比</w:t>
      </w:r>
      <w:r>
        <w:rPr>
          <w:sz w:val="24"/>
          <w:szCs w:val="22"/>
        </w:rPr>
        <w:t>CPC32</w:t>
      </w:r>
      <w:r>
        <w:rPr>
          <w:sz w:val="24"/>
          <w:szCs w:val="22"/>
        </w:rPr>
        <w:t>组和</w:t>
      </w:r>
      <w:r>
        <w:rPr>
          <w:sz w:val="24"/>
          <w:szCs w:val="22"/>
        </w:rPr>
        <w:t>FM</w:t>
      </w:r>
      <w:r>
        <w:rPr>
          <w:sz w:val="24"/>
          <w:szCs w:val="22"/>
        </w:rPr>
        <w:t>组的肠道菌群具有更高的特异性，这与</w:t>
      </w:r>
      <w:proofErr w:type="spellStart"/>
      <w:r>
        <w:rPr>
          <w:sz w:val="24"/>
          <w:szCs w:val="22"/>
        </w:rPr>
        <w:t>LEfSe</w:t>
      </w:r>
      <w:proofErr w:type="spellEnd"/>
      <w:r>
        <w:rPr>
          <w:sz w:val="24"/>
          <w:szCs w:val="22"/>
        </w:rPr>
        <w:t>分析的结果一致，说明棉籽浓缩蛋白替代鱼粉可能改变了大鳞副泥鳅的肠道菌群结构。研究表明，泥鳅的肠道菌群主要包括变形菌门和放线菌门</w:t>
      </w:r>
      <w:r>
        <w:rPr>
          <w:sz w:val="24"/>
          <w:szCs w:val="22"/>
          <w:vertAlign w:val="superscript"/>
        </w:rPr>
        <w:t>[63</w:t>
      </w:r>
      <w:r>
        <w:rPr>
          <w:rFonts w:hint="eastAsia"/>
          <w:sz w:val="24"/>
          <w:szCs w:val="22"/>
          <w:vertAlign w:val="superscript"/>
        </w:rPr>
        <w:t>,</w:t>
      </w:r>
      <w:r>
        <w:rPr>
          <w:sz w:val="24"/>
          <w:szCs w:val="22"/>
          <w:vertAlign w:val="superscript"/>
        </w:rPr>
        <w:t>65-66]</w:t>
      </w:r>
      <w:r>
        <w:rPr>
          <w:sz w:val="24"/>
          <w:szCs w:val="22"/>
        </w:rPr>
        <w:t>，本试验得到类似的结果。变形菌门分布着大量的致病菌，因此被普遍认为是一种潜在的致病标志菌</w:t>
      </w:r>
      <w:r>
        <w:rPr>
          <w:sz w:val="24"/>
          <w:szCs w:val="22"/>
          <w:vertAlign w:val="superscript"/>
        </w:rPr>
        <w:t>[67]</w:t>
      </w:r>
      <w:r>
        <w:rPr>
          <w:sz w:val="24"/>
          <w:szCs w:val="22"/>
        </w:rPr>
        <w:t>，当变形菌门相对丰度提高时，稳态失调通常会导致宿主营养与代谢紊乱或免疫失调</w:t>
      </w:r>
      <w:r>
        <w:rPr>
          <w:sz w:val="24"/>
          <w:szCs w:val="22"/>
          <w:vertAlign w:val="superscript"/>
        </w:rPr>
        <w:t>[68]</w:t>
      </w:r>
      <w:r>
        <w:rPr>
          <w:sz w:val="24"/>
          <w:szCs w:val="22"/>
        </w:rPr>
        <w:t>。厚壁菌门和拟杆菌门具有提高鱼类消化率和免疫状态的能力</w:t>
      </w:r>
      <w:r>
        <w:rPr>
          <w:sz w:val="24"/>
          <w:szCs w:val="22"/>
          <w:vertAlign w:val="superscript"/>
        </w:rPr>
        <w:t>[61]</w:t>
      </w:r>
      <w:r>
        <w:rPr>
          <w:sz w:val="24"/>
          <w:szCs w:val="22"/>
        </w:rPr>
        <w:t>。</w:t>
      </w:r>
      <w:r>
        <w:rPr>
          <w:sz w:val="24"/>
          <w:szCs w:val="22"/>
        </w:rPr>
        <w:t>F/B</w:t>
      </w:r>
      <w:r>
        <w:rPr>
          <w:sz w:val="24"/>
          <w:szCs w:val="22"/>
        </w:rPr>
        <w:t>值升高是肠道菌群失调的一个典型特征</w:t>
      </w:r>
      <w:r>
        <w:rPr>
          <w:sz w:val="24"/>
          <w:szCs w:val="22"/>
          <w:vertAlign w:val="superscript"/>
        </w:rPr>
        <w:t>[69]</w:t>
      </w:r>
      <w:r>
        <w:rPr>
          <w:sz w:val="24"/>
          <w:szCs w:val="22"/>
        </w:rPr>
        <w:t>，且</w:t>
      </w:r>
      <w:r>
        <w:rPr>
          <w:sz w:val="24"/>
          <w:szCs w:val="22"/>
        </w:rPr>
        <w:t>F/B</w:t>
      </w:r>
      <w:r>
        <w:rPr>
          <w:sz w:val="24"/>
          <w:szCs w:val="22"/>
        </w:rPr>
        <w:t>值升高通常与肥胖、糖尿病和代谢障碍相关</w:t>
      </w:r>
      <w:r>
        <w:rPr>
          <w:sz w:val="24"/>
          <w:szCs w:val="22"/>
          <w:vertAlign w:val="superscript"/>
        </w:rPr>
        <w:t>[70]</w:t>
      </w:r>
      <w:r>
        <w:rPr>
          <w:sz w:val="24"/>
          <w:szCs w:val="22"/>
        </w:rPr>
        <w:t>。据报道，棉籽浓缩蛋白替代鱼粉后草鱼肠道变形菌门相对丰度呈现先降低后升高的趋势</w:t>
      </w:r>
      <w:r>
        <w:rPr>
          <w:sz w:val="24"/>
          <w:szCs w:val="22"/>
          <w:vertAlign w:val="superscript"/>
        </w:rPr>
        <w:t>[64]</w:t>
      </w:r>
      <w:r>
        <w:rPr>
          <w:sz w:val="24"/>
          <w:szCs w:val="22"/>
        </w:rPr>
        <w:t>，杂交石斑鱼（</w:t>
      </w:r>
      <w:r>
        <w:rPr>
          <w:i/>
          <w:iCs/>
          <w:sz w:val="24"/>
          <w:szCs w:val="22"/>
        </w:rPr>
        <w:t>Epinephelus</w:t>
      </w:r>
      <w:r>
        <w:rPr>
          <w:rFonts w:hint="eastAsia"/>
          <w:i/>
          <w:iCs/>
          <w:sz w:val="24"/>
          <w:szCs w:val="22"/>
        </w:rPr>
        <w:t xml:space="preserve"> </w:t>
      </w:r>
      <w:proofErr w:type="spellStart"/>
      <w:r>
        <w:rPr>
          <w:i/>
          <w:iCs/>
          <w:sz w:val="24"/>
          <w:szCs w:val="22"/>
        </w:rPr>
        <w:t>fuscoguttatus</w:t>
      </w:r>
      <w:proofErr w:type="spellEnd"/>
      <w:r>
        <w:rPr>
          <w:rFonts w:hint="eastAsia"/>
          <w:sz w:val="24"/>
          <w:szCs w:val="22"/>
        </w:rPr>
        <w:t>♀×</w:t>
      </w:r>
      <w:r>
        <w:rPr>
          <w:i/>
          <w:iCs/>
          <w:sz w:val="24"/>
          <w:szCs w:val="22"/>
        </w:rPr>
        <w:t>Epinephelus</w:t>
      </w:r>
      <w:r>
        <w:rPr>
          <w:rFonts w:hint="eastAsia"/>
          <w:i/>
          <w:iCs/>
          <w:sz w:val="24"/>
          <w:szCs w:val="22"/>
        </w:rPr>
        <w:t xml:space="preserve"> </w:t>
      </w:r>
      <w:r>
        <w:rPr>
          <w:i/>
          <w:iCs/>
          <w:sz w:val="24"/>
          <w:szCs w:val="22"/>
        </w:rPr>
        <w:t>lanceolatus</w:t>
      </w:r>
      <w:r>
        <w:rPr>
          <w:rFonts w:hint="eastAsia"/>
          <w:sz w:val="24"/>
          <w:szCs w:val="22"/>
        </w:rPr>
        <w:t>♂</w:t>
      </w:r>
      <w:r>
        <w:rPr>
          <w:sz w:val="24"/>
          <w:szCs w:val="22"/>
        </w:rPr>
        <w:t>）肠道厚壁菌门和拟杆菌门相对丰度则随替代比例的提高逐渐降低</w:t>
      </w:r>
      <w:r>
        <w:rPr>
          <w:sz w:val="24"/>
          <w:szCs w:val="22"/>
          <w:vertAlign w:val="superscript"/>
        </w:rPr>
        <w:t>[43]</w:t>
      </w:r>
      <w:r>
        <w:rPr>
          <w:sz w:val="24"/>
          <w:szCs w:val="22"/>
        </w:rPr>
        <w:t>。本研究中，肠道变形菌门相对丰度在</w:t>
      </w:r>
      <w:r>
        <w:rPr>
          <w:sz w:val="24"/>
          <w:szCs w:val="22"/>
        </w:rPr>
        <w:t>CPC32</w:t>
      </w:r>
      <w:r>
        <w:rPr>
          <w:sz w:val="24"/>
          <w:szCs w:val="22"/>
        </w:rPr>
        <w:t>组降低，在</w:t>
      </w:r>
      <w:r>
        <w:rPr>
          <w:sz w:val="24"/>
          <w:szCs w:val="22"/>
        </w:rPr>
        <w:t>CPC80</w:t>
      </w:r>
      <w:r>
        <w:rPr>
          <w:sz w:val="24"/>
          <w:szCs w:val="22"/>
        </w:rPr>
        <w:t>组又升高，厚壁菌门和拟杆菌门则相反，日</w:t>
      </w:r>
      <w:r>
        <w:rPr>
          <w:sz w:val="24"/>
          <w:szCs w:val="22"/>
        </w:rPr>
        <w:t>F/B</w:t>
      </w:r>
      <w:r>
        <w:rPr>
          <w:sz w:val="24"/>
          <w:szCs w:val="22"/>
        </w:rPr>
        <w:t>值随替代比例的提高而升高，这说明适当比例棉籽浓缩蛋白替代鱼粉可能通过降低肠道有害菌相对丰度，提高肠道有益菌相对丰度，有益于维持肠道菌群稳态；而替代比例过高时，大鳞副泥鳅肠道中有害菌相对丰度提高，有益菌相对丰度降低，这可能与棉籽浓缩蛋白中的抗营养因子棉酚有关</w:t>
      </w:r>
      <w:r>
        <w:rPr>
          <w:sz w:val="24"/>
          <w:szCs w:val="22"/>
          <w:vertAlign w:val="superscript"/>
        </w:rPr>
        <w:t>[71]</w:t>
      </w:r>
      <w:r>
        <w:rPr>
          <w:sz w:val="24"/>
          <w:szCs w:val="22"/>
        </w:rPr>
        <w:t>，饲料中棉酚含量过高，破坏了肠道菌群的稳态，阻碍了有益菌的生长</w:t>
      </w:r>
      <w:r>
        <w:rPr>
          <w:sz w:val="24"/>
          <w:szCs w:val="22"/>
          <w:vertAlign w:val="superscript"/>
        </w:rPr>
        <w:t>[72]</w:t>
      </w:r>
      <w:r>
        <w:rPr>
          <w:sz w:val="24"/>
          <w:szCs w:val="22"/>
        </w:rPr>
        <w:t>，进而影响代谢与免疫能力，这与血清生化指标的结果保持一致，进一步印证高水平棉籽浓缩蛋白替代鱼粉蛋白可能影响大鳞副泥鳅糖和脂代谢，对肠道健康造成不利影响。分枝杆菌属于革</w:t>
      </w:r>
      <w:r>
        <w:rPr>
          <w:sz w:val="24"/>
          <w:szCs w:val="22"/>
        </w:rPr>
        <w:lastRenderedPageBreak/>
        <w:t>兰氏阳性菌，具有致病性，经消化道、破坏皮肤黏膜等途径，并经血液循环等方式引起其他部位感染，引起一系列疾病</w:t>
      </w:r>
      <w:r>
        <w:rPr>
          <w:sz w:val="24"/>
          <w:szCs w:val="22"/>
          <w:vertAlign w:val="superscript"/>
        </w:rPr>
        <w:t>[73]</w:t>
      </w:r>
      <w:r>
        <w:rPr>
          <w:sz w:val="24"/>
          <w:szCs w:val="22"/>
        </w:rPr>
        <w:t>。本研究发现，</w:t>
      </w:r>
      <w:r>
        <w:rPr>
          <w:sz w:val="24"/>
          <w:szCs w:val="22"/>
        </w:rPr>
        <w:t>CPC80</w:t>
      </w:r>
      <w:r>
        <w:rPr>
          <w:sz w:val="24"/>
          <w:szCs w:val="22"/>
        </w:rPr>
        <w:t>组主要优势菌群为分枝杆菌属，其相对丰度与抗氧化和免疫相关指标呈负相关；且与</w:t>
      </w:r>
      <w:r>
        <w:rPr>
          <w:sz w:val="24"/>
          <w:szCs w:val="22"/>
        </w:rPr>
        <w:t>FM</w:t>
      </w:r>
      <w:r>
        <w:rPr>
          <w:sz w:val="24"/>
          <w:szCs w:val="22"/>
        </w:rPr>
        <w:t>组相比，</w:t>
      </w:r>
      <w:r>
        <w:rPr>
          <w:sz w:val="24"/>
          <w:szCs w:val="22"/>
        </w:rPr>
        <w:t>CPC80</w:t>
      </w:r>
      <w:r>
        <w:rPr>
          <w:sz w:val="24"/>
          <w:szCs w:val="22"/>
        </w:rPr>
        <w:t>组分枝杆菌属相对丰度显著提高，结合抗氧化和免疫指标结果推测，高水平棉籽浓缩蛋白替代鱼粉可能通过提高肠道分枝杆菌属相对丰度提高大鳞副泥鳅致病风险，影响抗氧化能力和免疫功能。</w:t>
      </w:r>
    </w:p>
    <w:p w14:paraId="752C9E2B" w14:textId="74A4448B" w:rsidR="00400E98" w:rsidRDefault="00400E98" w:rsidP="00400E98">
      <w:pPr>
        <w:spacing w:line="360" w:lineRule="auto"/>
        <w:rPr>
          <w:sz w:val="24"/>
          <w:szCs w:val="22"/>
        </w:rPr>
      </w:pPr>
      <w:r>
        <w:rPr>
          <w:sz w:val="24"/>
          <w:szCs w:val="22"/>
        </w:rPr>
        <w:t>4</w:t>
      </w:r>
      <w:r>
        <w:rPr>
          <w:sz w:val="24"/>
          <w:szCs w:val="22"/>
        </w:rPr>
        <w:t>结论</w:t>
      </w:r>
    </w:p>
    <w:p w14:paraId="4BBCDA72" w14:textId="77777777" w:rsidR="00400E98" w:rsidRDefault="00400E98" w:rsidP="00400E98">
      <w:pPr>
        <w:spacing w:line="360" w:lineRule="auto"/>
        <w:ind w:firstLineChars="200" w:firstLine="480"/>
        <w:rPr>
          <w:sz w:val="24"/>
          <w:szCs w:val="22"/>
        </w:rPr>
      </w:pPr>
      <w:r>
        <w:rPr>
          <w:sz w:val="24"/>
          <w:szCs w:val="22"/>
        </w:rPr>
        <w:t>在本试验条件下，饲料中棉籽浓缩蛋白替代鱼粉比例为</w:t>
      </w:r>
      <w:r>
        <w:rPr>
          <w:sz w:val="24"/>
          <w:szCs w:val="22"/>
        </w:rPr>
        <w:t>32%</w:t>
      </w:r>
      <w:r>
        <w:rPr>
          <w:sz w:val="24"/>
          <w:szCs w:val="22"/>
        </w:rPr>
        <w:t>和</w:t>
      </w:r>
      <w:r>
        <w:rPr>
          <w:sz w:val="24"/>
          <w:szCs w:val="22"/>
        </w:rPr>
        <w:t>44%</w:t>
      </w:r>
      <w:r>
        <w:rPr>
          <w:sz w:val="24"/>
          <w:szCs w:val="22"/>
        </w:rPr>
        <w:t>时对大鳞副泥鳅生长无负面影响，基于</w:t>
      </w:r>
      <w:r>
        <w:rPr>
          <w:sz w:val="24"/>
          <w:szCs w:val="22"/>
        </w:rPr>
        <w:t>WGR</w:t>
      </w:r>
      <w:r>
        <w:rPr>
          <w:sz w:val="24"/>
          <w:szCs w:val="22"/>
        </w:rPr>
        <w:t>的折线模型分析，大鳞副泥鳅饲料中棉籽浓缩蛋白替代鱼粉的适宜比例为</w:t>
      </w:r>
      <w:r>
        <w:rPr>
          <w:sz w:val="24"/>
          <w:szCs w:val="22"/>
        </w:rPr>
        <w:t>30.46%</w:t>
      </w:r>
      <w:r>
        <w:rPr>
          <w:sz w:val="24"/>
          <w:szCs w:val="22"/>
        </w:rPr>
        <w:t>。高水平棉籽浓缩蛋白替代鱼粉可能通过降低大鳞副泥鳅抗病力，影响肝脏和肠道健康，从而抑制生长。</w:t>
      </w:r>
    </w:p>
    <w:p w14:paraId="271526F3" w14:textId="77777777" w:rsidR="00400E98" w:rsidRDefault="00400E98" w:rsidP="00400E98">
      <w:pPr>
        <w:spacing w:line="360" w:lineRule="auto"/>
        <w:rPr>
          <w:sz w:val="24"/>
        </w:rPr>
      </w:pPr>
      <w:r>
        <w:rPr>
          <w:rFonts w:hint="eastAsia"/>
          <w:sz w:val="24"/>
        </w:rPr>
        <w:t>参考文献：略</w:t>
      </w:r>
    </w:p>
    <w:p w14:paraId="71840274" w14:textId="3CDB774C" w:rsidR="00400E98" w:rsidRDefault="00400E98" w:rsidP="00400E98">
      <w:pPr>
        <w:widowControl/>
        <w:jc w:val="right"/>
      </w:pPr>
      <w:r>
        <w:rPr>
          <w:rFonts w:hint="eastAsia"/>
          <w:szCs w:val="21"/>
        </w:rPr>
        <w:t>原文刊登在《动物营养学报》</w:t>
      </w:r>
      <w:r w:rsidR="00DA479E" w:rsidRPr="009F0619">
        <w:rPr>
          <w:rFonts w:hint="eastAsia"/>
          <w:sz w:val="24"/>
        </w:rPr>
        <w:t>2025</w:t>
      </w:r>
      <w:r w:rsidR="00DA479E" w:rsidRPr="009F0619">
        <w:rPr>
          <w:rFonts w:hint="eastAsia"/>
          <w:sz w:val="24"/>
        </w:rPr>
        <w:t>年第</w:t>
      </w:r>
      <w:r w:rsidR="00DA479E">
        <w:rPr>
          <w:rFonts w:hint="eastAsia"/>
          <w:sz w:val="24"/>
        </w:rPr>
        <w:t>5</w:t>
      </w:r>
      <w:r w:rsidR="00DA479E" w:rsidRPr="009F0619">
        <w:rPr>
          <w:rFonts w:hint="eastAsia"/>
          <w:sz w:val="24"/>
        </w:rPr>
        <w:t>期</w:t>
      </w:r>
    </w:p>
    <w:p w14:paraId="2E35AEE0" w14:textId="77777777" w:rsidR="00400E98" w:rsidRPr="003824DC" w:rsidRDefault="00400E98" w:rsidP="00C116A1">
      <w:pPr>
        <w:jc w:val="center"/>
        <w:outlineLvl w:val="1"/>
        <w:rPr>
          <w:rFonts w:ascii="黑体" w:eastAsia="黑体" w:hAnsi="黑体" w:cs="黑体" w:hint="eastAsia"/>
          <w:b/>
          <w:bCs/>
          <w:sz w:val="32"/>
          <w:szCs w:val="32"/>
        </w:rPr>
      </w:pPr>
      <w:bookmarkStart w:id="44" w:name="_Toc220673119"/>
      <w:r w:rsidRPr="003824DC">
        <w:rPr>
          <w:rFonts w:ascii="黑体" w:eastAsia="黑体" w:hAnsi="黑体" w:cs="黑体" w:hint="eastAsia"/>
          <w:b/>
          <w:bCs/>
          <w:sz w:val="32"/>
          <w:szCs w:val="32"/>
        </w:rPr>
        <w:t>饲料添加白藜芦醇对大口黑鲈生长、抗氧化及氨氮解毒的影响</w:t>
      </w:r>
      <w:bookmarkEnd w:id="44"/>
    </w:p>
    <w:p w14:paraId="5C82850A" w14:textId="77777777" w:rsidR="00400E98" w:rsidRPr="003824DC" w:rsidRDefault="00400E98" w:rsidP="00400E98">
      <w:pPr>
        <w:jc w:val="center"/>
        <w:rPr>
          <w:szCs w:val="21"/>
        </w:rPr>
      </w:pPr>
      <w:r w:rsidRPr="003824DC">
        <w:rPr>
          <w:rFonts w:hint="eastAsia"/>
          <w:szCs w:val="21"/>
        </w:rPr>
        <w:t>岳颍淇</w:t>
      </w:r>
      <w:r w:rsidRPr="003824DC">
        <w:rPr>
          <w:szCs w:val="21"/>
          <w:vertAlign w:val="superscript"/>
        </w:rPr>
        <w:t>1</w:t>
      </w:r>
      <w:r w:rsidRPr="003824DC">
        <w:rPr>
          <w:rFonts w:hint="eastAsia"/>
          <w:szCs w:val="21"/>
        </w:rPr>
        <w:t>，</w:t>
      </w:r>
      <w:r w:rsidRPr="003824DC">
        <w:rPr>
          <w:rFonts w:hint="eastAsia"/>
          <w:szCs w:val="21"/>
        </w:rPr>
        <w:t xml:space="preserve"> </w:t>
      </w:r>
      <w:r w:rsidRPr="003824DC">
        <w:rPr>
          <w:rFonts w:hint="eastAsia"/>
          <w:szCs w:val="21"/>
        </w:rPr>
        <w:t>王识栋</w:t>
      </w:r>
      <w:r w:rsidRPr="003824DC">
        <w:rPr>
          <w:szCs w:val="21"/>
          <w:vertAlign w:val="superscript"/>
        </w:rPr>
        <w:t>1</w:t>
      </w:r>
      <w:r w:rsidRPr="003824DC">
        <w:rPr>
          <w:rFonts w:hint="eastAsia"/>
          <w:szCs w:val="21"/>
        </w:rPr>
        <w:t>，</w:t>
      </w:r>
      <w:r w:rsidRPr="003824DC">
        <w:rPr>
          <w:rFonts w:hint="eastAsia"/>
          <w:szCs w:val="21"/>
        </w:rPr>
        <w:t xml:space="preserve"> </w:t>
      </w:r>
      <w:r w:rsidRPr="003824DC">
        <w:rPr>
          <w:rFonts w:hint="eastAsia"/>
          <w:szCs w:val="21"/>
        </w:rPr>
        <w:t>唐延杰</w:t>
      </w:r>
      <w:r w:rsidRPr="003824DC">
        <w:rPr>
          <w:szCs w:val="21"/>
          <w:vertAlign w:val="superscript"/>
        </w:rPr>
        <w:t>1</w:t>
      </w:r>
      <w:r w:rsidRPr="003824DC">
        <w:rPr>
          <w:rFonts w:hint="eastAsia"/>
          <w:szCs w:val="21"/>
        </w:rPr>
        <w:t>，</w:t>
      </w:r>
      <w:r w:rsidRPr="003824DC">
        <w:rPr>
          <w:rFonts w:hint="eastAsia"/>
          <w:szCs w:val="21"/>
        </w:rPr>
        <w:t xml:space="preserve"> </w:t>
      </w:r>
      <w:r w:rsidRPr="003824DC">
        <w:rPr>
          <w:rFonts w:hint="eastAsia"/>
          <w:szCs w:val="21"/>
        </w:rPr>
        <w:t>冯德祥</w:t>
      </w:r>
      <w:r w:rsidRPr="003824DC">
        <w:rPr>
          <w:szCs w:val="21"/>
          <w:vertAlign w:val="superscript"/>
        </w:rPr>
        <w:t>2*</w:t>
      </w:r>
      <w:r w:rsidRPr="003824DC">
        <w:rPr>
          <w:rFonts w:hint="eastAsia"/>
          <w:szCs w:val="21"/>
        </w:rPr>
        <w:t>，</w:t>
      </w:r>
      <w:r w:rsidRPr="003824DC">
        <w:rPr>
          <w:rFonts w:hint="eastAsia"/>
          <w:szCs w:val="21"/>
        </w:rPr>
        <w:t xml:space="preserve"> </w:t>
      </w:r>
      <w:r w:rsidRPr="003824DC">
        <w:rPr>
          <w:rFonts w:hint="eastAsia"/>
          <w:szCs w:val="21"/>
        </w:rPr>
        <w:t>黎</w:t>
      </w:r>
      <w:r w:rsidRPr="003824DC">
        <w:rPr>
          <w:rFonts w:hint="eastAsia"/>
          <w:szCs w:val="21"/>
        </w:rPr>
        <w:t xml:space="preserve"> </w:t>
      </w:r>
      <w:r w:rsidRPr="003824DC">
        <w:rPr>
          <w:rFonts w:hint="eastAsia"/>
          <w:szCs w:val="21"/>
        </w:rPr>
        <w:t>明</w:t>
      </w:r>
      <w:r w:rsidRPr="003824DC">
        <w:rPr>
          <w:szCs w:val="21"/>
          <w:vertAlign w:val="superscript"/>
        </w:rPr>
        <w:t>1*</w:t>
      </w:r>
    </w:p>
    <w:p w14:paraId="4D08352B" w14:textId="61922B78" w:rsidR="00400E98" w:rsidRPr="003824DC" w:rsidRDefault="00400E98" w:rsidP="00DA479E">
      <w:pPr>
        <w:jc w:val="center"/>
        <w:rPr>
          <w:szCs w:val="21"/>
        </w:rPr>
      </w:pPr>
      <w:r w:rsidRPr="003824DC">
        <w:rPr>
          <w:szCs w:val="21"/>
        </w:rPr>
        <w:t xml:space="preserve">(1. </w:t>
      </w:r>
      <w:r w:rsidRPr="003824DC">
        <w:rPr>
          <w:rFonts w:hint="eastAsia"/>
          <w:szCs w:val="21"/>
        </w:rPr>
        <w:t>宁波大学海洋学院，浙江宁波</w:t>
      </w:r>
      <w:r w:rsidRPr="003824DC">
        <w:rPr>
          <w:rFonts w:hint="eastAsia"/>
          <w:szCs w:val="21"/>
        </w:rPr>
        <w:t xml:space="preserve"> </w:t>
      </w:r>
      <w:r w:rsidRPr="003824DC">
        <w:rPr>
          <w:szCs w:val="21"/>
        </w:rPr>
        <w:t>315211</w:t>
      </w:r>
      <w:r w:rsidRPr="003824DC">
        <w:rPr>
          <w:rFonts w:hint="eastAsia"/>
          <w:szCs w:val="21"/>
        </w:rPr>
        <w:t>；</w:t>
      </w:r>
      <w:r w:rsidRPr="003824DC">
        <w:rPr>
          <w:szCs w:val="21"/>
        </w:rPr>
        <w:t xml:space="preserve">2. </w:t>
      </w:r>
      <w:r w:rsidRPr="003824DC">
        <w:rPr>
          <w:rFonts w:hint="eastAsia"/>
          <w:szCs w:val="21"/>
        </w:rPr>
        <w:t>信阳农林学院水产学院，河南信阳</w:t>
      </w:r>
      <w:r w:rsidRPr="003824DC">
        <w:rPr>
          <w:rFonts w:hint="eastAsia"/>
          <w:szCs w:val="21"/>
        </w:rPr>
        <w:t xml:space="preserve"> </w:t>
      </w:r>
      <w:r w:rsidRPr="003824DC">
        <w:rPr>
          <w:szCs w:val="21"/>
        </w:rPr>
        <w:t>464000)</w:t>
      </w:r>
    </w:p>
    <w:p w14:paraId="4EEC8D6F" w14:textId="77777777" w:rsidR="00400E98" w:rsidRPr="003824DC" w:rsidRDefault="00400E98" w:rsidP="00400E98">
      <w:pPr>
        <w:rPr>
          <w:color w:val="000000"/>
          <w:szCs w:val="21"/>
        </w:rPr>
      </w:pPr>
      <w:r w:rsidRPr="003824DC">
        <w:rPr>
          <w:rFonts w:hint="eastAsia"/>
          <w:b/>
          <w:bCs/>
          <w:color w:val="000000"/>
          <w:szCs w:val="21"/>
        </w:rPr>
        <w:t>摘要：</w:t>
      </w:r>
      <w:r w:rsidRPr="003824DC">
        <w:rPr>
          <w:rFonts w:hint="eastAsia"/>
          <w:color w:val="000000"/>
          <w:szCs w:val="21"/>
        </w:rPr>
        <w:t>【目的】探讨饲料中添加白藜芦醇对大口黑鲈生长性能、健康状况及氨氮耐受的影响。【方法】实验以平均体重为</w:t>
      </w:r>
      <w:r w:rsidRPr="003824DC">
        <w:rPr>
          <w:color w:val="000000"/>
          <w:szCs w:val="21"/>
        </w:rPr>
        <w:t xml:space="preserve">(7.40±0.05) g </w:t>
      </w:r>
      <w:r w:rsidRPr="003824DC">
        <w:rPr>
          <w:rFonts w:hint="eastAsia"/>
          <w:color w:val="000000"/>
          <w:szCs w:val="21"/>
        </w:rPr>
        <w:t>的大口黑鲈为研究对象，随机分为</w:t>
      </w:r>
      <w:r w:rsidRPr="003824DC">
        <w:rPr>
          <w:color w:val="000000"/>
          <w:szCs w:val="21"/>
        </w:rPr>
        <w:t xml:space="preserve">3 </w:t>
      </w:r>
      <w:r w:rsidRPr="003824DC">
        <w:rPr>
          <w:rFonts w:hint="eastAsia"/>
          <w:color w:val="000000"/>
          <w:szCs w:val="21"/>
        </w:rPr>
        <w:t>组，每组</w:t>
      </w:r>
      <w:r w:rsidRPr="003824DC">
        <w:rPr>
          <w:color w:val="000000"/>
          <w:szCs w:val="21"/>
        </w:rPr>
        <w:t>3</w:t>
      </w:r>
      <w:r w:rsidRPr="003824DC">
        <w:rPr>
          <w:rFonts w:hint="eastAsia"/>
          <w:color w:val="000000"/>
          <w:szCs w:val="21"/>
        </w:rPr>
        <w:t>个重复，每个重复</w:t>
      </w:r>
      <w:r w:rsidRPr="003824DC">
        <w:rPr>
          <w:color w:val="000000"/>
          <w:szCs w:val="21"/>
        </w:rPr>
        <w:t xml:space="preserve">30 </w:t>
      </w:r>
      <w:r w:rsidRPr="003824DC">
        <w:rPr>
          <w:rFonts w:hint="eastAsia"/>
          <w:color w:val="000000"/>
          <w:szCs w:val="21"/>
        </w:rPr>
        <w:t>尾鱼，分别投喂含</w:t>
      </w:r>
      <w:r w:rsidRPr="003824DC">
        <w:rPr>
          <w:color w:val="000000"/>
          <w:szCs w:val="21"/>
        </w:rPr>
        <w:t>0.00%</w:t>
      </w:r>
      <w:r w:rsidRPr="003824DC">
        <w:rPr>
          <w:rFonts w:hint="eastAsia"/>
          <w:color w:val="000000"/>
          <w:szCs w:val="21"/>
        </w:rPr>
        <w:t>、</w:t>
      </w:r>
      <w:r w:rsidRPr="003824DC">
        <w:rPr>
          <w:color w:val="000000"/>
          <w:szCs w:val="21"/>
        </w:rPr>
        <w:t xml:space="preserve">0.50% </w:t>
      </w:r>
      <w:r w:rsidRPr="003824DC">
        <w:rPr>
          <w:rFonts w:hint="eastAsia"/>
          <w:color w:val="000000"/>
          <w:szCs w:val="21"/>
        </w:rPr>
        <w:t>和</w:t>
      </w:r>
      <w:r w:rsidRPr="003824DC">
        <w:rPr>
          <w:color w:val="000000"/>
          <w:szCs w:val="21"/>
        </w:rPr>
        <w:t xml:space="preserve">1.00% </w:t>
      </w:r>
      <w:r w:rsidRPr="003824DC">
        <w:rPr>
          <w:rFonts w:hint="eastAsia"/>
          <w:color w:val="000000"/>
          <w:szCs w:val="21"/>
        </w:rPr>
        <w:t>白藜芦醇的实验饲料，饱食投喂每天</w:t>
      </w:r>
      <w:r w:rsidRPr="003824DC">
        <w:rPr>
          <w:color w:val="000000"/>
          <w:szCs w:val="21"/>
        </w:rPr>
        <w:t xml:space="preserve">2 </w:t>
      </w:r>
      <w:r w:rsidRPr="003824DC">
        <w:rPr>
          <w:rFonts w:hint="eastAsia"/>
          <w:color w:val="000000"/>
          <w:szCs w:val="21"/>
        </w:rPr>
        <w:t>次，持续</w:t>
      </w:r>
      <w:r w:rsidRPr="003824DC">
        <w:rPr>
          <w:color w:val="000000"/>
          <w:szCs w:val="21"/>
        </w:rPr>
        <w:t>56 d</w:t>
      </w:r>
      <w:r w:rsidRPr="003824DC">
        <w:rPr>
          <w:rFonts w:hint="eastAsia"/>
          <w:color w:val="000000"/>
          <w:szCs w:val="21"/>
        </w:rPr>
        <w:t>。【结果】饲料中添加白藜芦醇能够显著提高大口黑鲈增重率、蛋白质效率及摄食量，降低饲料系数；提高血清总蛋白</w:t>
      </w:r>
      <w:r w:rsidRPr="003824DC">
        <w:rPr>
          <w:color w:val="000000"/>
          <w:szCs w:val="21"/>
        </w:rPr>
        <w:t>(TP)</w:t>
      </w:r>
      <w:r w:rsidRPr="003824DC">
        <w:rPr>
          <w:rFonts w:hint="eastAsia"/>
          <w:color w:val="000000"/>
          <w:szCs w:val="21"/>
        </w:rPr>
        <w:t>、白蛋白</w:t>
      </w:r>
      <w:r w:rsidRPr="003824DC">
        <w:rPr>
          <w:color w:val="000000"/>
          <w:szCs w:val="21"/>
        </w:rPr>
        <w:t xml:space="preserve">(ALB) </w:t>
      </w:r>
      <w:r w:rsidRPr="003824DC">
        <w:rPr>
          <w:rFonts w:hint="eastAsia"/>
          <w:color w:val="000000"/>
          <w:szCs w:val="21"/>
        </w:rPr>
        <w:t>及球蛋白</w:t>
      </w:r>
      <w:r w:rsidRPr="003824DC">
        <w:rPr>
          <w:color w:val="000000"/>
          <w:szCs w:val="21"/>
        </w:rPr>
        <w:t xml:space="preserve">(GLB) </w:t>
      </w:r>
      <w:r w:rsidRPr="003824DC">
        <w:rPr>
          <w:rFonts w:hint="eastAsia"/>
          <w:color w:val="000000"/>
          <w:szCs w:val="21"/>
        </w:rPr>
        <w:t>含量，降低甘油三酯</w:t>
      </w:r>
      <w:r w:rsidRPr="003824DC">
        <w:rPr>
          <w:color w:val="000000"/>
          <w:szCs w:val="21"/>
        </w:rPr>
        <w:t>(TG)</w:t>
      </w:r>
      <w:r w:rsidRPr="003824DC">
        <w:rPr>
          <w:rFonts w:hint="eastAsia"/>
          <w:color w:val="000000"/>
          <w:szCs w:val="21"/>
        </w:rPr>
        <w:t>、胆固醇</w:t>
      </w:r>
      <w:r w:rsidRPr="003824DC">
        <w:rPr>
          <w:color w:val="000000"/>
          <w:szCs w:val="21"/>
        </w:rPr>
        <w:t>(TC)</w:t>
      </w:r>
      <w:r w:rsidRPr="003824DC">
        <w:rPr>
          <w:rFonts w:hint="eastAsia"/>
          <w:color w:val="000000"/>
          <w:szCs w:val="21"/>
        </w:rPr>
        <w:t>、谷丙转氨酶</w:t>
      </w:r>
      <w:r w:rsidRPr="003824DC">
        <w:rPr>
          <w:color w:val="000000"/>
          <w:szCs w:val="21"/>
        </w:rPr>
        <w:t xml:space="preserve">(ALT) </w:t>
      </w:r>
      <w:r w:rsidRPr="003824DC">
        <w:rPr>
          <w:rFonts w:hint="eastAsia"/>
          <w:color w:val="000000"/>
          <w:szCs w:val="21"/>
        </w:rPr>
        <w:t>及谷草转氨酶</w:t>
      </w:r>
      <w:r w:rsidRPr="003824DC">
        <w:rPr>
          <w:color w:val="000000"/>
          <w:szCs w:val="21"/>
        </w:rPr>
        <w:t>(AST)</w:t>
      </w:r>
      <w:r w:rsidRPr="003824DC">
        <w:rPr>
          <w:rFonts w:hint="eastAsia"/>
          <w:color w:val="000000"/>
          <w:szCs w:val="21"/>
        </w:rPr>
        <w:t>含量；提高肝脏总抗氧化能力</w:t>
      </w:r>
      <w:r w:rsidRPr="003824DC">
        <w:rPr>
          <w:color w:val="000000"/>
          <w:szCs w:val="21"/>
        </w:rPr>
        <w:t>(T-AOC)</w:t>
      </w:r>
      <w:r w:rsidRPr="003824DC">
        <w:rPr>
          <w:rFonts w:hint="eastAsia"/>
          <w:color w:val="000000"/>
          <w:szCs w:val="21"/>
        </w:rPr>
        <w:t>、超氧化物歧化酶</w:t>
      </w:r>
      <w:r w:rsidRPr="003824DC">
        <w:rPr>
          <w:color w:val="000000"/>
          <w:szCs w:val="21"/>
        </w:rPr>
        <w:t>(SOD)</w:t>
      </w:r>
      <w:r w:rsidRPr="003824DC">
        <w:rPr>
          <w:rFonts w:hint="eastAsia"/>
          <w:color w:val="000000"/>
          <w:szCs w:val="21"/>
        </w:rPr>
        <w:t>、过氧化氢酶</w:t>
      </w:r>
      <w:r w:rsidRPr="003824DC">
        <w:rPr>
          <w:color w:val="000000"/>
          <w:szCs w:val="21"/>
        </w:rPr>
        <w:t xml:space="preserve">(CAT) </w:t>
      </w:r>
      <w:r w:rsidRPr="003824DC">
        <w:rPr>
          <w:rFonts w:hint="eastAsia"/>
          <w:color w:val="000000"/>
          <w:szCs w:val="21"/>
        </w:rPr>
        <w:t>及谷胱甘肽过氧化物酶</w:t>
      </w:r>
      <w:r w:rsidRPr="003824DC">
        <w:rPr>
          <w:color w:val="000000"/>
          <w:szCs w:val="21"/>
        </w:rPr>
        <w:t xml:space="preserve">(GPX) </w:t>
      </w:r>
      <w:r w:rsidRPr="003824DC">
        <w:rPr>
          <w:rFonts w:hint="eastAsia"/>
          <w:color w:val="000000"/>
          <w:szCs w:val="21"/>
        </w:rPr>
        <w:t>活性，降低肝脏肿瘤坏死因子</w:t>
      </w:r>
      <w:r w:rsidRPr="003824DC">
        <w:rPr>
          <w:color w:val="000000"/>
          <w:szCs w:val="21"/>
        </w:rPr>
        <w:t>-α(TNF-α)</w:t>
      </w:r>
      <w:r w:rsidRPr="003824DC">
        <w:rPr>
          <w:rFonts w:hint="eastAsia"/>
          <w:color w:val="000000"/>
          <w:szCs w:val="21"/>
        </w:rPr>
        <w:t>、白细胞介素</w:t>
      </w:r>
      <w:r w:rsidRPr="003824DC">
        <w:rPr>
          <w:color w:val="000000"/>
          <w:szCs w:val="21"/>
        </w:rPr>
        <w:t xml:space="preserve">-1(IL-1) </w:t>
      </w:r>
      <w:r w:rsidRPr="003824DC">
        <w:rPr>
          <w:rFonts w:hint="eastAsia"/>
          <w:color w:val="000000"/>
          <w:szCs w:val="21"/>
        </w:rPr>
        <w:t>及白细胞介素</w:t>
      </w:r>
      <w:r w:rsidRPr="003824DC">
        <w:rPr>
          <w:color w:val="000000"/>
          <w:szCs w:val="21"/>
        </w:rPr>
        <w:t xml:space="preserve">-8(IL-8) </w:t>
      </w:r>
      <w:r w:rsidRPr="003824DC">
        <w:rPr>
          <w:rFonts w:hint="eastAsia"/>
          <w:color w:val="000000"/>
          <w:szCs w:val="21"/>
        </w:rPr>
        <w:t>含量；上调肝脏超氧化物歧化酶</w:t>
      </w:r>
      <w:r w:rsidRPr="003824DC">
        <w:rPr>
          <w:color w:val="000000"/>
          <w:szCs w:val="21"/>
        </w:rPr>
        <w:t>(</w:t>
      </w:r>
      <w:r w:rsidRPr="003824DC">
        <w:rPr>
          <w:i/>
          <w:iCs/>
          <w:color w:val="000000"/>
          <w:szCs w:val="21"/>
        </w:rPr>
        <w:t>sod</w:t>
      </w:r>
      <w:r w:rsidRPr="003824DC">
        <w:rPr>
          <w:color w:val="000000"/>
          <w:szCs w:val="21"/>
        </w:rPr>
        <w:t>)</w:t>
      </w:r>
      <w:r w:rsidRPr="003824DC">
        <w:rPr>
          <w:rFonts w:hint="eastAsia"/>
          <w:color w:val="000000"/>
          <w:szCs w:val="21"/>
        </w:rPr>
        <w:t>、过氧化氢酶</w:t>
      </w:r>
      <w:r w:rsidRPr="003824DC">
        <w:rPr>
          <w:color w:val="000000"/>
          <w:szCs w:val="21"/>
        </w:rPr>
        <w:t>(</w:t>
      </w:r>
      <w:r w:rsidRPr="003824DC">
        <w:rPr>
          <w:i/>
          <w:iCs/>
          <w:color w:val="000000"/>
          <w:szCs w:val="21"/>
        </w:rPr>
        <w:t>cat</w:t>
      </w:r>
      <w:r w:rsidRPr="003824DC">
        <w:rPr>
          <w:color w:val="000000"/>
          <w:szCs w:val="21"/>
        </w:rPr>
        <w:t>)</w:t>
      </w:r>
      <w:r w:rsidRPr="003824DC">
        <w:rPr>
          <w:rFonts w:hint="eastAsia"/>
          <w:color w:val="000000"/>
          <w:szCs w:val="21"/>
        </w:rPr>
        <w:t>、谷胱甘肽还原酶</w:t>
      </w:r>
      <w:r w:rsidRPr="003824DC">
        <w:rPr>
          <w:color w:val="000000"/>
          <w:szCs w:val="21"/>
        </w:rPr>
        <w:t>(</w:t>
      </w:r>
      <w:r w:rsidRPr="003824DC">
        <w:rPr>
          <w:i/>
          <w:iCs/>
          <w:color w:val="000000"/>
          <w:szCs w:val="21"/>
        </w:rPr>
        <w:t>gr</w:t>
      </w:r>
      <w:r w:rsidRPr="003824DC">
        <w:rPr>
          <w:color w:val="000000"/>
          <w:szCs w:val="21"/>
        </w:rPr>
        <w:t>)</w:t>
      </w:r>
      <w:r w:rsidRPr="003824DC">
        <w:rPr>
          <w:rFonts w:hint="eastAsia"/>
          <w:color w:val="000000"/>
          <w:szCs w:val="21"/>
        </w:rPr>
        <w:t>、谷胱甘肽过氧化物酶</w:t>
      </w:r>
      <w:r w:rsidRPr="003824DC">
        <w:rPr>
          <w:color w:val="000000"/>
          <w:szCs w:val="21"/>
        </w:rPr>
        <w:t>(</w:t>
      </w:r>
      <w:proofErr w:type="spellStart"/>
      <w:r w:rsidRPr="003824DC">
        <w:rPr>
          <w:i/>
          <w:iCs/>
          <w:color w:val="000000"/>
          <w:szCs w:val="21"/>
        </w:rPr>
        <w:t>gpx</w:t>
      </w:r>
      <w:proofErr w:type="spellEnd"/>
      <w:r w:rsidRPr="003824DC">
        <w:rPr>
          <w:color w:val="000000"/>
          <w:szCs w:val="21"/>
        </w:rPr>
        <w:t xml:space="preserve">) </w:t>
      </w:r>
      <w:r w:rsidRPr="003824DC">
        <w:rPr>
          <w:rFonts w:hint="eastAsia"/>
          <w:color w:val="000000"/>
          <w:szCs w:val="21"/>
        </w:rPr>
        <w:t>及</w:t>
      </w:r>
      <w:r w:rsidRPr="003824DC">
        <w:rPr>
          <w:color w:val="000000"/>
          <w:szCs w:val="21"/>
        </w:rPr>
        <w:t xml:space="preserve">B </w:t>
      </w:r>
      <w:r w:rsidRPr="003824DC">
        <w:rPr>
          <w:rFonts w:hint="eastAsia"/>
          <w:color w:val="000000"/>
          <w:szCs w:val="21"/>
        </w:rPr>
        <w:t>细胞淋巴瘤</w:t>
      </w:r>
      <w:r w:rsidRPr="003824DC">
        <w:rPr>
          <w:color w:val="000000"/>
          <w:szCs w:val="21"/>
        </w:rPr>
        <w:t>-2(</w:t>
      </w:r>
      <w:r w:rsidRPr="003824DC">
        <w:rPr>
          <w:i/>
          <w:iCs/>
          <w:color w:val="000000"/>
          <w:szCs w:val="21"/>
        </w:rPr>
        <w:t>bcl</w:t>
      </w:r>
      <w:r w:rsidRPr="003824DC">
        <w:rPr>
          <w:color w:val="000000"/>
          <w:szCs w:val="21"/>
        </w:rPr>
        <w:t xml:space="preserve">-2) </w:t>
      </w:r>
      <w:r w:rsidRPr="003824DC">
        <w:rPr>
          <w:rFonts w:hint="eastAsia"/>
          <w:color w:val="000000"/>
          <w:szCs w:val="21"/>
        </w:rPr>
        <w:t>基因</w:t>
      </w:r>
      <w:r w:rsidRPr="003824DC">
        <w:rPr>
          <w:color w:val="000000"/>
          <w:szCs w:val="21"/>
        </w:rPr>
        <w:t xml:space="preserve">mRNA </w:t>
      </w:r>
      <w:r w:rsidRPr="003824DC">
        <w:rPr>
          <w:rFonts w:hint="eastAsia"/>
          <w:color w:val="000000"/>
          <w:szCs w:val="21"/>
        </w:rPr>
        <w:t>表达，下调白细胞介素</w:t>
      </w:r>
      <w:r w:rsidRPr="003824DC">
        <w:rPr>
          <w:color w:val="000000"/>
          <w:szCs w:val="21"/>
        </w:rPr>
        <w:t>1(</w:t>
      </w:r>
      <w:r w:rsidRPr="003824DC">
        <w:rPr>
          <w:i/>
          <w:iCs/>
          <w:color w:val="000000"/>
          <w:szCs w:val="21"/>
        </w:rPr>
        <w:t>il</w:t>
      </w:r>
      <w:r w:rsidRPr="003824DC">
        <w:rPr>
          <w:color w:val="000000"/>
          <w:szCs w:val="21"/>
        </w:rPr>
        <w:t>-1)</w:t>
      </w:r>
      <w:r w:rsidRPr="003824DC">
        <w:rPr>
          <w:rFonts w:hint="eastAsia"/>
          <w:color w:val="000000"/>
          <w:szCs w:val="21"/>
        </w:rPr>
        <w:t>、白细胞介素</w:t>
      </w:r>
      <w:r w:rsidRPr="003824DC">
        <w:rPr>
          <w:color w:val="000000"/>
          <w:szCs w:val="21"/>
        </w:rPr>
        <w:t>8(</w:t>
      </w:r>
      <w:r w:rsidRPr="003824DC">
        <w:rPr>
          <w:i/>
          <w:iCs/>
          <w:color w:val="000000"/>
          <w:szCs w:val="21"/>
        </w:rPr>
        <w:t>il</w:t>
      </w:r>
      <w:r w:rsidRPr="003824DC">
        <w:rPr>
          <w:color w:val="000000"/>
          <w:szCs w:val="21"/>
        </w:rPr>
        <w:t>-8)</w:t>
      </w:r>
      <w:r w:rsidRPr="003824DC">
        <w:rPr>
          <w:rFonts w:hint="eastAsia"/>
          <w:color w:val="000000"/>
          <w:szCs w:val="21"/>
        </w:rPr>
        <w:t>、肿瘤蛋白</w:t>
      </w:r>
      <w:r w:rsidRPr="003824DC">
        <w:rPr>
          <w:i/>
          <w:iCs/>
          <w:color w:val="000000"/>
          <w:szCs w:val="21"/>
        </w:rPr>
        <w:t>p53</w:t>
      </w:r>
      <w:r w:rsidRPr="003824DC">
        <w:rPr>
          <w:rFonts w:hint="eastAsia"/>
          <w:color w:val="000000"/>
          <w:szCs w:val="21"/>
        </w:rPr>
        <w:t>、抑制凋亡因子</w:t>
      </w:r>
      <w:r w:rsidRPr="003824DC">
        <w:rPr>
          <w:color w:val="000000"/>
          <w:szCs w:val="21"/>
        </w:rPr>
        <w:t>(</w:t>
      </w:r>
      <w:proofErr w:type="spellStart"/>
      <w:r w:rsidRPr="003824DC">
        <w:rPr>
          <w:i/>
          <w:iCs/>
          <w:color w:val="000000"/>
          <w:szCs w:val="21"/>
        </w:rPr>
        <w:t>bax</w:t>
      </w:r>
      <w:proofErr w:type="spellEnd"/>
      <w:r w:rsidRPr="003824DC">
        <w:rPr>
          <w:color w:val="000000"/>
          <w:szCs w:val="21"/>
        </w:rPr>
        <w:t>)</w:t>
      </w:r>
      <w:r w:rsidRPr="003824DC">
        <w:rPr>
          <w:rFonts w:hint="eastAsia"/>
          <w:color w:val="000000"/>
          <w:szCs w:val="21"/>
        </w:rPr>
        <w:t>、半胱氨酸天冬氨酸蛋白酶</w:t>
      </w:r>
      <w:r w:rsidRPr="003824DC">
        <w:rPr>
          <w:color w:val="000000"/>
          <w:szCs w:val="21"/>
        </w:rPr>
        <w:t>3(</w:t>
      </w:r>
      <w:r w:rsidRPr="003824DC">
        <w:rPr>
          <w:i/>
          <w:iCs/>
          <w:color w:val="000000"/>
          <w:szCs w:val="21"/>
        </w:rPr>
        <w:t xml:space="preserve">caspase </w:t>
      </w:r>
      <w:r w:rsidRPr="003824DC">
        <w:rPr>
          <w:color w:val="000000"/>
          <w:szCs w:val="21"/>
        </w:rPr>
        <w:t xml:space="preserve">3) </w:t>
      </w:r>
      <w:r w:rsidRPr="003824DC">
        <w:rPr>
          <w:rFonts w:hint="eastAsia"/>
          <w:color w:val="000000"/>
          <w:szCs w:val="21"/>
        </w:rPr>
        <w:t>及半胱氨酸天冬氨酸蛋白酶</w:t>
      </w:r>
      <w:r w:rsidRPr="003824DC">
        <w:rPr>
          <w:color w:val="000000"/>
          <w:szCs w:val="21"/>
        </w:rPr>
        <w:t>9(</w:t>
      </w:r>
      <w:r w:rsidRPr="003824DC">
        <w:rPr>
          <w:i/>
          <w:iCs/>
          <w:color w:val="000000"/>
          <w:szCs w:val="21"/>
        </w:rPr>
        <w:t>caspase</w:t>
      </w:r>
      <w:r w:rsidRPr="003824DC">
        <w:rPr>
          <w:color w:val="000000"/>
          <w:szCs w:val="21"/>
        </w:rPr>
        <w:t xml:space="preserve"> 9) </w:t>
      </w:r>
      <w:r w:rsidRPr="003824DC">
        <w:rPr>
          <w:rFonts w:hint="eastAsia"/>
          <w:color w:val="000000"/>
          <w:szCs w:val="21"/>
        </w:rPr>
        <w:t>基因</w:t>
      </w:r>
      <w:r w:rsidRPr="003824DC">
        <w:rPr>
          <w:color w:val="000000"/>
          <w:szCs w:val="21"/>
        </w:rPr>
        <w:t xml:space="preserve">mRNA </w:t>
      </w:r>
      <w:r w:rsidRPr="003824DC">
        <w:rPr>
          <w:rFonts w:hint="eastAsia"/>
          <w:color w:val="000000"/>
          <w:szCs w:val="21"/>
        </w:rPr>
        <w:t>表达。氨氮暴露</w:t>
      </w:r>
      <w:r w:rsidRPr="003824DC">
        <w:rPr>
          <w:color w:val="000000"/>
          <w:szCs w:val="21"/>
        </w:rPr>
        <w:t xml:space="preserve">96 h </w:t>
      </w:r>
      <w:r w:rsidRPr="003824DC">
        <w:rPr>
          <w:rFonts w:hint="eastAsia"/>
          <w:color w:val="000000"/>
          <w:szCs w:val="21"/>
        </w:rPr>
        <w:t>后，摄食白藜芦醇的实验鱼，累积死亡率和血氨含量显著低于对照组，而血清溶菌酶活性</w:t>
      </w:r>
      <w:r w:rsidRPr="003824DC">
        <w:rPr>
          <w:color w:val="000000"/>
          <w:szCs w:val="21"/>
        </w:rPr>
        <w:t>(LZM)</w:t>
      </w:r>
      <w:r w:rsidRPr="003824DC">
        <w:rPr>
          <w:rFonts w:hint="eastAsia"/>
          <w:color w:val="000000"/>
          <w:szCs w:val="21"/>
        </w:rPr>
        <w:t>、总补体</w:t>
      </w:r>
      <w:r w:rsidRPr="003824DC">
        <w:rPr>
          <w:color w:val="000000"/>
          <w:szCs w:val="21"/>
        </w:rPr>
        <w:t>(CH50)</w:t>
      </w:r>
      <w:r w:rsidRPr="003824DC">
        <w:rPr>
          <w:rFonts w:hint="eastAsia"/>
          <w:color w:val="000000"/>
          <w:szCs w:val="21"/>
        </w:rPr>
        <w:t>、总免疫球蛋白含量</w:t>
      </w:r>
      <w:r w:rsidRPr="003824DC">
        <w:rPr>
          <w:color w:val="000000"/>
          <w:szCs w:val="21"/>
        </w:rPr>
        <w:t>(IG)</w:t>
      </w:r>
      <w:r w:rsidRPr="003824DC">
        <w:rPr>
          <w:rFonts w:hint="eastAsia"/>
          <w:color w:val="000000"/>
          <w:szCs w:val="21"/>
        </w:rPr>
        <w:t>、抗体效价</w:t>
      </w:r>
      <w:r w:rsidRPr="003824DC">
        <w:rPr>
          <w:color w:val="000000"/>
          <w:szCs w:val="21"/>
        </w:rPr>
        <w:t>(Abt</w:t>
      </w:r>
      <w:r>
        <w:rPr>
          <w:rFonts w:hint="eastAsia"/>
          <w:color w:val="000000"/>
          <w:szCs w:val="21"/>
        </w:rPr>
        <w:t xml:space="preserve"> </w:t>
      </w:r>
      <w:r w:rsidRPr="003824DC">
        <w:rPr>
          <w:color w:val="000000"/>
          <w:szCs w:val="21"/>
        </w:rPr>
        <w:t>iter)</w:t>
      </w:r>
      <w:r w:rsidRPr="003824DC">
        <w:rPr>
          <w:rFonts w:hint="eastAsia"/>
          <w:color w:val="000000"/>
          <w:szCs w:val="21"/>
        </w:rPr>
        <w:t>、肝脏中精氨酸代琥珀酸合成酶</w:t>
      </w:r>
      <w:r w:rsidRPr="003824DC">
        <w:rPr>
          <w:color w:val="000000"/>
          <w:szCs w:val="21"/>
        </w:rPr>
        <w:t>(ASS)</w:t>
      </w:r>
      <w:r w:rsidRPr="003824DC">
        <w:rPr>
          <w:rFonts w:hint="eastAsia"/>
          <w:color w:val="000000"/>
          <w:szCs w:val="21"/>
        </w:rPr>
        <w:t>、精氨酸代琥珀酸裂解酶</w:t>
      </w:r>
      <w:r w:rsidRPr="003824DC">
        <w:rPr>
          <w:color w:val="000000"/>
          <w:szCs w:val="21"/>
        </w:rPr>
        <w:t>(ASL)</w:t>
      </w:r>
      <w:r w:rsidRPr="003824DC">
        <w:rPr>
          <w:rFonts w:hint="eastAsia"/>
          <w:color w:val="000000"/>
          <w:szCs w:val="21"/>
        </w:rPr>
        <w:t>、精氨酸酶</w:t>
      </w:r>
      <w:r w:rsidRPr="003824DC">
        <w:rPr>
          <w:color w:val="000000"/>
          <w:szCs w:val="21"/>
        </w:rPr>
        <w:t xml:space="preserve">(ARG) </w:t>
      </w:r>
      <w:r w:rsidRPr="003824DC">
        <w:rPr>
          <w:rFonts w:hint="eastAsia"/>
          <w:color w:val="000000"/>
          <w:szCs w:val="21"/>
        </w:rPr>
        <w:t>及鸟氨酸氨甲酰基转移酶</w:t>
      </w:r>
      <w:r w:rsidRPr="003824DC">
        <w:rPr>
          <w:color w:val="000000"/>
          <w:szCs w:val="21"/>
        </w:rPr>
        <w:t xml:space="preserve">(OTC) </w:t>
      </w:r>
      <w:r w:rsidRPr="003824DC">
        <w:rPr>
          <w:rFonts w:hint="eastAsia"/>
          <w:color w:val="000000"/>
          <w:szCs w:val="21"/>
        </w:rPr>
        <w:t>活性显著高于对照组。【结论】饲料中添加白藜芦醇能够提高大口黑鲈的生长性能，改善血清健康状况、抗氧化能力、炎症及细胞凋亡；白藜芦醇通过激活尿素循环增强大口黑鲈的氨氮耐受性，提高应激发生时的免疫应答能力。</w:t>
      </w:r>
    </w:p>
    <w:p w14:paraId="63FABADB" w14:textId="77777777" w:rsidR="00400E98" w:rsidRDefault="00400E98" w:rsidP="00400E98">
      <w:pPr>
        <w:rPr>
          <w:color w:val="000000"/>
          <w:szCs w:val="21"/>
        </w:rPr>
      </w:pPr>
      <w:r w:rsidRPr="003824DC">
        <w:rPr>
          <w:rFonts w:hint="eastAsia"/>
          <w:b/>
          <w:bCs/>
          <w:color w:val="000000"/>
          <w:szCs w:val="21"/>
        </w:rPr>
        <w:t>关键词</w:t>
      </w:r>
      <w:r w:rsidRPr="003824DC">
        <w:rPr>
          <w:b/>
          <w:bCs/>
          <w:color w:val="000000"/>
          <w:szCs w:val="21"/>
        </w:rPr>
        <w:t xml:space="preserve">: </w:t>
      </w:r>
      <w:r w:rsidRPr="003824DC">
        <w:rPr>
          <w:rFonts w:hint="eastAsia"/>
          <w:color w:val="000000"/>
          <w:szCs w:val="21"/>
        </w:rPr>
        <w:t>大口黑鲈；白藜芦醇；氨氮；生长性能</w:t>
      </w:r>
    </w:p>
    <w:p w14:paraId="24DF541A" w14:textId="77777777" w:rsidR="00400E98" w:rsidRPr="00DA479E" w:rsidRDefault="00400E98" w:rsidP="00400E98">
      <w:pPr>
        <w:jc w:val="center"/>
        <w:rPr>
          <w:b/>
          <w:bCs/>
          <w:sz w:val="24"/>
        </w:rPr>
      </w:pPr>
      <w:r w:rsidRPr="00DA479E">
        <w:rPr>
          <w:b/>
          <w:bCs/>
          <w:sz w:val="24"/>
        </w:rPr>
        <w:t>Effects of dietary resveratrol supplementation on growth performance, antioxidant response, and ammonia detoxification in largemouth bass (</w:t>
      </w:r>
      <w:r w:rsidRPr="00DA479E">
        <w:rPr>
          <w:b/>
          <w:bCs/>
          <w:i/>
          <w:iCs/>
          <w:sz w:val="24"/>
        </w:rPr>
        <w:t xml:space="preserve">Micropterus </w:t>
      </w:r>
      <w:proofErr w:type="spellStart"/>
      <w:r w:rsidRPr="00DA479E">
        <w:rPr>
          <w:b/>
          <w:bCs/>
          <w:i/>
          <w:iCs/>
          <w:sz w:val="24"/>
        </w:rPr>
        <w:t>salmoides</w:t>
      </w:r>
      <w:proofErr w:type="spellEnd"/>
      <w:r w:rsidRPr="00DA479E">
        <w:rPr>
          <w:b/>
          <w:bCs/>
          <w:sz w:val="24"/>
        </w:rPr>
        <w:t>)</w:t>
      </w:r>
    </w:p>
    <w:p w14:paraId="26AA3C8B" w14:textId="77777777" w:rsidR="00400E98" w:rsidRPr="002E0FAB" w:rsidRDefault="00400E98" w:rsidP="00400E98">
      <w:pPr>
        <w:jc w:val="center"/>
        <w:rPr>
          <w:szCs w:val="21"/>
        </w:rPr>
      </w:pPr>
      <w:r w:rsidRPr="002E0FAB">
        <w:rPr>
          <w:szCs w:val="21"/>
        </w:rPr>
        <w:t>YUE Yingqi</w:t>
      </w:r>
      <w:r w:rsidRPr="002E0FAB">
        <w:rPr>
          <w:szCs w:val="21"/>
          <w:vertAlign w:val="superscript"/>
        </w:rPr>
        <w:t>1</w:t>
      </w:r>
      <w:r w:rsidRPr="002E0FAB">
        <w:rPr>
          <w:szCs w:val="21"/>
        </w:rPr>
        <w:t>, WANG Shidong</w:t>
      </w:r>
      <w:r w:rsidRPr="002E0FAB">
        <w:rPr>
          <w:szCs w:val="21"/>
          <w:vertAlign w:val="superscript"/>
        </w:rPr>
        <w:t>1</w:t>
      </w:r>
      <w:r w:rsidRPr="002E0FAB">
        <w:rPr>
          <w:szCs w:val="21"/>
        </w:rPr>
        <w:t>, TANG Yanjie</w:t>
      </w:r>
      <w:r w:rsidRPr="002E0FAB">
        <w:rPr>
          <w:szCs w:val="21"/>
          <w:vertAlign w:val="superscript"/>
        </w:rPr>
        <w:t xml:space="preserve"> 1</w:t>
      </w:r>
      <w:r w:rsidRPr="002E0FAB">
        <w:rPr>
          <w:szCs w:val="21"/>
        </w:rPr>
        <w:t>, FENG Dexiang</w:t>
      </w:r>
      <w:r w:rsidRPr="002E0FAB">
        <w:rPr>
          <w:szCs w:val="21"/>
          <w:vertAlign w:val="superscript"/>
        </w:rPr>
        <w:t>2*</w:t>
      </w:r>
      <w:r w:rsidRPr="002E0FAB">
        <w:rPr>
          <w:szCs w:val="21"/>
        </w:rPr>
        <w:t xml:space="preserve">, LI Ming </w:t>
      </w:r>
      <w:r w:rsidRPr="002E0FAB">
        <w:rPr>
          <w:szCs w:val="21"/>
          <w:vertAlign w:val="superscript"/>
        </w:rPr>
        <w:t>1*</w:t>
      </w:r>
    </w:p>
    <w:p w14:paraId="6BE164D4" w14:textId="77777777" w:rsidR="00400E98" w:rsidRDefault="00400E98" w:rsidP="00400E98">
      <w:pPr>
        <w:jc w:val="center"/>
        <w:rPr>
          <w:i/>
          <w:iCs/>
          <w:szCs w:val="21"/>
        </w:rPr>
      </w:pPr>
      <w:r w:rsidRPr="002E0FAB">
        <w:rPr>
          <w:i/>
          <w:iCs/>
          <w:szCs w:val="21"/>
        </w:rPr>
        <w:t>(</w:t>
      </w:r>
      <w:r w:rsidRPr="002E0FAB">
        <w:rPr>
          <w:szCs w:val="21"/>
        </w:rPr>
        <w:t>1.</w:t>
      </w:r>
      <w:r w:rsidRPr="002E0FAB">
        <w:rPr>
          <w:i/>
          <w:iCs/>
          <w:szCs w:val="21"/>
        </w:rPr>
        <w:t xml:space="preserve"> School of Marine Sciences</w:t>
      </w:r>
      <w:r w:rsidRPr="002E0FAB">
        <w:rPr>
          <w:szCs w:val="21"/>
        </w:rPr>
        <w:t>,</w:t>
      </w:r>
      <w:r>
        <w:rPr>
          <w:rFonts w:hint="eastAsia"/>
          <w:szCs w:val="21"/>
        </w:rPr>
        <w:t xml:space="preserve"> </w:t>
      </w:r>
      <w:r w:rsidRPr="002E0FAB">
        <w:rPr>
          <w:i/>
          <w:iCs/>
          <w:szCs w:val="21"/>
        </w:rPr>
        <w:t>Ningbo University</w:t>
      </w:r>
      <w:r w:rsidRPr="002E0FAB">
        <w:rPr>
          <w:szCs w:val="21"/>
        </w:rPr>
        <w:t>,</w:t>
      </w:r>
      <w:r>
        <w:rPr>
          <w:rFonts w:hint="eastAsia"/>
          <w:szCs w:val="21"/>
        </w:rPr>
        <w:t xml:space="preserve"> </w:t>
      </w:r>
      <w:r w:rsidRPr="002E0FAB">
        <w:rPr>
          <w:i/>
          <w:iCs/>
          <w:szCs w:val="21"/>
        </w:rPr>
        <w:t>Ningbo</w:t>
      </w:r>
      <w:r w:rsidRPr="002E0FAB">
        <w:rPr>
          <w:szCs w:val="21"/>
        </w:rPr>
        <w:t xml:space="preserve"> 315211,</w:t>
      </w:r>
      <w:r w:rsidRPr="002E0FAB">
        <w:rPr>
          <w:i/>
          <w:iCs/>
          <w:szCs w:val="21"/>
        </w:rPr>
        <w:t xml:space="preserve"> China</w:t>
      </w:r>
      <w:r w:rsidRPr="002E0FAB">
        <w:rPr>
          <w:szCs w:val="21"/>
        </w:rPr>
        <w:t>;</w:t>
      </w:r>
    </w:p>
    <w:p w14:paraId="40E60C08" w14:textId="77777777" w:rsidR="00400E98" w:rsidRPr="002E0FAB" w:rsidRDefault="00400E98" w:rsidP="00400E98">
      <w:pPr>
        <w:jc w:val="center"/>
        <w:rPr>
          <w:i/>
          <w:iCs/>
          <w:szCs w:val="21"/>
        </w:rPr>
      </w:pPr>
      <w:r w:rsidRPr="002E0FAB">
        <w:rPr>
          <w:szCs w:val="21"/>
        </w:rPr>
        <w:t>2.</w:t>
      </w:r>
      <w:r w:rsidRPr="002E0FAB">
        <w:rPr>
          <w:i/>
          <w:iCs/>
          <w:szCs w:val="21"/>
        </w:rPr>
        <w:t xml:space="preserve"> School of Fisheries</w:t>
      </w:r>
      <w:r w:rsidRPr="002E0FAB">
        <w:rPr>
          <w:szCs w:val="21"/>
        </w:rPr>
        <w:t>,</w:t>
      </w:r>
      <w:r>
        <w:rPr>
          <w:rFonts w:hint="eastAsia"/>
          <w:szCs w:val="21"/>
        </w:rPr>
        <w:t xml:space="preserve"> </w:t>
      </w:r>
      <w:r w:rsidRPr="002E0FAB">
        <w:rPr>
          <w:i/>
          <w:iCs/>
          <w:szCs w:val="21"/>
        </w:rPr>
        <w:t>Xinyang Agriculture and Forestry University,</w:t>
      </w:r>
      <w:r>
        <w:rPr>
          <w:rFonts w:hint="eastAsia"/>
          <w:i/>
          <w:iCs/>
          <w:szCs w:val="21"/>
        </w:rPr>
        <w:t xml:space="preserve"> </w:t>
      </w:r>
      <w:r w:rsidRPr="002E0FAB">
        <w:rPr>
          <w:i/>
          <w:iCs/>
          <w:szCs w:val="21"/>
        </w:rPr>
        <w:t xml:space="preserve">Xinyang </w:t>
      </w:r>
      <w:r w:rsidRPr="002E0FAB">
        <w:rPr>
          <w:szCs w:val="21"/>
        </w:rPr>
        <w:t xml:space="preserve">464000, </w:t>
      </w:r>
      <w:r w:rsidRPr="002E0FAB">
        <w:rPr>
          <w:i/>
          <w:iCs/>
          <w:szCs w:val="21"/>
        </w:rPr>
        <w:t>China)</w:t>
      </w:r>
    </w:p>
    <w:p w14:paraId="23E772B2" w14:textId="77777777" w:rsidR="00DA479E" w:rsidRDefault="00DA479E" w:rsidP="00400E98">
      <w:pPr>
        <w:rPr>
          <w:b/>
          <w:bCs/>
          <w:szCs w:val="21"/>
        </w:rPr>
      </w:pPr>
    </w:p>
    <w:p w14:paraId="546861DA" w14:textId="3F9A7781" w:rsidR="00400E98" w:rsidRPr="002E0FAB" w:rsidRDefault="00400E98" w:rsidP="00400E98">
      <w:pPr>
        <w:rPr>
          <w:szCs w:val="21"/>
        </w:rPr>
      </w:pPr>
      <w:r w:rsidRPr="002E0FAB">
        <w:rPr>
          <w:b/>
          <w:bCs/>
          <w:szCs w:val="21"/>
        </w:rPr>
        <w:lastRenderedPageBreak/>
        <w:t xml:space="preserve">Abstract: </w:t>
      </w:r>
      <w:r w:rsidRPr="002E0FAB">
        <w:rPr>
          <w:szCs w:val="21"/>
        </w:rPr>
        <w:t xml:space="preserve">In order to investigate the effects of adding resveratrol to the feed on the growth performance, health status and ammonia nitrogen tolerance of </w:t>
      </w:r>
      <w:r w:rsidRPr="00FB713B">
        <w:rPr>
          <w:i/>
          <w:iCs/>
          <w:szCs w:val="21"/>
        </w:rPr>
        <w:t xml:space="preserve">Micropterus </w:t>
      </w:r>
      <w:proofErr w:type="spellStart"/>
      <w:r w:rsidRPr="00FB713B">
        <w:rPr>
          <w:i/>
          <w:iCs/>
          <w:szCs w:val="21"/>
        </w:rPr>
        <w:t>salmoides</w:t>
      </w:r>
      <w:proofErr w:type="spellEnd"/>
      <w:r w:rsidRPr="002E0FAB">
        <w:rPr>
          <w:szCs w:val="21"/>
        </w:rPr>
        <w:t>, the experiment was conducted on largemouth bass with an average body mass of (7.40±0.05) g. The fish were randomly divided into three groups, each with three replicates of 30 fish each, and were fed with experimental feeds containing 0.00%, 0.50% and 1.00% of resveratrol, and saturated feeding was carried out twice a day for 56 d. The results showed that supplementing the diet with resveratrol significantly enhanced the weight gain rate, protein efficiency rate and food intake, and reduced the feed conversion ratio; increased the serum total protein (TP), albumin(ALB) and globulin (GLB) contents, and decreased the triglyceride (TG), cholesterol (TC), alanine aminotransferase (ALT), and aspartate aminotransferase (AST) contents; increased the activities of total antioxidant capacity (T-AOC), superoxide dismutase (SOD), catalase (CAT), and glutathione peroxidase (GPX) in liver, decreased the contents of tumor necrosis factor-α(TNF-α), interleukin-1 (IL-1), and interleukin-8 (IL-8); up-regulated the mRNA expression of superoxide dismutase (sod), catalase (cat), glutathione reductase (</w:t>
      </w:r>
      <w:r w:rsidRPr="002E0FAB">
        <w:rPr>
          <w:i/>
          <w:iCs/>
          <w:szCs w:val="21"/>
        </w:rPr>
        <w:t>gr</w:t>
      </w:r>
      <w:r w:rsidRPr="002E0FAB">
        <w:rPr>
          <w:szCs w:val="21"/>
        </w:rPr>
        <w:t xml:space="preserve">), </w:t>
      </w:r>
      <w:r w:rsidRPr="00FB713B">
        <w:rPr>
          <w:i/>
          <w:iCs/>
          <w:szCs w:val="21"/>
        </w:rPr>
        <w:t>glutathione peroxidase</w:t>
      </w:r>
      <w:r w:rsidRPr="002E0FAB">
        <w:rPr>
          <w:szCs w:val="21"/>
        </w:rPr>
        <w:t xml:space="preserve"> (</w:t>
      </w:r>
      <w:proofErr w:type="spellStart"/>
      <w:r w:rsidRPr="002E0FAB">
        <w:rPr>
          <w:i/>
          <w:iCs/>
          <w:szCs w:val="21"/>
        </w:rPr>
        <w:t>gpx</w:t>
      </w:r>
      <w:proofErr w:type="spellEnd"/>
      <w:r w:rsidRPr="002E0FAB">
        <w:rPr>
          <w:szCs w:val="21"/>
        </w:rPr>
        <w:t>), and b-cell lymphoma 2 (</w:t>
      </w:r>
      <w:r w:rsidRPr="002E0FAB">
        <w:rPr>
          <w:i/>
          <w:iCs/>
          <w:szCs w:val="21"/>
        </w:rPr>
        <w:t>bcl</w:t>
      </w:r>
      <w:r w:rsidRPr="002E0FAB">
        <w:rPr>
          <w:szCs w:val="21"/>
        </w:rPr>
        <w:t>-2) genes, and down-regulated the expression of interleukin-1 (</w:t>
      </w:r>
      <w:r w:rsidRPr="002E0FAB">
        <w:rPr>
          <w:i/>
          <w:iCs/>
          <w:szCs w:val="21"/>
        </w:rPr>
        <w:t>il</w:t>
      </w:r>
      <w:r w:rsidRPr="002E0FAB">
        <w:rPr>
          <w:szCs w:val="21"/>
        </w:rPr>
        <w:t>-1), interleukin-8 (</w:t>
      </w:r>
      <w:r w:rsidRPr="002E0FAB">
        <w:rPr>
          <w:i/>
          <w:iCs/>
          <w:szCs w:val="21"/>
        </w:rPr>
        <w:t>il</w:t>
      </w:r>
      <w:r w:rsidRPr="002E0FAB">
        <w:rPr>
          <w:szCs w:val="21"/>
        </w:rPr>
        <w:t>-8), tumor protein 53 (</w:t>
      </w:r>
      <w:r w:rsidRPr="002E0FAB">
        <w:rPr>
          <w:i/>
          <w:iCs/>
          <w:szCs w:val="21"/>
        </w:rPr>
        <w:t>p</w:t>
      </w:r>
      <w:r w:rsidRPr="002E0FAB">
        <w:rPr>
          <w:szCs w:val="21"/>
        </w:rPr>
        <w:t>53), bcl-2 associated X protein (</w:t>
      </w:r>
      <w:proofErr w:type="spellStart"/>
      <w:r w:rsidRPr="002E0FAB">
        <w:rPr>
          <w:i/>
          <w:iCs/>
          <w:szCs w:val="21"/>
        </w:rPr>
        <w:t>bax</w:t>
      </w:r>
      <w:proofErr w:type="spellEnd"/>
      <w:r w:rsidRPr="002E0FAB">
        <w:rPr>
          <w:szCs w:val="21"/>
        </w:rPr>
        <w:t>), cysteine aspartate protease 3 (</w:t>
      </w:r>
      <w:r w:rsidRPr="002E0FAB">
        <w:rPr>
          <w:i/>
          <w:iCs/>
          <w:szCs w:val="21"/>
        </w:rPr>
        <w:t>caspase</w:t>
      </w:r>
      <w:r w:rsidRPr="002E0FAB">
        <w:rPr>
          <w:szCs w:val="21"/>
        </w:rPr>
        <w:t>3) and cysteine aspartate protease 9 (</w:t>
      </w:r>
      <w:r w:rsidRPr="002E0FAB">
        <w:rPr>
          <w:i/>
          <w:iCs/>
          <w:szCs w:val="21"/>
        </w:rPr>
        <w:t>caspase</w:t>
      </w:r>
      <w:r w:rsidRPr="002E0FAB">
        <w:rPr>
          <w:szCs w:val="21"/>
        </w:rPr>
        <w:t>9) genes. After 96 h of ammonia exposure, the cumulative mortality and blood ammonia content in resveratrol group were significantly lower than those in control group; but the serum lysozyme (LZM) activity, total complement (CH50), total immunoglobulin contents (IG), antibody titer (Ab</w:t>
      </w:r>
      <w:r>
        <w:rPr>
          <w:rFonts w:hint="eastAsia"/>
          <w:szCs w:val="21"/>
        </w:rPr>
        <w:t xml:space="preserve"> </w:t>
      </w:r>
      <w:r w:rsidRPr="002E0FAB">
        <w:rPr>
          <w:szCs w:val="21"/>
        </w:rPr>
        <w:t xml:space="preserve">titer), the activities of </w:t>
      </w:r>
      <w:proofErr w:type="spellStart"/>
      <w:r w:rsidRPr="002E0FAB">
        <w:rPr>
          <w:szCs w:val="21"/>
        </w:rPr>
        <w:t>argininosuccinate</w:t>
      </w:r>
      <w:proofErr w:type="spellEnd"/>
      <w:r w:rsidRPr="002E0FAB">
        <w:rPr>
          <w:szCs w:val="21"/>
        </w:rPr>
        <w:t xml:space="preserve"> synthetase (ASS), </w:t>
      </w:r>
      <w:proofErr w:type="spellStart"/>
      <w:r w:rsidRPr="002E0FAB">
        <w:rPr>
          <w:szCs w:val="21"/>
        </w:rPr>
        <w:t>argininosuccinate</w:t>
      </w:r>
      <w:proofErr w:type="spellEnd"/>
      <w:r w:rsidRPr="002E0FAB">
        <w:rPr>
          <w:szCs w:val="21"/>
        </w:rPr>
        <w:t xml:space="preserve"> lyase (ASL), arginase (ARG), and ornithine </w:t>
      </w:r>
      <w:proofErr w:type="spellStart"/>
      <w:r w:rsidRPr="002E0FAB">
        <w:rPr>
          <w:szCs w:val="21"/>
        </w:rPr>
        <w:t>carbamoyltransferase</w:t>
      </w:r>
      <w:proofErr w:type="spellEnd"/>
      <w:r w:rsidRPr="002E0FAB">
        <w:rPr>
          <w:szCs w:val="21"/>
        </w:rPr>
        <w:t xml:space="preserve"> (OTC) in liver were significantly higher than those in control group. The study showed that the addition of resveratrol to the feed could improve the growth performance, serum health, antioxidant capacity, inflammation and apoptosis of largemouth bass, and that resveratrol could enhance the ammonia-nitrogen tolerance of largemouth bass by activating the urea cycle, and improve the immune response to the occurrence of stress.</w:t>
      </w:r>
    </w:p>
    <w:p w14:paraId="437EC4F5" w14:textId="77777777" w:rsidR="00400E98" w:rsidRDefault="00400E98" w:rsidP="00400E98">
      <w:pPr>
        <w:rPr>
          <w:szCs w:val="21"/>
        </w:rPr>
      </w:pPr>
      <w:r w:rsidRPr="00464EAB">
        <w:rPr>
          <w:rFonts w:hint="eastAsia"/>
          <w:b/>
          <w:bCs/>
          <w:color w:val="000000"/>
          <w:szCs w:val="21"/>
        </w:rPr>
        <w:t>Key words:</w:t>
      </w:r>
      <w:r>
        <w:rPr>
          <w:rFonts w:hint="eastAsia"/>
          <w:b/>
          <w:bCs/>
          <w:color w:val="000000"/>
          <w:szCs w:val="21"/>
        </w:rPr>
        <w:t xml:space="preserve"> </w:t>
      </w:r>
      <w:r w:rsidRPr="00464EAB">
        <w:rPr>
          <w:rFonts w:hint="eastAsia"/>
          <w:i/>
          <w:iCs/>
          <w:szCs w:val="21"/>
        </w:rPr>
        <w:t xml:space="preserve">Micropterus </w:t>
      </w:r>
      <w:proofErr w:type="spellStart"/>
      <w:r w:rsidRPr="00464EAB">
        <w:rPr>
          <w:rFonts w:hint="eastAsia"/>
          <w:i/>
          <w:iCs/>
          <w:szCs w:val="21"/>
        </w:rPr>
        <w:t>salmoides</w:t>
      </w:r>
      <w:proofErr w:type="spellEnd"/>
      <w:r w:rsidRPr="00464EAB">
        <w:rPr>
          <w:rFonts w:hint="eastAsia"/>
          <w:szCs w:val="21"/>
        </w:rPr>
        <w:t>; resveratrol; ammonia; stress resistance</w:t>
      </w:r>
    </w:p>
    <w:p w14:paraId="7156BFE5" w14:textId="77777777" w:rsidR="00400E98" w:rsidRDefault="00400E98" w:rsidP="00400E98">
      <w:pPr>
        <w:rPr>
          <w:szCs w:val="21"/>
        </w:rPr>
      </w:pPr>
    </w:p>
    <w:p w14:paraId="280CACAE" w14:textId="356E018F" w:rsidR="00400E98" w:rsidRPr="00464EAB" w:rsidRDefault="00400E98" w:rsidP="00DA479E">
      <w:pPr>
        <w:autoSpaceDE w:val="0"/>
        <w:spacing w:line="360" w:lineRule="auto"/>
        <w:ind w:firstLineChars="200" w:firstLine="480"/>
        <w:rPr>
          <w:sz w:val="24"/>
        </w:rPr>
      </w:pPr>
      <w:r w:rsidRPr="00464EAB">
        <w:rPr>
          <w:rFonts w:hint="eastAsia"/>
          <w:sz w:val="24"/>
        </w:rPr>
        <w:t>白藜芦醇广泛存在于葡萄、花生和虎杖等植物中，具有多种生物学功能，如抗氧化、抗炎、增强免疫及促生长，同时还能够调节脂质代谢，有效降低动物体内脂肪的过度积累</w:t>
      </w:r>
      <w:r w:rsidRPr="00464EAB">
        <w:rPr>
          <w:sz w:val="24"/>
          <w:vertAlign w:val="superscript"/>
        </w:rPr>
        <w:t>[1]</w:t>
      </w:r>
      <w:r w:rsidRPr="00464EAB">
        <w:rPr>
          <w:rFonts w:hint="eastAsia"/>
          <w:sz w:val="24"/>
        </w:rPr>
        <w:t>。已有研究报道，在大菱鲆</w:t>
      </w:r>
      <w:r w:rsidRPr="00464EAB">
        <w:rPr>
          <w:sz w:val="24"/>
        </w:rPr>
        <w:t>(</w:t>
      </w:r>
      <w:r w:rsidRPr="00464EAB">
        <w:rPr>
          <w:i/>
          <w:iCs/>
          <w:sz w:val="24"/>
        </w:rPr>
        <w:t>Scophthalmus maximus</w:t>
      </w:r>
      <w:r w:rsidRPr="00464EAB">
        <w:rPr>
          <w:sz w:val="24"/>
        </w:rPr>
        <w:t xml:space="preserve">) </w:t>
      </w:r>
      <w:r w:rsidRPr="00464EAB">
        <w:rPr>
          <w:rFonts w:hint="eastAsia"/>
          <w:sz w:val="24"/>
        </w:rPr>
        <w:t>饲料中添加</w:t>
      </w:r>
      <w:r w:rsidRPr="00464EAB">
        <w:rPr>
          <w:sz w:val="24"/>
        </w:rPr>
        <w:t xml:space="preserve">0.05% </w:t>
      </w:r>
      <w:r w:rsidRPr="00464EAB">
        <w:rPr>
          <w:rFonts w:hint="eastAsia"/>
          <w:sz w:val="24"/>
        </w:rPr>
        <w:t>的白藜芦醇，可以显著提高其抗氧化能力</w:t>
      </w:r>
      <w:r w:rsidRPr="00464EAB">
        <w:rPr>
          <w:sz w:val="24"/>
          <w:vertAlign w:val="superscript"/>
        </w:rPr>
        <w:t>[2]</w:t>
      </w:r>
      <w:r w:rsidRPr="00464EAB">
        <w:rPr>
          <w:rFonts w:hint="eastAsia"/>
          <w:sz w:val="24"/>
        </w:rPr>
        <w:t>；在高脂饲料中添加</w:t>
      </w:r>
      <w:r w:rsidRPr="00464EAB">
        <w:rPr>
          <w:sz w:val="24"/>
        </w:rPr>
        <w:t xml:space="preserve">0.50%~1.00% </w:t>
      </w:r>
      <w:r w:rsidRPr="00464EAB">
        <w:rPr>
          <w:rFonts w:hint="eastAsia"/>
          <w:sz w:val="24"/>
        </w:rPr>
        <w:t>的白藜芦醇能够增强团头鲂</w:t>
      </w:r>
      <w:r w:rsidRPr="00464EAB">
        <w:rPr>
          <w:sz w:val="24"/>
        </w:rPr>
        <w:t>(</w:t>
      </w:r>
      <w:proofErr w:type="spellStart"/>
      <w:r w:rsidRPr="00464EAB">
        <w:rPr>
          <w:i/>
          <w:iCs/>
          <w:sz w:val="24"/>
        </w:rPr>
        <w:t>Megalobrama</w:t>
      </w:r>
      <w:proofErr w:type="spellEnd"/>
      <w:r w:rsidRPr="00464EAB">
        <w:rPr>
          <w:i/>
          <w:iCs/>
          <w:sz w:val="24"/>
        </w:rPr>
        <w:t xml:space="preserve"> </w:t>
      </w:r>
      <w:proofErr w:type="spellStart"/>
      <w:r w:rsidRPr="00464EAB">
        <w:rPr>
          <w:i/>
          <w:iCs/>
          <w:sz w:val="24"/>
        </w:rPr>
        <w:t>amblycephala</w:t>
      </w:r>
      <w:proofErr w:type="spellEnd"/>
      <w:r w:rsidRPr="00464EAB">
        <w:rPr>
          <w:sz w:val="24"/>
        </w:rPr>
        <w:t>)</w:t>
      </w:r>
      <w:r w:rsidRPr="00464EAB">
        <w:rPr>
          <w:rFonts w:hint="eastAsia"/>
          <w:sz w:val="24"/>
        </w:rPr>
        <w:t>肝脏抗氧化酶活性</w:t>
      </w:r>
      <w:r w:rsidRPr="00464EAB">
        <w:rPr>
          <w:sz w:val="24"/>
          <w:vertAlign w:val="superscript"/>
        </w:rPr>
        <w:t>[3]</w:t>
      </w:r>
      <w:r w:rsidRPr="00464EAB">
        <w:rPr>
          <w:rFonts w:hint="eastAsia"/>
          <w:sz w:val="24"/>
        </w:rPr>
        <w:t>；饲料中添加白藜芦醇能够有效抑制</w:t>
      </w:r>
      <w:r w:rsidRPr="00464EAB">
        <w:rPr>
          <w:sz w:val="24"/>
        </w:rPr>
        <w:t>NF-</w:t>
      </w:r>
      <w:proofErr w:type="spellStart"/>
      <w:r w:rsidRPr="00464EAB">
        <w:rPr>
          <w:sz w:val="24"/>
        </w:rPr>
        <w:t>κB</w:t>
      </w:r>
      <w:proofErr w:type="spellEnd"/>
      <w:r w:rsidRPr="00464EAB">
        <w:rPr>
          <w:sz w:val="24"/>
        </w:rPr>
        <w:t xml:space="preserve"> </w:t>
      </w:r>
      <w:r w:rsidRPr="00464EAB">
        <w:rPr>
          <w:rFonts w:hint="eastAsia"/>
          <w:sz w:val="24"/>
        </w:rPr>
        <w:t>信号通路，下调</w:t>
      </w:r>
      <w:r w:rsidRPr="00464EAB">
        <w:rPr>
          <w:i/>
          <w:iCs/>
          <w:sz w:val="24"/>
        </w:rPr>
        <w:t>TNF</w:t>
      </w:r>
      <w:r w:rsidRPr="00464EAB">
        <w:rPr>
          <w:sz w:val="24"/>
        </w:rPr>
        <w:t>-</w:t>
      </w:r>
      <w:r w:rsidRPr="00464EAB">
        <w:rPr>
          <w:i/>
          <w:iCs/>
          <w:sz w:val="24"/>
        </w:rPr>
        <w:t>α</w:t>
      </w:r>
      <w:r w:rsidRPr="00464EAB">
        <w:rPr>
          <w:rFonts w:hint="eastAsia"/>
          <w:sz w:val="24"/>
        </w:rPr>
        <w:t>、</w:t>
      </w:r>
      <w:r w:rsidRPr="00464EAB">
        <w:rPr>
          <w:i/>
          <w:iCs/>
          <w:sz w:val="24"/>
        </w:rPr>
        <w:t>IL</w:t>
      </w:r>
      <w:r w:rsidRPr="00464EAB">
        <w:rPr>
          <w:sz w:val="24"/>
        </w:rPr>
        <w:t xml:space="preserve">-1 </w:t>
      </w:r>
      <w:r w:rsidRPr="00464EAB">
        <w:rPr>
          <w:rFonts w:hint="eastAsia"/>
          <w:sz w:val="24"/>
        </w:rPr>
        <w:t>和</w:t>
      </w:r>
      <w:r w:rsidRPr="00464EAB">
        <w:rPr>
          <w:i/>
          <w:iCs/>
          <w:sz w:val="24"/>
        </w:rPr>
        <w:t>IL</w:t>
      </w:r>
      <w:r w:rsidRPr="00464EAB">
        <w:rPr>
          <w:sz w:val="24"/>
        </w:rPr>
        <w:t>-8</w:t>
      </w:r>
      <w:r w:rsidRPr="00464EAB">
        <w:rPr>
          <w:rFonts w:hint="eastAsia"/>
          <w:sz w:val="24"/>
        </w:rPr>
        <w:t>基因表达，上调</w:t>
      </w:r>
      <w:r w:rsidRPr="00464EAB">
        <w:rPr>
          <w:i/>
          <w:iCs/>
          <w:sz w:val="24"/>
        </w:rPr>
        <w:t>IL</w:t>
      </w:r>
      <w:r w:rsidRPr="00464EAB">
        <w:rPr>
          <w:sz w:val="24"/>
        </w:rPr>
        <w:t xml:space="preserve">-10 </w:t>
      </w:r>
      <w:r w:rsidRPr="00464EAB">
        <w:rPr>
          <w:rFonts w:hint="eastAsia"/>
          <w:sz w:val="24"/>
        </w:rPr>
        <w:t>基因表达，以缓解尼罗罗非鱼</w:t>
      </w:r>
      <w:r w:rsidRPr="00464EAB">
        <w:rPr>
          <w:sz w:val="24"/>
        </w:rPr>
        <w:t>(</w:t>
      </w:r>
      <w:r w:rsidRPr="00464EAB">
        <w:rPr>
          <w:i/>
          <w:iCs/>
          <w:sz w:val="24"/>
        </w:rPr>
        <w:t>Oreochromis niloticus</w:t>
      </w:r>
      <w:r w:rsidRPr="00464EAB">
        <w:rPr>
          <w:sz w:val="24"/>
        </w:rPr>
        <w:t xml:space="preserve">) </w:t>
      </w:r>
      <w:r w:rsidRPr="00464EAB">
        <w:rPr>
          <w:rFonts w:hint="eastAsia"/>
          <w:sz w:val="24"/>
        </w:rPr>
        <w:t>由于过度炎症反应造成的肝损伤</w:t>
      </w:r>
      <w:r w:rsidRPr="00464EAB">
        <w:rPr>
          <w:sz w:val="24"/>
          <w:vertAlign w:val="superscript"/>
        </w:rPr>
        <w:t>[4]</w:t>
      </w:r>
      <w:r w:rsidRPr="00464EAB">
        <w:rPr>
          <w:rFonts w:hint="eastAsia"/>
          <w:sz w:val="24"/>
        </w:rPr>
        <w:t>；斑马鱼</w:t>
      </w:r>
      <w:r w:rsidRPr="00464EAB">
        <w:rPr>
          <w:sz w:val="24"/>
        </w:rPr>
        <w:t>(</w:t>
      </w:r>
      <w:r w:rsidRPr="00464EAB">
        <w:rPr>
          <w:i/>
          <w:iCs/>
          <w:sz w:val="24"/>
        </w:rPr>
        <w:t>Danio rerio</w:t>
      </w:r>
      <w:r w:rsidRPr="00464EAB">
        <w:rPr>
          <w:sz w:val="24"/>
        </w:rPr>
        <w:t xml:space="preserve">) </w:t>
      </w:r>
      <w:r w:rsidRPr="00464EAB">
        <w:rPr>
          <w:rFonts w:hint="eastAsia"/>
          <w:sz w:val="24"/>
        </w:rPr>
        <w:t>摄入白藜芦醇还能减轻由氧化锌引起的细胞凋亡</w:t>
      </w:r>
      <w:r w:rsidRPr="00464EAB">
        <w:rPr>
          <w:sz w:val="24"/>
          <w:vertAlign w:val="superscript"/>
        </w:rPr>
        <w:t>[5]</w:t>
      </w:r>
      <w:r w:rsidRPr="00464EAB">
        <w:rPr>
          <w:rFonts w:hint="eastAsia"/>
          <w:sz w:val="24"/>
        </w:rPr>
        <w:t>。白藜芦醇在水产领域中应用广泛，被认为是一种具有广阔应用前景的水产饲料添加剂。</w:t>
      </w:r>
    </w:p>
    <w:p w14:paraId="094945B0" w14:textId="77777777" w:rsidR="00400E98" w:rsidRPr="00464EAB" w:rsidRDefault="00400E98" w:rsidP="00400E98">
      <w:pPr>
        <w:spacing w:line="360" w:lineRule="auto"/>
        <w:ind w:firstLineChars="200" w:firstLine="480"/>
        <w:rPr>
          <w:sz w:val="24"/>
        </w:rPr>
      </w:pPr>
      <w:r w:rsidRPr="00464EAB">
        <w:rPr>
          <w:rFonts w:hint="eastAsia"/>
          <w:sz w:val="24"/>
        </w:rPr>
        <w:t>随着集约化养殖的迅猛发展，氨氮胁迫问题愈发凸显，其对养殖鱼类造成的负面影响受到了广泛关注</w:t>
      </w:r>
      <w:r w:rsidRPr="00464EAB">
        <w:rPr>
          <w:sz w:val="24"/>
          <w:vertAlign w:val="superscript"/>
        </w:rPr>
        <w:t>[6]</w:t>
      </w:r>
      <w:r w:rsidRPr="00464EAB">
        <w:rPr>
          <w:rFonts w:hint="eastAsia"/>
          <w:sz w:val="24"/>
        </w:rPr>
        <w:t>。当环境中氨氮浓度超过耐受阈值时，会对鱼类的生长和发育造成不同程度的伤害，例如日本花鲈</w:t>
      </w:r>
      <w:r w:rsidRPr="00464EAB">
        <w:rPr>
          <w:sz w:val="24"/>
        </w:rPr>
        <w:t>(</w:t>
      </w:r>
      <w:proofErr w:type="spellStart"/>
      <w:r w:rsidRPr="00464EAB">
        <w:rPr>
          <w:i/>
          <w:iCs/>
          <w:sz w:val="24"/>
        </w:rPr>
        <w:t>Lateolabrax</w:t>
      </w:r>
      <w:proofErr w:type="spellEnd"/>
      <w:r w:rsidRPr="00464EAB">
        <w:rPr>
          <w:i/>
          <w:iCs/>
          <w:sz w:val="24"/>
        </w:rPr>
        <w:t xml:space="preserve"> japonicus</w:t>
      </w:r>
      <w:r w:rsidRPr="00464EAB">
        <w:rPr>
          <w:sz w:val="24"/>
        </w:rPr>
        <w:t xml:space="preserve">) </w:t>
      </w:r>
      <w:r w:rsidRPr="00464EAB">
        <w:rPr>
          <w:rFonts w:hint="eastAsia"/>
          <w:sz w:val="24"/>
        </w:rPr>
        <w:t>对环境氨氮的耐受上限是</w:t>
      </w:r>
      <w:r w:rsidRPr="00464EAB">
        <w:rPr>
          <w:sz w:val="24"/>
        </w:rPr>
        <w:t>0.28 mg/L</w:t>
      </w:r>
      <w:r w:rsidRPr="00464EAB">
        <w:rPr>
          <w:sz w:val="24"/>
          <w:vertAlign w:val="superscript"/>
        </w:rPr>
        <w:t>[7]</w:t>
      </w:r>
      <w:r w:rsidRPr="00464EAB">
        <w:rPr>
          <w:rFonts w:hint="eastAsia"/>
          <w:sz w:val="24"/>
        </w:rPr>
        <w:t>；当环境氨氮浓度超过</w:t>
      </w:r>
      <w:r w:rsidRPr="00464EAB">
        <w:rPr>
          <w:sz w:val="24"/>
        </w:rPr>
        <w:t xml:space="preserve">1.25 mg/L </w:t>
      </w:r>
      <w:r w:rsidRPr="00464EAB">
        <w:rPr>
          <w:rFonts w:hint="eastAsia"/>
          <w:sz w:val="24"/>
        </w:rPr>
        <w:t>会对黄颡鱼</w:t>
      </w:r>
      <w:r w:rsidRPr="00464EAB">
        <w:rPr>
          <w:sz w:val="24"/>
        </w:rPr>
        <w:t>(</w:t>
      </w:r>
      <w:proofErr w:type="spellStart"/>
      <w:r w:rsidRPr="00464EAB">
        <w:rPr>
          <w:i/>
          <w:iCs/>
          <w:sz w:val="24"/>
        </w:rPr>
        <w:t>Pelteobagrus</w:t>
      </w:r>
      <w:proofErr w:type="spellEnd"/>
      <w:r w:rsidRPr="00464EAB">
        <w:rPr>
          <w:i/>
          <w:iCs/>
          <w:sz w:val="24"/>
        </w:rPr>
        <w:t xml:space="preserve"> </w:t>
      </w:r>
      <w:proofErr w:type="spellStart"/>
      <w:r w:rsidRPr="00464EAB">
        <w:rPr>
          <w:i/>
          <w:iCs/>
          <w:sz w:val="24"/>
        </w:rPr>
        <w:t>fulvidraco</w:t>
      </w:r>
      <w:proofErr w:type="spellEnd"/>
      <w:r w:rsidRPr="00464EAB">
        <w:rPr>
          <w:sz w:val="24"/>
        </w:rPr>
        <w:t xml:space="preserve">) </w:t>
      </w:r>
      <w:r w:rsidRPr="00464EAB">
        <w:rPr>
          <w:rFonts w:hint="eastAsia"/>
          <w:sz w:val="24"/>
        </w:rPr>
        <w:t>的生长造成抑制，而浓</w:t>
      </w:r>
      <w:r w:rsidRPr="00464EAB">
        <w:rPr>
          <w:rFonts w:hint="eastAsia"/>
          <w:sz w:val="24"/>
        </w:rPr>
        <w:lastRenderedPageBreak/>
        <w:t>度超过</w:t>
      </w:r>
      <w:r w:rsidRPr="00464EAB">
        <w:rPr>
          <w:sz w:val="24"/>
        </w:rPr>
        <w:t xml:space="preserve">10 mg/L </w:t>
      </w:r>
      <w:r w:rsidRPr="00464EAB">
        <w:rPr>
          <w:rFonts w:hint="eastAsia"/>
          <w:sz w:val="24"/>
        </w:rPr>
        <w:t>则会引起存活率下降</w:t>
      </w:r>
      <w:r w:rsidRPr="00464EAB">
        <w:rPr>
          <w:sz w:val="24"/>
          <w:vertAlign w:val="superscript"/>
        </w:rPr>
        <w:t>[8]</w:t>
      </w:r>
      <w:r w:rsidRPr="00464EAB">
        <w:rPr>
          <w:rFonts w:hint="eastAsia"/>
          <w:sz w:val="24"/>
        </w:rPr>
        <w:t>。绝大多数鱼类氨氮中毒的典型症状表现为生长迟缓、组织损伤、氧化应激、免疫抑制及肠道有害微生物增多等</w:t>
      </w:r>
      <w:r w:rsidRPr="00464EAB">
        <w:rPr>
          <w:sz w:val="24"/>
          <w:vertAlign w:val="superscript"/>
        </w:rPr>
        <w:t>[9]</w:t>
      </w:r>
      <w:r w:rsidRPr="00464EAB">
        <w:rPr>
          <w:rFonts w:hint="eastAsia"/>
          <w:sz w:val="24"/>
        </w:rPr>
        <w:t>，例如大菱鲆</w:t>
      </w:r>
      <w:r w:rsidRPr="00464EAB">
        <w:rPr>
          <w:sz w:val="24"/>
          <w:vertAlign w:val="superscript"/>
        </w:rPr>
        <w:t>[10]</w:t>
      </w:r>
      <w:r w:rsidRPr="00464EAB">
        <w:rPr>
          <w:rFonts w:hint="eastAsia"/>
          <w:sz w:val="24"/>
        </w:rPr>
        <w:t>、银鲈</w:t>
      </w:r>
      <w:r w:rsidRPr="00464EAB">
        <w:rPr>
          <w:sz w:val="24"/>
        </w:rPr>
        <w:t>(</w:t>
      </w:r>
      <w:proofErr w:type="spellStart"/>
      <w:r w:rsidRPr="00464EAB">
        <w:rPr>
          <w:i/>
          <w:iCs/>
          <w:sz w:val="24"/>
        </w:rPr>
        <w:t>Bidyanus</w:t>
      </w:r>
      <w:proofErr w:type="spellEnd"/>
      <w:r w:rsidRPr="00464EAB">
        <w:rPr>
          <w:i/>
          <w:iCs/>
          <w:sz w:val="24"/>
        </w:rPr>
        <w:t xml:space="preserve"> </w:t>
      </w:r>
      <w:proofErr w:type="spellStart"/>
      <w:r w:rsidRPr="00464EAB">
        <w:rPr>
          <w:i/>
          <w:iCs/>
          <w:sz w:val="24"/>
        </w:rPr>
        <w:t>bidyanus</w:t>
      </w:r>
      <w:proofErr w:type="spellEnd"/>
      <w:r w:rsidRPr="00464EAB">
        <w:rPr>
          <w:sz w:val="24"/>
        </w:rPr>
        <w:t>)</w:t>
      </w:r>
      <w:r w:rsidRPr="00464EAB">
        <w:rPr>
          <w:sz w:val="24"/>
          <w:vertAlign w:val="superscript"/>
        </w:rPr>
        <w:t>[11]</w:t>
      </w:r>
      <w:r w:rsidRPr="00464EAB">
        <w:rPr>
          <w:rFonts w:hint="eastAsia"/>
          <w:sz w:val="24"/>
        </w:rPr>
        <w:t>和鲤</w:t>
      </w:r>
      <w:r w:rsidRPr="00464EAB">
        <w:rPr>
          <w:sz w:val="24"/>
        </w:rPr>
        <w:t>(</w:t>
      </w:r>
      <w:r w:rsidRPr="00464EAB">
        <w:rPr>
          <w:i/>
          <w:iCs/>
          <w:sz w:val="24"/>
        </w:rPr>
        <w:t>Cyprinus carpio</w:t>
      </w:r>
      <w:r w:rsidRPr="00464EAB">
        <w:rPr>
          <w:sz w:val="24"/>
        </w:rPr>
        <w:t>)</w:t>
      </w:r>
      <w:r w:rsidRPr="00464EAB">
        <w:rPr>
          <w:sz w:val="24"/>
          <w:vertAlign w:val="superscript"/>
        </w:rPr>
        <w:t>[12]</w:t>
      </w:r>
      <w:r w:rsidRPr="00464EAB">
        <w:rPr>
          <w:rFonts w:hint="eastAsia"/>
          <w:sz w:val="24"/>
        </w:rPr>
        <w:t>等。研究表明，营养调控能够较好地缓解鱼类氨氮中毒症状。在团头鲂幼鱼饲料中添加富含多酚的硒酵母和绿茶，可显著增强其抗氧化能力和免疫应答，减轻氧化应激和氨氮胁迫造成的伤害</w:t>
      </w:r>
      <w:r w:rsidRPr="00464EAB">
        <w:rPr>
          <w:sz w:val="24"/>
          <w:vertAlign w:val="superscript"/>
        </w:rPr>
        <w:t>[13]</w:t>
      </w:r>
      <w:r w:rsidRPr="00464EAB">
        <w:rPr>
          <w:rFonts w:hint="eastAsia"/>
          <w:sz w:val="24"/>
        </w:rPr>
        <w:t>；在异育银鲫</w:t>
      </w:r>
      <w:r w:rsidRPr="00464EAB">
        <w:rPr>
          <w:sz w:val="24"/>
        </w:rPr>
        <w:t>(</w:t>
      </w:r>
      <w:r w:rsidRPr="00464EAB">
        <w:rPr>
          <w:i/>
          <w:iCs/>
          <w:sz w:val="24"/>
        </w:rPr>
        <w:t xml:space="preserve">Carassius auratus </w:t>
      </w:r>
      <w:proofErr w:type="spellStart"/>
      <w:r w:rsidRPr="00464EAB">
        <w:rPr>
          <w:i/>
          <w:iCs/>
          <w:sz w:val="24"/>
        </w:rPr>
        <w:t>gibelio</w:t>
      </w:r>
      <w:proofErr w:type="spellEnd"/>
      <w:r w:rsidRPr="00464EAB">
        <w:rPr>
          <w:sz w:val="24"/>
        </w:rPr>
        <w:t xml:space="preserve">) </w:t>
      </w:r>
      <w:r w:rsidRPr="00464EAB">
        <w:rPr>
          <w:rFonts w:hint="eastAsia"/>
          <w:sz w:val="24"/>
        </w:rPr>
        <w:t>饲料中添加富含多酚的姜黄素可以缓解肝脏氧化应激，减轻氨氮胁迫诱导的铁死亡</w:t>
      </w:r>
      <w:r w:rsidRPr="00464EAB">
        <w:rPr>
          <w:sz w:val="24"/>
          <w:vertAlign w:val="superscript"/>
        </w:rPr>
        <w:t>[14]</w:t>
      </w:r>
      <w:r w:rsidRPr="00464EAB">
        <w:rPr>
          <w:rFonts w:hint="eastAsia"/>
          <w:sz w:val="24"/>
        </w:rPr>
        <w:t>；在黄颡鱼饲料中添加富含多酚的鞣花酸，能够有效缓解氨氮胁迫造成的生长抑制和氧化损伤</w:t>
      </w:r>
      <w:r w:rsidRPr="00464EAB">
        <w:rPr>
          <w:sz w:val="24"/>
          <w:vertAlign w:val="superscript"/>
        </w:rPr>
        <w:t>[15]</w:t>
      </w:r>
      <w:r w:rsidRPr="00464EAB">
        <w:rPr>
          <w:rFonts w:hint="eastAsia"/>
          <w:sz w:val="24"/>
        </w:rPr>
        <w:t>。白藜芦醇也是一种多酚类有机化合物，最近在哺乳动物中有研究指出，白藜芦醇能够有效缓解高血氨症对大鼠肝脏和脑组织造成的不良影响</w:t>
      </w:r>
      <w:r w:rsidRPr="00464EAB">
        <w:rPr>
          <w:sz w:val="24"/>
          <w:vertAlign w:val="superscript"/>
        </w:rPr>
        <w:t>[16]</w:t>
      </w:r>
      <w:r w:rsidRPr="00464EAB">
        <w:rPr>
          <w:rFonts w:hint="eastAsia"/>
          <w:sz w:val="24"/>
        </w:rPr>
        <w:t>。在鱼类中，白藜芦醇能否发挥氨氮解毒的作用尚未见报道。</w:t>
      </w:r>
    </w:p>
    <w:p w14:paraId="5B03266F" w14:textId="77777777" w:rsidR="00400E98" w:rsidRDefault="00400E98" w:rsidP="00400E98">
      <w:pPr>
        <w:spacing w:line="360" w:lineRule="auto"/>
        <w:ind w:firstLineChars="200" w:firstLine="480"/>
        <w:rPr>
          <w:sz w:val="24"/>
        </w:rPr>
      </w:pPr>
      <w:r w:rsidRPr="00464EAB">
        <w:rPr>
          <w:rFonts w:hint="eastAsia"/>
          <w:sz w:val="24"/>
        </w:rPr>
        <w:t>大口黑鲈</w:t>
      </w:r>
      <w:r w:rsidRPr="00464EAB">
        <w:rPr>
          <w:sz w:val="24"/>
        </w:rPr>
        <w:t>(</w:t>
      </w:r>
      <w:r w:rsidRPr="004E486F">
        <w:rPr>
          <w:i/>
          <w:iCs/>
          <w:sz w:val="24"/>
        </w:rPr>
        <w:t xml:space="preserve">Micropterus </w:t>
      </w:r>
      <w:proofErr w:type="spellStart"/>
      <w:r w:rsidRPr="004E486F">
        <w:rPr>
          <w:i/>
          <w:iCs/>
          <w:sz w:val="24"/>
        </w:rPr>
        <w:t>salmoides</w:t>
      </w:r>
      <w:proofErr w:type="spellEnd"/>
      <w:r w:rsidRPr="00464EAB">
        <w:rPr>
          <w:sz w:val="24"/>
        </w:rPr>
        <w:t xml:space="preserve">) </w:t>
      </w:r>
      <w:r w:rsidRPr="00464EAB">
        <w:rPr>
          <w:rFonts w:hint="eastAsia"/>
          <w:sz w:val="24"/>
        </w:rPr>
        <w:t>是我国重要的淡水养殖鱼类之一</w:t>
      </w:r>
      <w:r w:rsidRPr="004E486F">
        <w:rPr>
          <w:sz w:val="24"/>
          <w:vertAlign w:val="superscript"/>
        </w:rPr>
        <w:t>[17]</w:t>
      </w:r>
      <w:r w:rsidRPr="00464EAB">
        <w:rPr>
          <w:rFonts w:hint="eastAsia"/>
          <w:sz w:val="24"/>
        </w:rPr>
        <w:t>。据不完全统计，</w:t>
      </w:r>
      <w:r w:rsidRPr="00464EAB">
        <w:rPr>
          <w:sz w:val="24"/>
        </w:rPr>
        <w:t xml:space="preserve">2023 </w:t>
      </w:r>
      <w:r w:rsidRPr="00464EAB">
        <w:rPr>
          <w:rFonts w:hint="eastAsia"/>
          <w:sz w:val="24"/>
        </w:rPr>
        <w:t>年全国大口黑鲈的养殖总产量超过</w:t>
      </w:r>
      <w:r w:rsidRPr="00464EAB">
        <w:rPr>
          <w:sz w:val="24"/>
        </w:rPr>
        <w:t xml:space="preserve">80 </w:t>
      </w:r>
      <w:r w:rsidRPr="00464EAB">
        <w:rPr>
          <w:rFonts w:hint="eastAsia"/>
          <w:sz w:val="24"/>
        </w:rPr>
        <w:t>万</w:t>
      </w:r>
      <w:r w:rsidRPr="00464EAB">
        <w:rPr>
          <w:sz w:val="24"/>
        </w:rPr>
        <w:t>t</w:t>
      </w:r>
      <w:r w:rsidRPr="00464EAB">
        <w:rPr>
          <w:sz w:val="24"/>
          <w:vertAlign w:val="superscript"/>
        </w:rPr>
        <w:t>[1</w:t>
      </w:r>
      <w:r>
        <w:rPr>
          <w:rFonts w:hint="eastAsia"/>
          <w:sz w:val="24"/>
          <w:vertAlign w:val="superscript"/>
        </w:rPr>
        <w:t>8</w:t>
      </w:r>
      <w:r w:rsidRPr="00464EAB">
        <w:rPr>
          <w:sz w:val="24"/>
          <w:vertAlign w:val="superscript"/>
        </w:rPr>
        <w:t>]</w:t>
      </w:r>
      <w:r w:rsidRPr="004E486F">
        <w:rPr>
          <w:rFonts w:hint="eastAsia"/>
          <w:sz w:val="24"/>
        </w:rPr>
        <w:t>。然而，随着养殖规模的不断扩大，氨氮对大口黑鲈养殖业造成的经济损失也日益严重。高密度养殖条件下，采用持续换水、生物膜过滤、底质改良等措施处理氨氮，成本高且操作繁琐，而营养手段恰好是一种简单易行的调控手段</w:t>
      </w:r>
      <w:r w:rsidRPr="004E486F">
        <w:rPr>
          <w:sz w:val="24"/>
          <w:vertAlign w:val="superscript"/>
        </w:rPr>
        <w:t>[19]</w:t>
      </w:r>
      <w:r w:rsidRPr="004E486F">
        <w:rPr>
          <w:rFonts w:hint="eastAsia"/>
          <w:sz w:val="24"/>
        </w:rPr>
        <w:t>。本研究通过解析白藜芦醇对大口黑鲈生长性能、血清生化稳态</w:t>
      </w:r>
      <w:r w:rsidRPr="004E486F">
        <w:rPr>
          <w:sz w:val="24"/>
        </w:rPr>
        <w:t>(</w:t>
      </w:r>
      <w:r w:rsidRPr="004E486F">
        <w:rPr>
          <w:rFonts w:hint="eastAsia"/>
          <w:sz w:val="24"/>
        </w:rPr>
        <w:t>总蛋白、胆固醇</w:t>
      </w:r>
      <w:r w:rsidRPr="004E486F">
        <w:rPr>
          <w:sz w:val="24"/>
        </w:rPr>
        <w:t>)</w:t>
      </w:r>
      <w:r w:rsidRPr="004E486F">
        <w:rPr>
          <w:rFonts w:hint="eastAsia"/>
          <w:sz w:val="24"/>
        </w:rPr>
        <w:t>、抗氧化能力</w:t>
      </w:r>
      <w:r w:rsidRPr="004E486F">
        <w:rPr>
          <w:sz w:val="24"/>
        </w:rPr>
        <w:t>(SOD</w:t>
      </w:r>
      <w:r w:rsidRPr="004E486F">
        <w:rPr>
          <w:rFonts w:hint="eastAsia"/>
          <w:sz w:val="24"/>
        </w:rPr>
        <w:t>、</w:t>
      </w:r>
      <w:r w:rsidRPr="004E486F">
        <w:rPr>
          <w:sz w:val="24"/>
        </w:rPr>
        <w:t>CAT)</w:t>
      </w:r>
      <w:r w:rsidRPr="004E486F">
        <w:rPr>
          <w:rFonts w:hint="eastAsia"/>
          <w:sz w:val="24"/>
        </w:rPr>
        <w:t>、炎症</w:t>
      </w:r>
      <w:r w:rsidRPr="004E486F">
        <w:rPr>
          <w:sz w:val="24"/>
        </w:rPr>
        <w:t>-</w:t>
      </w:r>
      <w:r w:rsidRPr="004E486F">
        <w:rPr>
          <w:rFonts w:hint="eastAsia"/>
          <w:sz w:val="24"/>
        </w:rPr>
        <w:t>凋亡信号平衡</w:t>
      </w:r>
      <w:r w:rsidRPr="004E486F">
        <w:rPr>
          <w:sz w:val="24"/>
        </w:rPr>
        <w:t>(</w:t>
      </w:r>
      <w:proofErr w:type="spellStart"/>
      <w:r w:rsidRPr="004E486F">
        <w:rPr>
          <w:i/>
          <w:iCs/>
          <w:sz w:val="24"/>
        </w:rPr>
        <w:t>tnf</w:t>
      </w:r>
      <w:proofErr w:type="spellEnd"/>
      <w:r w:rsidRPr="004E486F">
        <w:rPr>
          <w:i/>
          <w:iCs/>
          <w:sz w:val="24"/>
        </w:rPr>
        <w:t>-α</w:t>
      </w:r>
      <w:r w:rsidRPr="004E486F">
        <w:rPr>
          <w:rFonts w:hint="eastAsia"/>
          <w:sz w:val="24"/>
        </w:rPr>
        <w:t>、</w:t>
      </w:r>
      <w:r w:rsidRPr="004E486F">
        <w:rPr>
          <w:i/>
          <w:iCs/>
          <w:sz w:val="24"/>
        </w:rPr>
        <w:t>caspase</w:t>
      </w:r>
      <w:r w:rsidRPr="004E486F">
        <w:rPr>
          <w:sz w:val="24"/>
        </w:rPr>
        <w:t xml:space="preserve">-3) </w:t>
      </w:r>
      <w:r w:rsidRPr="004E486F">
        <w:rPr>
          <w:rFonts w:hint="eastAsia"/>
          <w:sz w:val="24"/>
        </w:rPr>
        <w:t>及氨氮应激耐受性的综合调控效应，为开发抗逆性人工饲料提供关键理论支撑。</w:t>
      </w:r>
    </w:p>
    <w:p w14:paraId="22E664B1" w14:textId="77777777" w:rsidR="00400E98" w:rsidRPr="004E486F" w:rsidRDefault="00400E98" w:rsidP="00400E98">
      <w:pPr>
        <w:spacing w:line="360" w:lineRule="auto"/>
        <w:rPr>
          <w:sz w:val="24"/>
        </w:rPr>
      </w:pPr>
      <w:r w:rsidRPr="004E486F">
        <w:rPr>
          <w:rFonts w:hint="eastAsia"/>
          <w:sz w:val="24"/>
        </w:rPr>
        <w:t>1</w:t>
      </w:r>
      <w:r w:rsidRPr="004E486F">
        <w:rPr>
          <w:rFonts w:hint="eastAsia"/>
          <w:sz w:val="24"/>
        </w:rPr>
        <w:t>材料与方法</w:t>
      </w:r>
    </w:p>
    <w:p w14:paraId="7BB19125" w14:textId="77777777" w:rsidR="00400E98" w:rsidRPr="004E486F" w:rsidRDefault="00400E98" w:rsidP="00400E98">
      <w:pPr>
        <w:spacing w:line="360" w:lineRule="auto"/>
        <w:rPr>
          <w:sz w:val="24"/>
        </w:rPr>
      </w:pPr>
      <w:r w:rsidRPr="004E486F">
        <w:rPr>
          <w:rFonts w:hint="eastAsia"/>
          <w:sz w:val="24"/>
        </w:rPr>
        <w:t>1.1</w:t>
      </w:r>
      <w:r w:rsidRPr="004E486F">
        <w:rPr>
          <w:rFonts w:hint="eastAsia"/>
          <w:sz w:val="24"/>
        </w:rPr>
        <w:t>实验饲料</w:t>
      </w:r>
    </w:p>
    <w:p w14:paraId="661A3725" w14:textId="77777777" w:rsidR="00400E98" w:rsidRPr="004E486F" w:rsidRDefault="00400E98" w:rsidP="00400E98">
      <w:pPr>
        <w:spacing w:line="360" w:lineRule="auto"/>
        <w:ind w:firstLineChars="200" w:firstLine="480"/>
        <w:rPr>
          <w:sz w:val="24"/>
        </w:rPr>
      </w:pPr>
      <w:r w:rsidRPr="004E486F">
        <w:rPr>
          <w:rFonts w:hint="eastAsia"/>
          <w:sz w:val="24"/>
        </w:rPr>
        <w:t>共配置</w:t>
      </w:r>
      <w:r w:rsidRPr="004E486F">
        <w:rPr>
          <w:rFonts w:hint="eastAsia"/>
          <w:sz w:val="24"/>
        </w:rPr>
        <w:t xml:space="preserve">3 </w:t>
      </w:r>
      <w:r w:rsidRPr="004E486F">
        <w:rPr>
          <w:rFonts w:hint="eastAsia"/>
          <w:sz w:val="24"/>
        </w:rPr>
        <w:t>种含不同浓度白藜芦醇</w:t>
      </w:r>
      <w:r w:rsidRPr="004E486F">
        <w:rPr>
          <w:rFonts w:hint="eastAsia"/>
          <w:sz w:val="24"/>
        </w:rPr>
        <w:t>(0.00%</w:t>
      </w:r>
      <w:r w:rsidRPr="004E486F">
        <w:rPr>
          <w:rFonts w:hint="eastAsia"/>
          <w:sz w:val="24"/>
        </w:rPr>
        <w:t>、</w:t>
      </w:r>
      <w:r w:rsidRPr="004E486F">
        <w:rPr>
          <w:rFonts w:hint="eastAsia"/>
          <w:sz w:val="24"/>
        </w:rPr>
        <w:t xml:space="preserve">0.50% </w:t>
      </w:r>
      <w:r w:rsidRPr="004E486F">
        <w:rPr>
          <w:rFonts w:hint="eastAsia"/>
          <w:sz w:val="24"/>
        </w:rPr>
        <w:t>和</w:t>
      </w:r>
      <w:r w:rsidRPr="004E486F">
        <w:rPr>
          <w:rFonts w:hint="eastAsia"/>
          <w:sz w:val="24"/>
        </w:rPr>
        <w:t xml:space="preserve">1.00%) </w:t>
      </w:r>
      <w:r w:rsidRPr="004E486F">
        <w:rPr>
          <w:rFonts w:hint="eastAsia"/>
          <w:sz w:val="24"/>
        </w:rPr>
        <w:t>的实验饲料</w:t>
      </w:r>
      <w:r w:rsidRPr="00A73112">
        <w:rPr>
          <w:rFonts w:hint="eastAsia"/>
          <w:sz w:val="24"/>
          <w:vertAlign w:val="superscript"/>
        </w:rPr>
        <w:t>[20]</w:t>
      </w:r>
      <w:r w:rsidRPr="004E486F">
        <w:rPr>
          <w:rFonts w:hint="eastAsia"/>
          <w:sz w:val="24"/>
        </w:rPr>
        <w:t>。所有原料经过粉碎、过</w:t>
      </w:r>
      <w:r w:rsidRPr="004E486F">
        <w:rPr>
          <w:rFonts w:hint="eastAsia"/>
          <w:sz w:val="24"/>
        </w:rPr>
        <w:t xml:space="preserve">60 </w:t>
      </w:r>
      <w:r w:rsidRPr="004E486F">
        <w:rPr>
          <w:rFonts w:hint="eastAsia"/>
          <w:sz w:val="24"/>
        </w:rPr>
        <w:t>目筛及充分混合后，使用</w:t>
      </w:r>
      <w:r w:rsidRPr="004E486F">
        <w:rPr>
          <w:rFonts w:hint="eastAsia"/>
          <w:sz w:val="24"/>
        </w:rPr>
        <w:t xml:space="preserve">F-26II </w:t>
      </w:r>
      <w:r w:rsidRPr="004E486F">
        <w:rPr>
          <w:rFonts w:hint="eastAsia"/>
          <w:sz w:val="24"/>
        </w:rPr>
        <w:t>双螺杆造粒机</w:t>
      </w:r>
      <w:r w:rsidRPr="004E486F">
        <w:rPr>
          <w:rFonts w:hint="eastAsia"/>
          <w:sz w:val="24"/>
        </w:rPr>
        <w:t>(</w:t>
      </w:r>
      <w:r w:rsidRPr="004E486F">
        <w:rPr>
          <w:rFonts w:hint="eastAsia"/>
          <w:sz w:val="24"/>
        </w:rPr>
        <w:t>广州华工光机电科技有限公司</w:t>
      </w:r>
      <w:r w:rsidRPr="004E486F">
        <w:rPr>
          <w:rFonts w:hint="eastAsia"/>
          <w:sz w:val="24"/>
        </w:rPr>
        <w:t xml:space="preserve">) </w:t>
      </w:r>
      <w:r w:rsidRPr="004E486F">
        <w:rPr>
          <w:rFonts w:hint="eastAsia"/>
          <w:sz w:val="24"/>
        </w:rPr>
        <w:t>制成直径为</w:t>
      </w:r>
      <w:r w:rsidRPr="004E486F">
        <w:rPr>
          <w:sz w:val="24"/>
        </w:rPr>
        <w:t xml:space="preserve">3 mm </w:t>
      </w:r>
      <w:r w:rsidRPr="004E486F">
        <w:rPr>
          <w:sz w:val="24"/>
        </w:rPr>
        <w:t>的颗粒，室温下干燥，储存于</w:t>
      </w:r>
      <w:r w:rsidRPr="004E486F">
        <w:rPr>
          <w:sz w:val="24"/>
        </w:rPr>
        <w:t>−20 ℃</w:t>
      </w:r>
      <w:r w:rsidRPr="004E486F">
        <w:rPr>
          <w:sz w:val="24"/>
        </w:rPr>
        <w:t>备</w:t>
      </w:r>
      <w:r w:rsidRPr="004E486F">
        <w:rPr>
          <w:rFonts w:hint="eastAsia"/>
          <w:sz w:val="24"/>
        </w:rPr>
        <w:t>用。饲料配方及近似营养组成见表</w:t>
      </w:r>
      <w:r w:rsidRPr="004E486F">
        <w:rPr>
          <w:rFonts w:hint="eastAsia"/>
          <w:sz w:val="24"/>
        </w:rPr>
        <w:t>1</w:t>
      </w:r>
      <w:r w:rsidRPr="004E486F">
        <w:rPr>
          <w:rFonts w:hint="eastAsia"/>
          <w:sz w:val="24"/>
        </w:rPr>
        <w:t>。</w:t>
      </w:r>
    </w:p>
    <w:p w14:paraId="16C26647" w14:textId="77777777" w:rsidR="00400E98" w:rsidRPr="004E486F" w:rsidRDefault="00400E98" w:rsidP="00400E98">
      <w:pPr>
        <w:spacing w:line="360" w:lineRule="auto"/>
        <w:rPr>
          <w:sz w:val="24"/>
        </w:rPr>
      </w:pPr>
      <w:r w:rsidRPr="004E486F">
        <w:rPr>
          <w:rFonts w:hint="eastAsia"/>
          <w:sz w:val="24"/>
        </w:rPr>
        <w:t>1.2</w:t>
      </w:r>
      <w:r w:rsidRPr="004E486F">
        <w:rPr>
          <w:rFonts w:hint="eastAsia"/>
          <w:sz w:val="24"/>
        </w:rPr>
        <w:t>动物及饲养管理</w:t>
      </w:r>
    </w:p>
    <w:p w14:paraId="3ADA717C" w14:textId="77777777" w:rsidR="00400E98" w:rsidRPr="004E486F" w:rsidRDefault="00400E98" w:rsidP="00400E98">
      <w:pPr>
        <w:spacing w:line="360" w:lineRule="auto"/>
        <w:ind w:firstLineChars="200" w:firstLine="480"/>
        <w:rPr>
          <w:sz w:val="24"/>
        </w:rPr>
      </w:pPr>
      <w:r w:rsidRPr="004E486F">
        <w:rPr>
          <w:rFonts w:hint="eastAsia"/>
          <w:sz w:val="24"/>
        </w:rPr>
        <w:t>大口黑鲈购自信阳市水宏水产养殖公司，所有鱼暂养</w:t>
      </w:r>
      <w:r w:rsidRPr="004E486F">
        <w:rPr>
          <w:rFonts w:hint="eastAsia"/>
          <w:sz w:val="24"/>
        </w:rPr>
        <w:t>15 d</w:t>
      </w:r>
      <w:r w:rsidRPr="004E486F">
        <w:rPr>
          <w:rFonts w:hint="eastAsia"/>
          <w:sz w:val="24"/>
        </w:rPr>
        <w:t>。挑选初始体重为</w:t>
      </w:r>
      <w:r w:rsidRPr="004E486F">
        <w:rPr>
          <w:rFonts w:hint="eastAsia"/>
          <w:sz w:val="24"/>
        </w:rPr>
        <w:t>(7.40</w:t>
      </w:r>
      <w:r w:rsidRPr="004E486F">
        <w:rPr>
          <w:rFonts w:hint="eastAsia"/>
          <w:sz w:val="24"/>
        </w:rPr>
        <w:t>±</w:t>
      </w:r>
      <w:r w:rsidRPr="004E486F">
        <w:rPr>
          <w:rFonts w:hint="eastAsia"/>
          <w:sz w:val="24"/>
        </w:rPr>
        <w:t xml:space="preserve">0.50) g </w:t>
      </w:r>
      <w:r w:rsidRPr="004E486F">
        <w:rPr>
          <w:rFonts w:hint="eastAsia"/>
          <w:sz w:val="24"/>
        </w:rPr>
        <w:t>的鱼随机分配到</w:t>
      </w:r>
      <w:r w:rsidRPr="004E486F">
        <w:rPr>
          <w:rFonts w:hint="eastAsia"/>
          <w:sz w:val="24"/>
        </w:rPr>
        <w:t>9</w:t>
      </w:r>
      <w:r w:rsidRPr="004E486F">
        <w:rPr>
          <w:rFonts w:hint="eastAsia"/>
          <w:sz w:val="24"/>
        </w:rPr>
        <w:t>个养殖桶</w:t>
      </w:r>
      <w:r w:rsidRPr="004E486F">
        <w:rPr>
          <w:rFonts w:hint="eastAsia"/>
          <w:sz w:val="24"/>
        </w:rPr>
        <w:t xml:space="preserve">(500 L) </w:t>
      </w:r>
      <w:r w:rsidRPr="004E486F">
        <w:rPr>
          <w:rFonts w:hint="eastAsia"/>
          <w:sz w:val="24"/>
        </w:rPr>
        <w:t>中，每桶</w:t>
      </w:r>
      <w:r w:rsidRPr="004E486F">
        <w:rPr>
          <w:rFonts w:hint="eastAsia"/>
          <w:sz w:val="24"/>
        </w:rPr>
        <w:t xml:space="preserve">30 </w:t>
      </w:r>
      <w:r w:rsidRPr="004E486F">
        <w:rPr>
          <w:rFonts w:hint="eastAsia"/>
          <w:sz w:val="24"/>
        </w:rPr>
        <w:t>尾，设置</w:t>
      </w:r>
      <w:r w:rsidRPr="004E486F">
        <w:rPr>
          <w:rFonts w:hint="eastAsia"/>
          <w:sz w:val="24"/>
        </w:rPr>
        <w:t>3</w:t>
      </w:r>
      <w:r w:rsidRPr="004E486F">
        <w:rPr>
          <w:rFonts w:hint="eastAsia"/>
          <w:sz w:val="24"/>
        </w:rPr>
        <w:t>个重复；每日饱食投喂</w:t>
      </w:r>
      <w:r w:rsidRPr="004E486F">
        <w:rPr>
          <w:rFonts w:hint="eastAsia"/>
          <w:sz w:val="24"/>
        </w:rPr>
        <w:t xml:space="preserve">2 </w:t>
      </w:r>
      <w:r w:rsidRPr="004E486F">
        <w:rPr>
          <w:rFonts w:hint="eastAsia"/>
          <w:sz w:val="24"/>
        </w:rPr>
        <w:t>次</w:t>
      </w:r>
      <w:r w:rsidRPr="004E486F">
        <w:rPr>
          <w:rFonts w:hint="eastAsia"/>
          <w:sz w:val="24"/>
        </w:rPr>
        <w:t>(7:00</w:t>
      </w:r>
      <w:r w:rsidRPr="004E486F">
        <w:rPr>
          <w:rFonts w:hint="eastAsia"/>
          <w:sz w:val="24"/>
        </w:rPr>
        <w:t>—</w:t>
      </w:r>
      <w:r w:rsidRPr="004E486F">
        <w:rPr>
          <w:rFonts w:hint="eastAsia"/>
          <w:sz w:val="24"/>
        </w:rPr>
        <w:t>7:30</w:t>
      </w:r>
      <w:r w:rsidRPr="004E486F">
        <w:rPr>
          <w:rFonts w:hint="eastAsia"/>
          <w:sz w:val="24"/>
        </w:rPr>
        <w:t>，</w:t>
      </w:r>
      <w:r w:rsidRPr="004E486F">
        <w:rPr>
          <w:rFonts w:hint="eastAsia"/>
          <w:sz w:val="24"/>
        </w:rPr>
        <w:t>6:00</w:t>
      </w:r>
      <w:r w:rsidRPr="004E486F">
        <w:rPr>
          <w:rFonts w:hint="eastAsia"/>
          <w:sz w:val="24"/>
        </w:rPr>
        <w:t>—</w:t>
      </w:r>
      <w:r w:rsidRPr="004E486F">
        <w:rPr>
          <w:rFonts w:hint="eastAsia"/>
          <w:sz w:val="24"/>
        </w:rPr>
        <w:t>6:30)</w:t>
      </w:r>
      <w:r w:rsidRPr="004E486F">
        <w:rPr>
          <w:rFonts w:hint="eastAsia"/>
          <w:sz w:val="24"/>
        </w:rPr>
        <w:t>，并记录饲料消耗量；隔天更换</w:t>
      </w:r>
      <w:r w:rsidRPr="004E486F">
        <w:rPr>
          <w:rFonts w:hint="eastAsia"/>
          <w:sz w:val="24"/>
        </w:rPr>
        <w:t xml:space="preserve">1/3 </w:t>
      </w:r>
      <w:r w:rsidRPr="004E486F">
        <w:rPr>
          <w:rFonts w:hint="eastAsia"/>
          <w:sz w:val="24"/>
        </w:rPr>
        <w:t>体积水，养殖周期为</w:t>
      </w:r>
      <w:r w:rsidRPr="004E486F">
        <w:rPr>
          <w:rFonts w:hint="eastAsia"/>
          <w:sz w:val="24"/>
        </w:rPr>
        <w:t>56 d</w:t>
      </w:r>
      <w:r w:rsidRPr="004E486F">
        <w:rPr>
          <w:rFonts w:hint="eastAsia"/>
          <w:sz w:val="24"/>
        </w:rPr>
        <w:t>。整个养殖期间，水温</w:t>
      </w:r>
      <w:r w:rsidRPr="004E486F">
        <w:rPr>
          <w:rFonts w:hint="eastAsia"/>
          <w:sz w:val="24"/>
        </w:rPr>
        <w:t xml:space="preserve">23~25 </w:t>
      </w:r>
      <w:r w:rsidRPr="004E486F">
        <w:rPr>
          <w:rFonts w:hint="eastAsia"/>
          <w:sz w:val="24"/>
        </w:rPr>
        <w:t>℃，溶解氧</w:t>
      </w:r>
      <w:r w:rsidRPr="004E486F">
        <w:rPr>
          <w:rFonts w:hint="eastAsia"/>
          <w:sz w:val="24"/>
        </w:rPr>
        <w:t>(7.85</w:t>
      </w:r>
      <w:r w:rsidRPr="004E486F">
        <w:rPr>
          <w:rFonts w:hint="eastAsia"/>
          <w:sz w:val="24"/>
        </w:rPr>
        <w:t>±</w:t>
      </w:r>
      <w:r w:rsidRPr="004E486F">
        <w:rPr>
          <w:rFonts w:hint="eastAsia"/>
          <w:sz w:val="24"/>
        </w:rPr>
        <w:t>0.45) mg/L</w:t>
      </w:r>
      <w:r w:rsidRPr="004E486F">
        <w:rPr>
          <w:rFonts w:hint="eastAsia"/>
          <w:sz w:val="24"/>
        </w:rPr>
        <w:t>，亚硝酸盐＜</w:t>
      </w:r>
      <w:r w:rsidRPr="004E486F">
        <w:rPr>
          <w:rFonts w:hint="eastAsia"/>
          <w:sz w:val="24"/>
        </w:rPr>
        <w:t>0.5 mg/L</w:t>
      </w:r>
      <w:r w:rsidRPr="004E486F">
        <w:rPr>
          <w:rFonts w:hint="eastAsia"/>
          <w:sz w:val="24"/>
        </w:rPr>
        <w:t>，</w:t>
      </w:r>
      <w:r w:rsidRPr="004E486F">
        <w:rPr>
          <w:rFonts w:hint="eastAsia"/>
          <w:sz w:val="24"/>
        </w:rPr>
        <w:t>pH 7.10~7.50</w:t>
      </w:r>
      <w:r w:rsidRPr="004E486F">
        <w:rPr>
          <w:rFonts w:hint="eastAsia"/>
          <w:sz w:val="24"/>
        </w:rPr>
        <w:t>，采用自然光照。本研究获得了宁波大学实验动物管理和使用伦理委员会批准，实验过程中</w:t>
      </w:r>
      <w:r w:rsidRPr="004E486F">
        <w:rPr>
          <w:rFonts w:hint="eastAsia"/>
          <w:sz w:val="24"/>
        </w:rPr>
        <w:lastRenderedPageBreak/>
        <w:t>操作人员严格遵守宁波大学伦理规范</w:t>
      </w:r>
      <w:r w:rsidRPr="004E486F">
        <w:rPr>
          <w:rFonts w:hint="eastAsia"/>
          <w:sz w:val="24"/>
        </w:rPr>
        <w:t>(SYXK, ZHE, 2012</w:t>
      </w:r>
      <w:r w:rsidRPr="004E486F">
        <w:rPr>
          <w:rFonts w:hint="eastAsia"/>
          <w:sz w:val="24"/>
        </w:rPr>
        <w:t>–</w:t>
      </w:r>
      <w:r w:rsidRPr="004E486F">
        <w:rPr>
          <w:rFonts w:hint="eastAsia"/>
          <w:sz w:val="24"/>
        </w:rPr>
        <w:t>011, 012)</w:t>
      </w:r>
      <w:r w:rsidRPr="004E486F">
        <w:rPr>
          <w:rFonts w:hint="eastAsia"/>
          <w:sz w:val="24"/>
        </w:rPr>
        <w:t>，并按照宁波大学伦理委员会制定的规章制度执行。</w:t>
      </w:r>
    </w:p>
    <w:p w14:paraId="694064A8" w14:textId="77777777" w:rsidR="00400E98" w:rsidRPr="004E486F" w:rsidRDefault="00400E98" w:rsidP="00400E98">
      <w:pPr>
        <w:spacing w:line="360" w:lineRule="auto"/>
        <w:rPr>
          <w:sz w:val="24"/>
        </w:rPr>
      </w:pPr>
      <w:r w:rsidRPr="004E486F">
        <w:rPr>
          <w:rFonts w:hint="eastAsia"/>
          <w:sz w:val="24"/>
        </w:rPr>
        <w:t>1.3</w:t>
      </w:r>
      <w:r w:rsidRPr="004E486F">
        <w:rPr>
          <w:rFonts w:hint="eastAsia"/>
          <w:sz w:val="24"/>
        </w:rPr>
        <w:t>样品采集</w:t>
      </w:r>
    </w:p>
    <w:p w14:paraId="547E5529" w14:textId="61A38601" w:rsidR="00400E98" w:rsidRDefault="00400E98" w:rsidP="007B1708">
      <w:pPr>
        <w:spacing w:line="360" w:lineRule="auto"/>
        <w:ind w:firstLineChars="200" w:firstLine="480"/>
        <w:rPr>
          <w:sz w:val="24"/>
        </w:rPr>
      </w:pPr>
      <w:r w:rsidRPr="004E486F">
        <w:rPr>
          <w:rFonts w:hint="eastAsia"/>
          <w:sz w:val="24"/>
        </w:rPr>
        <w:t>实验结束后，所有鱼禁食</w:t>
      </w:r>
      <w:r w:rsidRPr="004E486F">
        <w:rPr>
          <w:rFonts w:hint="eastAsia"/>
          <w:sz w:val="24"/>
        </w:rPr>
        <w:t>24 h</w:t>
      </w:r>
      <w:r w:rsidRPr="004E486F">
        <w:rPr>
          <w:rFonts w:hint="eastAsia"/>
          <w:sz w:val="24"/>
        </w:rPr>
        <w:t>，采用</w:t>
      </w:r>
      <w:r w:rsidRPr="004E486F">
        <w:rPr>
          <w:rFonts w:hint="eastAsia"/>
          <w:sz w:val="24"/>
        </w:rPr>
        <w:t>120</w:t>
      </w:r>
      <w:r>
        <w:rPr>
          <w:rFonts w:hint="eastAsia"/>
          <w:sz w:val="24"/>
        </w:rPr>
        <w:t xml:space="preserve"> </w:t>
      </w:r>
      <w:r w:rsidRPr="004E486F">
        <w:rPr>
          <w:rFonts w:hint="eastAsia"/>
          <w:sz w:val="24"/>
        </w:rPr>
        <w:t xml:space="preserve">mg/L </w:t>
      </w:r>
      <w:r w:rsidRPr="004E486F">
        <w:rPr>
          <w:rFonts w:hint="eastAsia"/>
          <w:sz w:val="24"/>
        </w:rPr>
        <w:t>甲磺酸三卡因</w:t>
      </w:r>
      <w:r w:rsidRPr="004E486F">
        <w:rPr>
          <w:rFonts w:hint="eastAsia"/>
          <w:sz w:val="24"/>
        </w:rPr>
        <w:t xml:space="preserve">(MS-222) </w:t>
      </w:r>
      <w:r w:rsidRPr="004E486F">
        <w:rPr>
          <w:rFonts w:hint="eastAsia"/>
          <w:sz w:val="24"/>
        </w:rPr>
        <w:t>进行麻醉，用于计数、测量和称重；每缸随机选择</w:t>
      </w:r>
      <w:r w:rsidRPr="004E486F">
        <w:rPr>
          <w:sz w:val="24"/>
        </w:rPr>
        <w:t xml:space="preserve">3 </w:t>
      </w:r>
      <w:r w:rsidRPr="004E486F">
        <w:rPr>
          <w:sz w:val="24"/>
        </w:rPr>
        <w:t>尾鱼，</w:t>
      </w:r>
      <w:r w:rsidRPr="004E486F">
        <w:rPr>
          <w:sz w:val="24"/>
        </w:rPr>
        <w:t>−20 ℃</w:t>
      </w:r>
      <w:r>
        <w:rPr>
          <w:rFonts w:hint="eastAsia"/>
          <w:sz w:val="24"/>
        </w:rPr>
        <w:t xml:space="preserve"> </w:t>
      </w:r>
      <w:r w:rsidRPr="004E486F">
        <w:rPr>
          <w:rFonts w:hint="eastAsia"/>
          <w:sz w:val="24"/>
        </w:rPr>
        <w:t>保存，用于全鱼粗成分分析；每缸另取</w:t>
      </w:r>
      <w:r w:rsidRPr="004E486F">
        <w:rPr>
          <w:rFonts w:hint="eastAsia"/>
          <w:sz w:val="24"/>
        </w:rPr>
        <w:t xml:space="preserve">3 </w:t>
      </w:r>
      <w:r w:rsidRPr="004E486F">
        <w:rPr>
          <w:rFonts w:hint="eastAsia"/>
          <w:sz w:val="24"/>
        </w:rPr>
        <w:t>尾鱼，尾静脉抽血，</w:t>
      </w:r>
      <w:r w:rsidRPr="004E486F">
        <w:rPr>
          <w:rFonts w:hint="eastAsia"/>
          <w:sz w:val="24"/>
        </w:rPr>
        <w:t xml:space="preserve">4 </w:t>
      </w:r>
      <w:r w:rsidRPr="004E486F">
        <w:rPr>
          <w:rFonts w:hint="eastAsia"/>
          <w:sz w:val="24"/>
        </w:rPr>
        <w:t>℃</w:t>
      </w:r>
      <w:r>
        <w:rPr>
          <w:rFonts w:hint="eastAsia"/>
          <w:sz w:val="24"/>
        </w:rPr>
        <w:t xml:space="preserve"> </w:t>
      </w:r>
      <w:r w:rsidRPr="004E486F">
        <w:rPr>
          <w:rFonts w:hint="eastAsia"/>
          <w:sz w:val="24"/>
        </w:rPr>
        <w:t xml:space="preserve">3 000 r/min </w:t>
      </w:r>
      <w:r w:rsidRPr="004E486F">
        <w:rPr>
          <w:rFonts w:hint="eastAsia"/>
          <w:sz w:val="24"/>
        </w:rPr>
        <w:t>离心</w:t>
      </w:r>
      <w:r w:rsidRPr="004E486F">
        <w:rPr>
          <w:rFonts w:hint="eastAsia"/>
          <w:sz w:val="24"/>
        </w:rPr>
        <w:t>10 min</w:t>
      </w:r>
      <w:r w:rsidRPr="004E486F">
        <w:rPr>
          <w:rFonts w:hint="eastAsia"/>
          <w:sz w:val="24"/>
        </w:rPr>
        <w:t>，获得的血清</w:t>
      </w:r>
      <w:r w:rsidRPr="004E486F">
        <w:rPr>
          <w:sz w:val="24"/>
        </w:rPr>
        <w:t>−20 ℃</w:t>
      </w:r>
      <w:r w:rsidRPr="004E486F">
        <w:rPr>
          <w:sz w:val="24"/>
        </w:rPr>
        <w:t>保存，用于生化成分分析；抽血后</w:t>
      </w:r>
      <w:r w:rsidRPr="004E486F">
        <w:rPr>
          <w:rFonts w:hint="eastAsia"/>
          <w:sz w:val="24"/>
        </w:rPr>
        <w:t>的鱼，解剖获取肝脏，称重计算肝体指数，一部分肝脏</w:t>
      </w:r>
      <w:r w:rsidRPr="004E486F">
        <w:rPr>
          <w:sz w:val="24"/>
        </w:rPr>
        <w:t>−20</w:t>
      </w:r>
      <w:r>
        <w:rPr>
          <w:rFonts w:hint="eastAsia"/>
          <w:sz w:val="24"/>
        </w:rPr>
        <w:t xml:space="preserve"> </w:t>
      </w:r>
      <w:r w:rsidRPr="004E486F">
        <w:rPr>
          <w:sz w:val="24"/>
        </w:rPr>
        <w:t>℃</w:t>
      </w:r>
      <w:r w:rsidRPr="004E486F">
        <w:rPr>
          <w:sz w:val="24"/>
        </w:rPr>
        <w:t>储存，用于酶活性测定，另一部分</w:t>
      </w:r>
      <w:r w:rsidRPr="004E486F">
        <w:rPr>
          <w:rFonts w:hint="eastAsia"/>
          <w:sz w:val="24"/>
        </w:rPr>
        <w:t>肝脏经液氮速冻，</w:t>
      </w:r>
      <w:r w:rsidRPr="004E486F">
        <w:rPr>
          <w:sz w:val="24"/>
        </w:rPr>
        <w:t>−80 ℃</w:t>
      </w:r>
      <w:r>
        <w:rPr>
          <w:rFonts w:hint="eastAsia"/>
          <w:sz w:val="24"/>
        </w:rPr>
        <w:t xml:space="preserve"> </w:t>
      </w:r>
      <w:r w:rsidRPr="004E486F">
        <w:rPr>
          <w:sz w:val="24"/>
        </w:rPr>
        <w:t>储存，用于</w:t>
      </w:r>
      <w:r w:rsidRPr="004E486F">
        <w:rPr>
          <w:sz w:val="24"/>
        </w:rPr>
        <w:t xml:space="preserve">RNA </w:t>
      </w:r>
      <w:r w:rsidRPr="004E486F">
        <w:rPr>
          <w:sz w:val="24"/>
        </w:rPr>
        <w:t>提取。</w:t>
      </w:r>
    </w:p>
    <w:p w14:paraId="0D95E189" w14:textId="77777777" w:rsidR="00400E98" w:rsidRDefault="00400E98" w:rsidP="007B1708">
      <w:pPr>
        <w:spacing w:line="360" w:lineRule="auto"/>
        <w:jc w:val="center"/>
        <w:rPr>
          <w:sz w:val="24"/>
        </w:rPr>
      </w:pPr>
      <w:r w:rsidRPr="00A73112">
        <w:rPr>
          <w:noProof/>
          <w:sz w:val="24"/>
        </w:rPr>
        <w:drawing>
          <wp:inline distT="0" distB="0" distL="0" distR="0" wp14:anchorId="3FB194F3" wp14:editId="6A7A85AA">
            <wp:extent cx="2717320" cy="6415088"/>
            <wp:effectExtent l="0" t="0" r="6985" b="5080"/>
            <wp:docPr id="1849796098"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96098" name="图片 1" descr="图形用户界面&#10;&#10;AI 生成的内容可能不正确。"/>
                    <pic:cNvPicPr/>
                  </pic:nvPicPr>
                  <pic:blipFill>
                    <a:blip r:embed="rId35"/>
                    <a:stretch>
                      <a:fillRect/>
                    </a:stretch>
                  </pic:blipFill>
                  <pic:spPr>
                    <a:xfrm>
                      <a:off x="0" y="0"/>
                      <a:ext cx="2743579" cy="6477082"/>
                    </a:xfrm>
                    <a:prstGeom prst="rect">
                      <a:avLst/>
                    </a:prstGeom>
                  </pic:spPr>
                </pic:pic>
              </a:graphicData>
            </a:graphic>
          </wp:inline>
        </w:drawing>
      </w:r>
    </w:p>
    <w:p w14:paraId="49F9FDDD" w14:textId="77777777" w:rsidR="00400E98" w:rsidRPr="00A73112" w:rsidRDefault="00400E98" w:rsidP="00400E98">
      <w:pPr>
        <w:spacing w:line="360" w:lineRule="auto"/>
        <w:rPr>
          <w:sz w:val="24"/>
        </w:rPr>
      </w:pPr>
      <w:r w:rsidRPr="00A73112">
        <w:rPr>
          <w:sz w:val="24"/>
        </w:rPr>
        <w:lastRenderedPageBreak/>
        <w:t>1.</w:t>
      </w:r>
      <w:r>
        <w:rPr>
          <w:rFonts w:hint="eastAsia"/>
          <w:sz w:val="24"/>
        </w:rPr>
        <w:t>4</w:t>
      </w:r>
      <w:r w:rsidRPr="00A73112">
        <w:rPr>
          <w:rFonts w:hint="eastAsia"/>
          <w:sz w:val="24"/>
        </w:rPr>
        <w:t>急性氨氮暴露及样品采集</w:t>
      </w:r>
    </w:p>
    <w:p w14:paraId="168CF0DD" w14:textId="56678479" w:rsidR="00400E98" w:rsidRPr="00A73112" w:rsidRDefault="00400E98" w:rsidP="00400E98">
      <w:pPr>
        <w:spacing w:line="360" w:lineRule="auto"/>
        <w:ind w:firstLineChars="200" w:firstLine="480"/>
        <w:rPr>
          <w:sz w:val="24"/>
        </w:rPr>
      </w:pPr>
      <w:r w:rsidRPr="00A73112">
        <w:rPr>
          <w:rFonts w:hint="eastAsia"/>
          <w:sz w:val="24"/>
        </w:rPr>
        <w:t>摄食生长实验结束后，每缸随机挑选</w:t>
      </w:r>
      <w:r w:rsidRPr="00A73112">
        <w:rPr>
          <w:sz w:val="24"/>
        </w:rPr>
        <w:t xml:space="preserve">15 </w:t>
      </w:r>
      <w:r w:rsidRPr="00A73112">
        <w:rPr>
          <w:rFonts w:hint="eastAsia"/>
          <w:sz w:val="24"/>
        </w:rPr>
        <w:t>尾实验鱼，置于半致死浓度</w:t>
      </w:r>
      <w:r w:rsidRPr="00A73112">
        <w:rPr>
          <w:sz w:val="24"/>
        </w:rPr>
        <w:t xml:space="preserve">(33.24 mg/L) </w:t>
      </w:r>
      <w:r w:rsidRPr="00A73112">
        <w:rPr>
          <w:rFonts w:hint="eastAsia"/>
          <w:sz w:val="24"/>
        </w:rPr>
        <w:t>氨氮水体中，开展</w:t>
      </w:r>
      <w:r w:rsidRPr="00A73112">
        <w:rPr>
          <w:sz w:val="24"/>
        </w:rPr>
        <w:t xml:space="preserve">96 h </w:t>
      </w:r>
      <w:r w:rsidRPr="00A73112">
        <w:rPr>
          <w:rFonts w:hint="eastAsia"/>
          <w:sz w:val="24"/>
        </w:rPr>
        <w:t>的急性氨氮暴露实验。本实验采用的半致死浓度参考</w:t>
      </w:r>
      <w:r w:rsidRPr="00A73112">
        <w:rPr>
          <w:sz w:val="24"/>
        </w:rPr>
        <w:t xml:space="preserve">Egnew </w:t>
      </w:r>
      <w:r w:rsidRPr="00A73112">
        <w:rPr>
          <w:rFonts w:hint="eastAsia"/>
          <w:sz w:val="24"/>
        </w:rPr>
        <w:t>等</w:t>
      </w:r>
      <w:r w:rsidRPr="00A73112">
        <w:rPr>
          <w:sz w:val="24"/>
          <w:vertAlign w:val="superscript"/>
        </w:rPr>
        <w:t>[19]</w:t>
      </w:r>
      <w:r w:rsidRPr="00A73112">
        <w:rPr>
          <w:rFonts w:hint="eastAsia"/>
          <w:sz w:val="24"/>
        </w:rPr>
        <w:t>，其测定条件</w:t>
      </w:r>
      <w:r w:rsidRPr="00A73112">
        <w:rPr>
          <w:sz w:val="24"/>
        </w:rPr>
        <w:t>(</w:t>
      </w:r>
      <w:r w:rsidRPr="00A73112">
        <w:rPr>
          <w:rFonts w:hint="eastAsia"/>
          <w:sz w:val="24"/>
        </w:rPr>
        <w:t>水温</w:t>
      </w:r>
      <w:r w:rsidRPr="00A73112">
        <w:rPr>
          <w:sz w:val="24"/>
        </w:rPr>
        <w:t>25 ℃</w:t>
      </w:r>
      <w:r w:rsidRPr="00A73112">
        <w:rPr>
          <w:rFonts w:hint="eastAsia"/>
          <w:sz w:val="24"/>
        </w:rPr>
        <w:t>，</w:t>
      </w:r>
      <w:r w:rsidRPr="00A73112">
        <w:rPr>
          <w:sz w:val="24"/>
        </w:rPr>
        <w:t>pH 7.8</w:t>
      </w:r>
      <w:r w:rsidRPr="00A73112">
        <w:rPr>
          <w:rFonts w:hint="eastAsia"/>
          <w:sz w:val="24"/>
        </w:rPr>
        <w:t>～</w:t>
      </w:r>
      <w:r w:rsidRPr="00A73112">
        <w:rPr>
          <w:sz w:val="24"/>
        </w:rPr>
        <w:t xml:space="preserve">0.2) </w:t>
      </w:r>
      <w:r w:rsidRPr="00A73112">
        <w:rPr>
          <w:rFonts w:hint="eastAsia"/>
          <w:sz w:val="24"/>
        </w:rPr>
        <w:t>与本研究一致，且预实验验证了该浓度在本实验体系下的适用性。实验期间，采用</w:t>
      </w:r>
      <w:r w:rsidRPr="00A73112">
        <w:rPr>
          <w:rFonts w:hint="eastAsia"/>
          <w:sz w:val="24"/>
        </w:rPr>
        <w:t>10</w:t>
      </w:r>
      <w:r w:rsidRPr="00A73112">
        <w:rPr>
          <w:sz w:val="24"/>
        </w:rPr>
        <w:t xml:space="preserve">g/L NH4Cl </w:t>
      </w:r>
      <w:r w:rsidRPr="00A73112">
        <w:rPr>
          <w:rFonts w:hint="eastAsia"/>
          <w:sz w:val="24"/>
        </w:rPr>
        <w:t>母液每隔</w:t>
      </w:r>
      <w:r w:rsidRPr="00A73112">
        <w:rPr>
          <w:sz w:val="24"/>
        </w:rPr>
        <w:t xml:space="preserve">8 h </w:t>
      </w:r>
      <w:r w:rsidRPr="00A73112">
        <w:rPr>
          <w:rFonts w:hint="eastAsia"/>
          <w:sz w:val="24"/>
        </w:rPr>
        <w:t>进行浓度调节，采用</w:t>
      </w:r>
      <w:r w:rsidRPr="00A73112">
        <w:rPr>
          <w:sz w:val="24"/>
        </w:rPr>
        <w:t>YSI</w:t>
      </w:r>
      <w:r w:rsidRPr="00A73112">
        <w:rPr>
          <w:rFonts w:hint="eastAsia"/>
          <w:sz w:val="24"/>
        </w:rPr>
        <w:t>多参数水质测定仪监控水中氨氮浓度。每隔</w:t>
      </w:r>
      <w:r w:rsidRPr="00A73112">
        <w:rPr>
          <w:sz w:val="24"/>
        </w:rPr>
        <w:t>12 h</w:t>
      </w:r>
      <w:r w:rsidRPr="00A73112">
        <w:rPr>
          <w:rFonts w:hint="eastAsia"/>
          <w:sz w:val="24"/>
        </w:rPr>
        <w:t>记</w:t>
      </w:r>
      <w:r w:rsidRPr="00A73112">
        <w:rPr>
          <w:sz w:val="24"/>
        </w:rPr>
        <w:t>1</w:t>
      </w:r>
      <w:r w:rsidRPr="00A73112">
        <w:rPr>
          <w:rFonts w:hint="eastAsia"/>
          <w:sz w:val="24"/>
        </w:rPr>
        <w:t>次死亡率，并及时清除死亡动物。</w:t>
      </w:r>
    </w:p>
    <w:p w14:paraId="3800FF24" w14:textId="77777777" w:rsidR="00400E98" w:rsidRPr="00A73112" w:rsidRDefault="00400E98" w:rsidP="00400E98">
      <w:pPr>
        <w:spacing w:line="360" w:lineRule="auto"/>
        <w:ind w:firstLineChars="200" w:firstLine="480"/>
        <w:rPr>
          <w:sz w:val="24"/>
        </w:rPr>
      </w:pPr>
      <w:r w:rsidRPr="00A73112">
        <w:rPr>
          <w:rFonts w:hint="eastAsia"/>
          <w:sz w:val="24"/>
        </w:rPr>
        <w:t>急性氨氮暴露结束后，采用</w:t>
      </w:r>
      <w:r w:rsidRPr="00A73112">
        <w:rPr>
          <w:sz w:val="24"/>
        </w:rPr>
        <w:t xml:space="preserve">120 mg/L MS-222 </w:t>
      </w:r>
      <w:r w:rsidRPr="00A73112">
        <w:rPr>
          <w:rFonts w:hint="eastAsia"/>
          <w:sz w:val="24"/>
        </w:rPr>
        <w:t>进行麻醉。每缸随机挑选</w:t>
      </w:r>
      <w:r w:rsidRPr="00A73112">
        <w:rPr>
          <w:sz w:val="24"/>
        </w:rPr>
        <w:t xml:space="preserve">3 </w:t>
      </w:r>
      <w:r w:rsidRPr="00A73112">
        <w:rPr>
          <w:rFonts w:hint="eastAsia"/>
          <w:sz w:val="24"/>
        </w:rPr>
        <w:t>尾实验鱼，尾静脉抽血，并获取血清，</w:t>
      </w:r>
      <w:r w:rsidRPr="00A73112">
        <w:rPr>
          <w:sz w:val="24"/>
        </w:rPr>
        <w:t>−20 ℃</w:t>
      </w:r>
      <w:r>
        <w:rPr>
          <w:rFonts w:hint="eastAsia"/>
          <w:sz w:val="24"/>
        </w:rPr>
        <w:t xml:space="preserve"> </w:t>
      </w:r>
      <w:r w:rsidRPr="00A73112">
        <w:rPr>
          <w:rFonts w:hint="eastAsia"/>
          <w:sz w:val="24"/>
        </w:rPr>
        <w:t>保存，用于免疫应答分析；抽血后的鱼，解剖获取肝脏，一部分肝脏保存于</w:t>
      </w:r>
      <w:r w:rsidRPr="00A73112">
        <w:rPr>
          <w:sz w:val="24"/>
        </w:rPr>
        <w:t xml:space="preserve">4% </w:t>
      </w:r>
      <w:r w:rsidRPr="00A73112">
        <w:rPr>
          <w:rFonts w:hint="eastAsia"/>
          <w:sz w:val="24"/>
        </w:rPr>
        <w:t>多聚甲醛溶液中，用于组织学观察，一部分肝脏</w:t>
      </w:r>
      <w:r w:rsidRPr="00A73112">
        <w:rPr>
          <w:sz w:val="24"/>
        </w:rPr>
        <w:t>−20 ℃</w:t>
      </w:r>
      <w:r w:rsidRPr="00A73112">
        <w:rPr>
          <w:rFonts w:hint="eastAsia"/>
          <w:sz w:val="24"/>
        </w:rPr>
        <w:t>保存，用于酶活性分析。</w:t>
      </w:r>
    </w:p>
    <w:p w14:paraId="1948CC0A" w14:textId="77777777" w:rsidR="00400E98" w:rsidRPr="00A73112" w:rsidRDefault="00400E98" w:rsidP="00400E98">
      <w:pPr>
        <w:spacing w:line="360" w:lineRule="auto"/>
        <w:rPr>
          <w:sz w:val="24"/>
        </w:rPr>
      </w:pPr>
      <w:r w:rsidRPr="00A73112">
        <w:rPr>
          <w:sz w:val="24"/>
        </w:rPr>
        <w:t>1.5</w:t>
      </w:r>
      <w:r w:rsidRPr="00A73112">
        <w:rPr>
          <w:rFonts w:hint="eastAsia"/>
          <w:sz w:val="24"/>
        </w:rPr>
        <w:t>生化分析</w:t>
      </w:r>
    </w:p>
    <w:p w14:paraId="18C86BCF" w14:textId="77777777" w:rsidR="00400E98" w:rsidRPr="00A73112" w:rsidRDefault="00400E98" w:rsidP="00400E98">
      <w:pPr>
        <w:spacing w:line="360" w:lineRule="auto"/>
        <w:ind w:firstLineChars="200" w:firstLine="480"/>
        <w:rPr>
          <w:sz w:val="24"/>
        </w:rPr>
      </w:pPr>
      <w:r w:rsidRPr="00A73112">
        <w:rPr>
          <w:rFonts w:hint="eastAsia"/>
          <w:sz w:val="24"/>
        </w:rPr>
        <w:t>采用</w:t>
      </w:r>
      <w:r w:rsidRPr="00A73112">
        <w:rPr>
          <w:sz w:val="24"/>
        </w:rPr>
        <w:t xml:space="preserve">AOAC(2000) </w:t>
      </w:r>
      <w:r w:rsidRPr="00A73112">
        <w:rPr>
          <w:rFonts w:hint="eastAsia"/>
          <w:sz w:val="24"/>
        </w:rPr>
        <w:t>标准方法测定实验饲料和全鱼样品的粗成分</w:t>
      </w:r>
      <w:r w:rsidRPr="00A73112">
        <w:rPr>
          <w:sz w:val="24"/>
          <w:vertAlign w:val="superscript"/>
        </w:rPr>
        <w:t>[21]</w:t>
      </w:r>
      <w:r w:rsidRPr="00A73112">
        <w:rPr>
          <w:rFonts w:hint="eastAsia"/>
          <w:sz w:val="24"/>
        </w:rPr>
        <w:t>。将样品置于</w:t>
      </w:r>
      <w:r w:rsidRPr="00A73112">
        <w:rPr>
          <w:sz w:val="24"/>
        </w:rPr>
        <w:t>105 ℃</w:t>
      </w:r>
      <w:r w:rsidRPr="00A73112">
        <w:rPr>
          <w:rFonts w:hint="eastAsia"/>
          <w:sz w:val="24"/>
        </w:rPr>
        <w:t>烘箱中干燥直至恒重，以确定水分含量；粗蛋白含量的测定采用</w:t>
      </w:r>
      <w:r w:rsidRPr="00A73112">
        <w:rPr>
          <w:sz w:val="24"/>
        </w:rPr>
        <w:t xml:space="preserve">FP-528 </w:t>
      </w:r>
      <w:r w:rsidRPr="00A73112">
        <w:rPr>
          <w:rFonts w:hint="eastAsia"/>
          <w:sz w:val="24"/>
        </w:rPr>
        <w:t>全自动蛋白质分析仪</w:t>
      </w:r>
      <w:r w:rsidRPr="00A73112">
        <w:rPr>
          <w:sz w:val="24"/>
        </w:rPr>
        <w:t xml:space="preserve">(Leco </w:t>
      </w:r>
      <w:r w:rsidRPr="00A73112">
        <w:rPr>
          <w:rFonts w:hint="eastAsia"/>
          <w:sz w:val="24"/>
        </w:rPr>
        <w:t>公司，美国</w:t>
      </w:r>
      <w:r w:rsidRPr="00A73112">
        <w:rPr>
          <w:sz w:val="24"/>
        </w:rPr>
        <w:t>)</w:t>
      </w:r>
      <w:r w:rsidRPr="00A73112">
        <w:rPr>
          <w:rFonts w:hint="eastAsia"/>
          <w:sz w:val="24"/>
        </w:rPr>
        <w:t>；粗脂肪含量的测定采用</w:t>
      </w:r>
      <w:r w:rsidRPr="00A73112">
        <w:rPr>
          <w:sz w:val="24"/>
        </w:rPr>
        <w:t xml:space="preserve">2055 </w:t>
      </w:r>
      <w:r w:rsidRPr="00A73112">
        <w:rPr>
          <w:rFonts w:hint="eastAsia"/>
          <w:sz w:val="24"/>
        </w:rPr>
        <w:t>索氏抽提系统</w:t>
      </w:r>
      <w:r w:rsidRPr="00A73112">
        <w:rPr>
          <w:sz w:val="24"/>
        </w:rPr>
        <w:t xml:space="preserve">(Foss </w:t>
      </w:r>
      <w:r w:rsidRPr="00A73112">
        <w:rPr>
          <w:rFonts w:hint="eastAsia"/>
          <w:sz w:val="24"/>
        </w:rPr>
        <w:t>公司，瑞典</w:t>
      </w:r>
      <w:r w:rsidRPr="00A73112">
        <w:rPr>
          <w:sz w:val="24"/>
        </w:rPr>
        <w:t>)</w:t>
      </w:r>
      <w:r w:rsidRPr="00A73112">
        <w:rPr>
          <w:rFonts w:hint="eastAsia"/>
          <w:sz w:val="24"/>
        </w:rPr>
        <w:t>；粗灰分含量的测定是将碳化后的样品置于马弗炉中</w:t>
      </w:r>
      <w:r w:rsidRPr="00A73112">
        <w:rPr>
          <w:sz w:val="24"/>
        </w:rPr>
        <w:t>550 ℃</w:t>
      </w:r>
      <w:r w:rsidRPr="00A73112">
        <w:rPr>
          <w:rFonts w:hint="eastAsia"/>
          <w:sz w:val="24"/>
        </w:rPr>
        <w:t>烘至恒重。</w:t>
      </w:r>
    </w:p>
    <w:p w14:paraId="5BDCA54F" w14:textId="77777777" w:rsidR="00400E98" w:rsidRPr="00A73112" w:rsidRDefault="00400E98" w:rsidP="00400E98">
      <w:pPr>
        <w:spacing w:line="360" w:lineRule="auto"/>
        <w:ind w:firstLineChars="200" w:firstLine="480"/>
        <w:rPr>
          <w:sz w:val="24"/>
        </w:rPr>
      </w:pPr>
      <w:r w:rsidRPr="00A73112">
        <w:rPr>
          <w:rFonts w:hint="eastAsia"/>
          <w:sz w:val="24"/>
        </w:rPr>
        <w:t>采用</w:t>
      </w:r>
      <w:r w:rsidRPr="00A73112">
        <w:rPr>
          <w:sz w:val="24"/>
        </w:rPr>
        <w:t xml:space="preserve">7600-110 </w:t>
      </w:r>
      <w:r w:rsidRPr="00A73112">
        <w:rPr>
          <w:rFonts w:hint="eastAsia"/>
          <w:sz w:val="24"/>
        </w:rPr>
        <w:t>全自动生化分析仪</w:t>
      </w:r>
      <w:r w:rsidRPr="00A73112">
        <w:rPr>
          <w:sz w:val="24"/>
        </w:rPr>
        <w:t>(</w:t>
      </w:r>
      <w:r w:rsidRPr="00A73112">
        <w:rPr>
          <w:rFonts w:hint="eastAsia"/>
          <w:sz w:val="24"/>
        </w:rPr>
        <w:t>日立，日本</w:t>
      </w:r>
      <w:r w:rsidRPr="00A73112">
        <w:rPr>
          <w:sz w:val="24"/>
        </w:rPr>
        <w:t xml:space="preserve">) </w:t>
      </w:r>
      <w:r w:rsidRPr="00A73112">
        <w:rPr>
          <w:rFonts w:hint="eastAsia"/>
          <w:sz w:val="24"/>
        </w:rPr>
        <w:t>测定血清中总蛋白</w:t>
      </w:r>
      <w:r w:rsidRPr="00A73112">
        <w:rPr>
          <w:sz w:val="24"/>
        </w:rPr>
        <w:t>(TP)</w:t>
      </w:r>
      <w:r w:rsidRPr="00A73112">
        <w:rPr>
          <w:rFonts w:hint="eastAsia"/>
          <w:sz w:val="24"/>
        </w:rPr>
        <w:t>、白蛋白</w:t>
      </w:r>
      <w:r w:rsidRPr="00A73112">
        <w:rPr>
          <w:sz w:val="24"/>
        </w:rPr>
        <w:t>(ALB)</w:t>
      </w:r>
      <w:r w:rsidRPr="00A73112">
        <w:rPr>
          <w:rFonts w:hint="eastAsia"/>
          <w:sz w:val="24"/>
        </w:rPr>
        <w:t>、球蛋白</w:t>
      </w:r>
      <w:r w:rsidRPr="00A73112">
        <w:rPr>
          <w:sz w:val="24"/>
        </w:rPr>
        <w:t>(GLB)</w:t>
      </w:r>
      <w:r w:rsidRPr="00A73112">
        <w:rPr>
          <w:rFonts w:hint="eastAsia"/>
          <w:sz w:val="24"/>
        </w:rPr>
        <w:t>、总胆固醇</w:t>
      </w:r>
      <w:r w:rsidRPr="00A73112">
        <w:rPr>
          <w:sz w:val="24"/>
        </w:rPr>
        <w:t>(TC)</w:t>
      </w:r>
      <w:r w:rsidRPr="00A73112">
        <w:rPr>
          <w:rFonts w:hint="eastAsia"/>
          <w:sz w:val="24"/>
        </w:rPr>
        <w:t>、甘油三酯</w:t>
      </w:r>
      <w:r w:rsidRPr="00A73112">
        <w:rPr>
          <w:sz w:val="24"/>
        </w:rPr>
        <w:t>(TG)</w:t>
      </w:r>
      <w:r w:rsidRPr="00A73112">
        <w:rPr>
          <w:rFonts w:hint="eastAsia"/>
          <w:sz w:val="24"/>
        </w:rPr>
        <w:t>、葡萄糖</w:t>
      </w:r>
      <w:r w:rsidRPr="00A73112">
        <w:rPr>
          <w:sz w:val="24"/>
        </w:rPr>
        <w:t>(Glu)</w:t>
      </w:r>
      <w:r w:rsidRPr="00A73112">
        <w:rPr>
          <w:rFonts w:hint="eastAsia"/>
          <w:sz w:val="24"/>
        </w:rPr>
        <w:t>、乳酸脱氢酶</w:t>
      </w:r>
      <w:r w:rsidRPr="00A73112">
        <w:rPr>
          <w:sz w:val="24"/>
        </w:rPr>
        <w:t>(LDH)</w:t>
      </w:r>
      <w:r w:rsidRPr="00A73112">
        <w:rPr>
          <w:rFonts w:hint="eastAsia"/>
          <w:sz w:val="24"/>
        </w:rPr>
        <w:t>、谷丙转氨酶</w:t>
      </w:r>
      <w:r w:rsidRPr="00A73112">
        <w:rPr>
          <w:sz w:val="24"/>
        </w:rPr>
        <w:t>(ALT)</w:t>
      </w:r>
      <w:r w:rsidRPr="00A73112">
        <w:rPr>
          <w:rFonts w:hint="eastAsia"/>
          <w:sz w:val="24"/>
        </w:rPr>
        <w:t>和谷草转氨酶</w:t>
      </w:r>
      <w:r w:rsidRPr="00A73112">
        <w:rPr>
          <w:sz w:val="24"/>
        </w:rPr>
        <w:t xml:space="preserve">(AST) </w:t>
      </w:r>
      <w:r w:rsidRPr="00A73112">
        <w:rPr>
          <w:rFonts w:hint="eastAsia"/>
          <w:sz w:val="24"/>
        </w:rPr>
        <w:t>含量；采用商业试剂盒测定血清中溶菌酶活性</w:t>
      </w:r>
      <w:r w:rsidRPr="00A73112">
        <w:rPr>
          <w:sz w:val="24"/>
        </w:rPr>
        <w:t>(LYZ)</w:t>
      </w:r>
      <w:r w:rsidRPr="00A73112">
        <w:rPr>
          <w:rFonts w:hint="eastAsia"/>
          <w:sz w:val="24"/>
        </w:rPr>
        <w:t>、总补体</w:t>
      </w:r>
      <w:r w:rsidRPr="00A73112">
        <w:rPr>
          <w:sz w:val="24"/>
        </w:rPr>
        <w:t>(CH50)</w:t>
      </w:r>
      <w:r w:rsidRPr="00A73112">
        <w:rPr>
          <w:rFonts w:hint="eastAsia"/>
          <w:sz w:val="24"/>
        </w:rPr>
        <w:t>、总免疫球蛋白含量</w:t>
      </w:r>
      <w:r w:rsidRPr="00A73112">
        <w:rPr>
          <w:sz w:val="24"/>
        </w:rPr>
        <w:t xml:space="preserve">(Ig) </w:t>
      </w:r>
      <w:r w:rsidRPr="00A73112">
        <w:rPr>
          <w:rFonts w:hint="eastAsia"/>
          <w:sz w:val="24"/>
        </w:rPr>
        <w:t>及抗体滴度</w:t>
      </w:r>
      <w:r w:rsidRPr="00A73112">
        <w:rPr>
          <w:sz w:val="24"/>
        </w:rPr>
        <w:t>(Ab</w:t>
      </w:r>
      <w:r>
        <w:rPr>
          <w:rFonts w:hint="eastAsia"/>
          <w:sz w:val="24"/>
        </w:rPr>
        <w:t xml:space="preserve"> </w:t>
      </w:r>
      <w:r w:rsidRPr="00A73112">
        <w:rPr>
          <w:sz w:val="24"/>
        </w:rPr>
        <w:t>titer)(</w:t>
      </w:r>
      <w:r w:rsidRPr="00A73112">
        <w:rPr>
          <w:rFonts w:hint="eastAsia"/>
          <w:sz w:val="24"/>
        </w:rPr>
        <w:t>伊利康公司，中国</w:t>
      </w:r>
      <w:r w:rsidRPr="00A73112">
        <w:rPr>
          <w:sz w:val="24"/>
        </w:rPr>
        <w:t>)</w:t>
      </w:r>
      <w:r w:rsidRPr="00A73112">
        <w:rPr>
          <w:rFonts w:hint="eastAsia"/>
          <w:sz w:val="24"/>
        </w:rPr>
        <w:t>。</w:t>
      </w:r>
    </w:p>
    <w:p w14:paraId="3ABEC1FC" w14:textId="77777777" w:rsidR="00400E98" w:rsidRPr="00A73112" w:rsidRDefault="00400E98" w:rsidP="00400E98">
      <w:pPr>
        <w:spacing w:line="360" w:lineRule="auto"/>
        <w:ind w:firstLineChars="200" w:firstLine="480"/>
        <w:rPr>
          <w:sz w:val="24"/>
        </w:rPr>
      </w:pPr>
      <w:r w:rsidRPr="00A73112">
        <w:rPr>
          <w:rFonts w:hint="eastAsia"/>
          <w:sz w:val="24"/>
        </w:rPr>
        <w:t>肝脏样品在预冷的磷酸缓冲液中匀浆，</w:t>
      </w:r>
      <w:r w:rsidRPr="00A73112">
        <w:rPr>
          <w:sz w:val="24"/>
        </w:rPr>
        <w:t>4 ℃</w:t>
      </w:r>
      <w:r>
        <w:rPr>
          <w:rFonts w:hint="eastAsia"/>
          <w:sz w:val="24"/>
        </w:rPr>
        <w:t xml:space="preserve"> </w:t>
      </w:r>
      <w:r w:rsidRPr="00A73112">
        <w:rPr>
          <w:sz w:val="24"/>
        </w:rPr>
        <w:t xml:space="preserve">12 000 r/min </w:t>
      </w:r>
      <w:r w:rsidRPr="00A73112">
        <w:rPr>
          <w:rFonts w:hint="eastAsia"/>
          <w:sz w:val="24"/>
        </w:rPr>
        <w:t>离心</w:t>
      </w:r>
      <w:r w:rsidRPr="00A73112">
        <w:rPr>
          <w:sz w:val="24"/>
        </w:rPr>
        <w:t>15 min</w:t>
      </w:r>
      <w:r w:rsidRPr="00A73112">
        <w:rPr>
          <w:rFonts w:hint="eastAsia"/>
          <w:sz w:val="24"/>
        </w:rPr>
        <w:t>，收集上清液。采用商业试剂盒</w:t>
      </w:r>
      <w:r w:rsidRPr="00A73112">
        <w:rPr>
          <w:sz w:val="24"/>
        </w:rPr>
        <w:t>(</w:t>
      </w:r>
      <w:r w:rsidRPr="00A73112">
        <w:rPr>
          <w:rFonts w:hint="eastAsia"/>
          <w:sz w:val="24"/>
        </w:rPr>
        <w:t>南京建成生物工程研究所</w:t>
      </w:r>
      <w:r w:rsidRPr="00A73112">
        <w:rPr>
          <w:sz w:val="24"/>
        </w:rPr>
        <w:t xml:space="preserve">) </w:t>
      </w:r>
      <w:r w:rsidRPr="00A73112">
        <w:rPr>
          <w:rFonts w:hint="eastAsia"/>
          <w:sz w:val="24"/>
        </w:rPr>
        <w:t>测定总抗氧化能力</w:t>
      </w:r>
      <w:r w:rsidRPr="00A73112">
        <w:rPr>
          <w:sz w:val="24"/>
        </w:rPr>
        <w:t>(T-AOC)</w:t>
      </w:r>
      <w:r w:rsidRPr="00A73112">
        <w:rPr>
          <w:rFonts w:hint="eastAsia"/>
          <w:sz w:val="24"/>
        </w:rPr>
        <w:t>、超氧化物歧化酶</w:t>
      </w:r>
      <w:r w:rsidRPr="00A73112">
        <w:rPr>
          <w:sz w:val="24"/>
        </w:rPr>
        <w:t>(SOD)</w:t>
      </w:r>
      <w:r w:rsidRPr="00A73112">
        <w:rPr>
          <w:rFonts w:hint="eastAsia"/>
          <w:sz w:val="24"/>
        </w:rPr>
        <w:t>、过氧化氢酶</w:t>
      </w:r>
      <w:r w:rsidRPr="00A73112">
        <w:rPr>
          <w:sz w:val="24"/>
        </w:rPr>
        <w:t>(CAT)</w:t>
      </w:r>
      <w:r w:rsidRPr="00A73112">
        <w:rPr>
          <w:rFonts w:hint="eastAsia"/>
          <w:sz w:val="24"/>
        </w:rPr>
        <w:t>、谷胱甘肽过氧化物酶</w:t>
      </w:r>
      <w:r w:rsidRPr="00A73112">
        <w:rPr>
          <w:sz w:val="24"/>
        </w:rPr>
        <w:t xml:space="preserve">(GPX) </w:t>
      </w:r>
      <w:r w:rsidRPr="00A73112">
        <w:rPr>
          <w:rFonts w:hint="eastAsia"/>
          <w:sz w:val="24"/>
        </w:rPr>
        <w:t>活性及丙二醛</w:t>
      </w:r>
      <w:r w:rsidRPr="00A73112">
        <w:rPr>
          <w:sz w:val="24"/>
        </w:rPr>
        <w:t xml:space="preserve">(MDA) </w:t>
      </w:r>
      <w:r w:rsidRPr="00A73112">
        <w:rPr>
          <w:rFonts w:hint="eastAsia"/>
          <w:sz w:val="24"/>
        </w:rPr>
        <w:t>含量；使用</w:t>
      </w:r>
      <w:r w:rsidRPr="00A73112">
        <w:rPr>
          <w:sz w:val="24"/>
        </w:rPr>
        <w:t xml:space="preserve">ELISA </w:t>
      </w:r>
      <w:r w:rsidRPr="00A73112">
        <w:rPr>
          <w:rFonts w:hint="eastAsia"/>
          <w:sz w:val="24"/>
        </w:rPr>
        <w:t>试剂盒</w:t>
      </w:r>
      <w:r w:rsidRPr="00A73112">
        <w:rPr>
          <w:sz w:val="24"/>
        </w:rPr>
        <w:t>(</w:t>
      </w:r>
      <w:r w:rsidRPr="00A73112">
        <w:rPr>
          <w:rFonts w:hint="eastAsia"/>
          <w:sz w:val="24"/>
        </w:rPr>
        <w:t>南京建成生物工程研究所</w:t>
      </w:r>
      <w:r w:rsidRPr="00A73112">
        <w:rPr>
          <w:sz w:val="24"/>
        </w:rPr>
        <w:t xml:space="preserve">) </w:t>
      </w:r>
      <w:r w:rsidRPr="00A73112">
        <w:rPr>
          <w:rFonts w:hint="eastAsia"/>
          <w:sz w:val="24"/>
        </w:rPr>
        <w:t>测定肿瘤坏死因子</w:t>
      </w:r>
      <w:r w:rsidRPr="00A73112">
        <w:rPr>
          <w:sz w:val="24"/>
        </w:rPr>
        <w:t>-α (TNF-α)</w:t>
      </w:r>
      <w:r w:rsidRPr="00A73112">
        <w:rPr>
          <w:rFonts w:hint="eastAsia"/>
          <w:sz w:val="24"/>
        </w:rPr>
        <w:t>、白细胞介素</w:t>
      </w:r>
      <w:r w:rsidRPr="00A73112">
        <w:rPr>
          <w:sz w:val="24"/>
        </w:rPr>
        <w:t>-1 (IL-1)</w:t>
      </w:r>
      <w:r w:rsidRPr="00A73112">
        <w:rPr>
          <w:rFonts w:hint="eastAsia"/>
          <w:sz w:val="24"/>
        </w:rPr>
        <w:t>、白细胞介素</w:t>
      </w:r>
      <w:r w:rsidRPr="00A73112">
        <w:rPr>
          <w:sz w:val="24"/>
        </w:rPr>
        <w:t xml:space="preserve">-8 (IL-8) </w:t>
      </w:r>
      <w:r w:rsidRPr="00A73112">
        <w:rPr>
          <w:rFonts w:hint="eastAsia"/>
          <w:sz w:val="24"/>
        </w:rPr>
        <w:t>含量、精氨酸琥珀酸合成酶</w:t>
      </w:r>
      <w:r w:rsidRPr="00A73112">
        <w:rPr>
          <w:sz w:val="24"/>
        </w:rPr>
        <w:t>(ASS)</w:t>
      </w:r>
      <w:r w:rsidRPr="00A73112">
        <w:rPr>
          <w:rFonts w:hint="eastAsia"/>
          <w:sz w:val="24"/>
        </w:rPr>
        <w:t>、精氨酸琥珀酸裂解酶</w:t>
      </w:r>
      <w:r w:rsidRPr="00A73112">
        <w:rPr>
          <w:sz w:val="24"/>
        </w:rPr>
        <w:t>(ASL)</w:t>
      </w:r>
      <w:r w:rsidRPr="00A73112">
        <w:rPr>
          <w:rFonts w:hint="eastAsia"/>
          <w:sz w:val="24"/>
        </w:rPr>
        <w:t>、精氨酸酶</w:t>
      </w:r>
      <w:r w:rsidRPr="00A73112">
        <w:rPr>
          <w:sz w:val="24"/>
        </w:rPr>
        <w:t xml:space="preserve">(ARG) </w:t>
      </w:r>
      <w:r w:rsidRPr="00A73112">
        <w:rPr>
          <w:rFonts w:hint="eastAsia"/>
          <w:sz w:val="24"/>
        </w:rPr>
        <w:t>及鸟氨酸氨基甲酰转移酶</w:t>
      </w:r>
      <w:r w:rsidRPr="00A73112">
        <w:rPr>
          <w:sz w:val="24"/>
        </w:rPr>
        <w:t xml:space="preserve">(OTC) </w:t>
      </w:r>
      <w:r w:rsidRPr="00A73112">
        <w:rPr>
          <w:rFonts w:hint="eastAsia"/>
          <w:sz w:val="24"/>
        </w:rPr>
        <w:t>活性。</w:t>
      </w:r>
    </w:p>
    <w:p w14:paraId="4324A4CF" w14:textId="77777777" w:rsidR="00400E98" w:rsidRPr="00A73112" w:rsidRDefault="00400E98" w:rsidP="00400E98">
      <w:pPr>
        <w:spacing w:line="360" w:lineRule="auto"/>
        <w:rPr>
          <w:sz w:val="24"/>
        </w:rPr>
      </w:pPr>
      <w:r w:rsidRPr="00A73112">
        <w:rPr>
          <w:sz w:val="24"/>
        </w:rPr>
        <w:t>1.6</w:t>
      </w:r>
      <w:r w:rsidRPr="00A73112">
        <w:rPr>
          <w:rFonts w:hint="eastAsia"/>
          <w:sz w:val="24"/>
        </w:rPr>
        <w:t>组织学分析</w:t>
      </w:r>
    </w:p>
    <w:p w14:paraId="6FD35EE1" w14:textId="77777777" w:rsidR="00400E98" w:rsidRPr="00435554" w:rsidRDefault="00400E98" w:rsidP="00400E98">
      <w:pPr>
        <w:spacing w:line="360" w:lineRule="auto"/>
        <w:ind w:firstLineChars="200" w:firstLine="480"/>
        <w:rPr>
          <w:sz w:val="24"/>
        </w:rPr>
      </w:pPr>
      <w:r w:rsidRPr="00A73112">
        <w:rPr>
          <w:rFonts w:hint="eastAsia"/>
          <w:sz w:val="24"/>
        </w:rPr>
        <w:t>肝脏组织经</w:t>
      </w:r>
      <w:r w:rsidRPr="00A73112">
        <w:rPr>
          <w:sz w:val="24"/>
        </w:rPr>
        <w:t xml:space="preserve">4% </w:t>
      </w:r>
      <w:r w:rsidRPr="00A73112">
        <w:rPr>
          <w:rFonts w:hint="eastAsia"/>
          <w:sz w:val="24"/>
        </w:rPr>
        <w:t>多聚甲醛</w:t>
      </w:r>
      <w:r w:rsidRPr="00A73112">
        <w:rPr>
          <w:sz w:val="24"/>
        </w:rPr>
        <w:t>(PFA</w:t>
      </w:r>
      <w:r w:rsidRPr="00A73112">
        <w:rPr>
          <w:rFonts w:hint="eastAsia"/>
          <w:sz w:val="24"/>
        </w:rPr>
        <w:t>，</w:t>
      </w:r>
      <w:r w:rsidRPr="00A73112">
        <w:rPr>
          <w:sz w:val="24"/>
        </w:rPr>
        <w:t>Sigma-Aldrich</w:t>
      </w:r>
      <w:r w:rsidRPr="00A73112">
        <w:rPr>
          <w:rFonts w:hint="eastAsia"/>
          <w:sz w:val="24"/>
        </w:rPr>
        <w:t>，美国，</w:t>
      </w:r>
      <w:r w:rsidRPr="00A73112">
        <w:rPr>
          <w:sz w:val="24"/>
        </w:rPr>
        <w:t xml:space="preserve">pH 7.4) </w:t>
      </w:r>
      <w:r w:rsidRPr="00A73112">
        <w:rPr>
          <w:rFonts w:hint="eastAsia"/>
          <w:sz w:val="24"/>
        </w:rPr>
        <w:t>固定</w:t>
      </w:r>
      <w:r w:rsidRPr="00A73112">
        <w:rPr>
          <w:sz w:val="24"/>
        </w:rPr>
        <w:t xml:space="preserve">24 h </w:t>
      </w:r>
      <w:r w:rsidRPr="00A73112">
        <w:rPr>
          <w:rFonts w:hint="eastAsia"/>
          <w:sz w:val="24"/>
        </w:rPr>
        <w:t>后，依次进行脱水、透明及浸蜡处理：脱水过程包括</w:t>
      </w:r>
      <w:r w:rsidRPr="00A73112">
        <w:rPr>
          <w:sz w:val="24"/>
        </w:rPr>
        <w:t>70%</w:t>
      </w:r>
      <w:r>
        <w:rPr>
          <w:rFonts w:hint="eastAsia"/>
          <w:sz w:val="24"/>
        </w:rPr>
        <w:t xml:space="preserve"> </w:t>
      </w:r>
      <w:r w:rsidRPr="00A73112">
        <w:rPr>
          <w:rFonts w:hint="eastAsia"/>
          <w:sz w:val="24"/>
        </w:rPr>
        <w:t>乙醇</w:t>
      </w:r>
      <w:r w:rsidRPr="00A73112">
        <w:rPr>
          <w:sz w:val="24"/>
        </w:rPr>
        <w:t>(4 h)</w:t>
      </w:r>
      <w:r w:rsidRPr="00A73112">
        <w:rPr>
          <w:rFonts w:hint="eastAsia"/>
          <w:sz w:val="24"/>
        </w:rPr>
        <w:t>、</w:t>
      </w:r>
      <w:r w:rsidRPr="00A73112">
        <w:rPr>
          <w:sz w:val="24"/>
        </w:rPr>
        <w:t xml:space="preserve">80% </w:t>
      </w:r>
      <w:r w:rsidRPr="00A73112">
        <w:rPr>
          <w:rFonts w:hint="eastAsia"/>
          <w:sz w:val="24"/>
        </w:rPr>
        <w:t>乙醇</w:t>
      </w:r>
      <w:r w:rsidRPr="00A73112">
        <w:rPr>
          <w:sz w:val="24"/>
        </w:rPr>
        <w:t>(2 h)</w:t>
      </w:r>
      <w:r w:rsidRPr="00A73112">
        <w:rPr>
          <w:rFonts w:hint="eastAsia"/>
          <w:sz w:val="24"/>
        </w:rPr>
        <w:t>、</w:t>
      </w:r>
      <w:r w:rsidRPr="00A73112">
        <w:rPr>
          <w:sz w:val="24"/>
        </w:rPr>
        <w:t xml:space="preserve">90% </w:t>
      </w:r>
      <w:r w:rsidRPr="00A73112">
        <w:rPr>
          <w:rFonts w:hint="eastAsia"/>
          <w:sz w:val="24"/>
        </w:rPr>
        <w:t>乙醇</w:t>
      </w:r>
      <w:r w:rsidRPr="00A73112">
        <w:rPr>
          <w:sz w:val="24"/>
        </w:rPr>
        <w:t>(1 h)</w:t>
      </w:r>
      <w:r w:rsidRPr="00A73112">
        <w:rPr>
          <w:rFonts w:hint="eastAsia"/>
          <w:sz w:val="24"/>
        </w:rPr>
        <w:t>、</w:t>
      </w:r>
      <w:r w:rsidRPr="00A73112">
        <w:rPr>
          <w:sz w:val="24"/>
        </w:rPr>
        <w:t xml:space="preserve">95% </w:t>
      </w:r>
      <w:r w:rsidRPr="00A73112">
        <w:rPr>
          <w:rFonts w:hint="eastAsia"/>
          <w:sz w:val="24"/>
        </w:rPr>
        <w:t>乙醇</w:t>
      </w:r>
      <w:r w:rsidRPr="00A73112">
        <w:rPr>
          <w:sz w:val="24"/>
        </w:rPr>
        <w:t>(1 h)</w:t>
      </w:r>
      <w:r w:rsidRPr="00A73112">
        <w:rPr>
          <w:rFonts w:hint="eastAsia"/>
          <w:sz w:val="24"/>
        </w:rPr>
        <w:t>及</w:t>
      </w:r>
      <w:r w:rsidRPr="00A73112">
        <w:rPr>
          <w:sz w:val="24"/>
        </w:rPr>
        <w:t xml:space="preserve">2 </w:t>
      </w:r>
      <w:r w:rsidRPr="00A73112">
        <w:rPr>
          <w:rFonts w:hint="eastAsia"/>
          <w:sz w:val="24"/>
        </w:rPr>
        <w:t>次无水乙醇</w:t>
      </w:r>
      <w:r w:rsidRPr="00A73112">
        <w:rPr>
          <w:sz w:val="24"/>
        </w:rPr>
        <w:t>(</w:t>
      </w:r>
      <w:r w:rsidRPr="00A73112">
        <w:rPr>
          <w:rFonts w:hint="eastAsia"/>
          <w:sz w:val="24"/>
        </w:rPr>
        <w:t>每次</w:t>
      </w:r>
      <w:r w:rsidRPr="00A73112">
        <w:rPr>
          <w:sz w:val="24"/>
        </w:rPr>
        <w:t>30 min)</w:t>
      </w:r>
      <w:r w:rsidRPr="00A73112">
        <w:rPr>
          <w:rFonts w:hint="eastAsia"/>
          <w:sz w:val="24"/>
        </w:rPr>
        <w:t>；透明处理采用乙醇</w:t>
      </w:r>
      <w:r w:rsidRPr="00A73112">
        <w:rPr>
          <w:sz w:val="24"/>
        </w:rPr>
        <w:t>-</w:t>
      </w:r>
      <w:r w:rsidRPr="00A73112">
        <w:rPr>
          <w:rFonts w:hint="eastAsia"/>
          <w:sz w:val="24"/>
        </w:rPr>
        <w:t>二甲苯混合液</w:t>
      </w:r>
      <w:r w:rsidRPr="00A73112">
        <w:rPr>
          <w:sz w:val="24"/>
        </w:rPr>
        <w:t xml:space="preserve">(1 </w:t>
      </w:r>
      <w:r w:rsidRPr="00A73112">
        <w:rPr>
          <w:rFonts w:ascii="Cambria Math" w:hAnsi="Cambria Math" w:cs="Cambria Math"/>
          <w:sz w:val="24"/>
        </w:rPr>
        <w:t>∶</w:t>
      </w:r>
      <w:r w:rsidRPr="00A73112">
        <w:rPr>
          <w:sz w:val="24"/>
        </w:rPr>
        <w:t>1</w:t>
      </w:r>
      <w:r w:rsidRPr="00A73112">
        <w:rPr>
          <w:rFonts w:hint="eastAsia"/>
          <w:sz w:val="24"/>
        </w:rPr>
        <w:t>，</w:t>
      </w:r>
      <w:r w:rsidRPr="00A73112">
        <w:rPr>
          <w:sz w:val="24"/>
        </w:rPr>
        <w:t xml:space="preserve">30 </w:t>
      </w:r>
      <w:r w:rsidRPr="00A73112">
        <w:rPr>
          <w:sz w:val="24"/>
        </w:rPr>
        <w:lastRenderedPageBreak/>
        <w:t xml:space="preserve">min) </w:t>
      </w:r>
      <w:r w:rsidRPr="00A73112">
        <w:rPr>
          <w:rFonts w:hint="eastAsia"/>
          <w:sz w:val="24"/>
        </w:rPr>
        <w:t>和</w:t>
      </w:r>
      <w:r w:rsidRPr="00435554">
        <w:rPr>
          <w:rFonts w:hint="eastAsia"/>
          <w:sz w:val="24"/>
        </w:rPr>
        <w:t xml:space="preserve">2 </w:t>
      </w:r>
      <w:r w:rsidRPr="00435554">
        <w:rPr>
          <w:rFonts w:hint="eastAsia"/>
          <w:sz w:val="24"/>
        </w:rPr>
        <w:t>次二甲苯</w:t>
      </w:r>
      <w:r w:rsidRPr="00435554">
        <w:rPr>
          <w:sz w:val="24"/>
        </w:rPr>
        <w:t>(</w:t>
      </w:r>
      <w:r w:rsidRPr="00435554">
        <w:rPr>
          <w:rFonts w:hint="eastAsia"/>
          <w:sz w:val="24"/>
        </w:rPr>
        <w:t>每次</w:t>
      </w:r>
      <w:r w:rsidRPr="00435554">
        <w:rPr>
          <w:sz w:val="24"/>
        </w:rPr>
        <w:t>20 min)</w:t>
      </w:r>
      <w:r w:rsidRPr="00435554">
        <w:rPr>
          <w:rFonts w:hint="eastAsia"/>
          <w:sz w:val="24"/>
        </w:rPr>
        <w:t>；浸蜡于液态石蜡</w:t>
      </w:r>
      <w:r w:rsidRPr="00435554">
        <w:rPr>
          <w:sz w:val="24"/>
        </w:rPr>
        <w:t>(</w:t>
      </w:r>
      <w:r w:rsidRPr="00435554">
        <w:rPr>
          <w:rFonts w:hint="eastAsia"/>
          <w:sz w:val="24"/>
        </w:rPr>
        <w:t>熔点</w:t>
      </w:r>
      <w:r w:rsidRPr="00435554">
        <w:rPr>
          <w:sz w:val="24"/>
        </w:rPr>
        <w:t>56~58 ℃</w:t>
      </w:r>
      <w:r w:rsidRPr="00435554">
        <w:rPr>
          <w:rFonts w:hint="eastAsia"/>
          <w:sz w:val="24"/>
        </w:rPr>
        <w:t>，</w:t>
      </w:r>
      <w:r w:rsidRPr="00435554">
        <w:rPr>
          <w:rFonts w:hint="eastAsia"/>
          <w:sz w:val="24"/>
        </w:rPr>
        <w:t xml:space="preserve"> </w:t>
      </w:r>
      <w:r w:rsidRPr="00435554">
        <w:rPr>
          <w:sz w:val="24"/>
        </w:rPr>
        <w:t>Leica</w:t>
      </w:r>
      <w:r w:rsidRPr="00435554">
        <w:rPr>
          <w:rFonts w:hint="eastAsia"/>
          <w:sz w:val="24"/>
        </w:rPr>
        <w:t>，德国</w:t>
      </w:r>
      <w:r w:rsidRPr="00435554">
        <w:rPr>
          <w:sz w:val="24"/>
        </w:rPr>
        <w:t xml:space="preserve">) </w:t>
      </w:r>
      <w:r w:rsidRPr="00435554">
        <w:rPr>
          <w:rFonts w:hint="eastAsia"/>
          <w:sz w:val="24"/>
        </w:rPr>
        <w:t>中分</w:t>
      </w:r>
      <w:r w:rsidRPr="00435554">
        <w:rPr>
          <w:sz w:val="24"/>
        </w:rPr>
        <w:t xml:space="preserve">3 </w:t>
      </w:r>
      <w:r w:rsidRPr="00435554">
        <w:rPr>
          <w:rFonts w:hint="eastAsia"/>
          <w:sz w:val="24"/>
        </w:rPr>
        <w:t>次浸渍</w:t>
      </w:r>
      <w:r w:rsidRPr="00435554">
        <w:rPr>
          <w:sz w:val="24"/>
        </w:rPr>
        <w:t>(</w:t>
      </w:r>
      <w:r w:rsidRPr="00435554">
        <w:rPr>
          <w:rFonts w:hint="eastAsia"/>
          <w:sz w:val="24"/>
        </w:rPr>
        <w:t>每次</w:t>
      </w:r>
      <w:r w:rsidRPr="00435554">
        <w:rPr>
          <w:sz w:val="24"/>
        </w:rPr>
        <w:t>1 h</w:t>
      </w:r>
      <w:r w:rsidRPr="00435554">
        <w:rPr>
          <w:rFonts w:hint="eastAsia"/>
          <w:sz w:val="24"/>
        </w:rPr>
        <w:t>，</w:t>
      </w:r>
      <w:r w:rsidRPr="00435554">
        <w:rPr>
          <w:sz w:val="24"/>
        </w:rPr>
        <w:t>60 ℃</w:t>
      </w:r>
      <w:r w:rsidRPr="00435554">
        <w:rPr>
          <w:rFonts w:hint="eastAsia"/>
          <w:sz w:val="24"/>
        </w:rPr>
        <w:t>恒温</w:t>
      </w:r>
      <w:r w:rsidRPr="00435554">
        <w:rPr>
          <w:sz w:val="24"/>
        </w:rPr>
        <w:t>)</w:t>
      </w:r>
      <w:r w:rsidRPr="00435554">
        <w:rPr>
          <w:rFonts w:hint="eastAsia"/>
          <w:sz w:val="24"/>
        </w:rPr>
        <w:t>。随后使用石蜡切片机</w:t>
      </w:r>
      <w:r w:rsidRPr="00435554">
        <w:rPr>
          <w:sz w:val="24"/>
        </w:rPr>
        <w:t>(RM2235</w:t>
      </w:r>
      <w:r w:rsidRPr="00435554">
        <w:rPr>
          <w:rFonts w:hint="eastAsia"/>
          <w:sz w:val="24"/>
        </w:rPr>
        <w:t>，</w:t>
      </w:r>
      <w:r w:rsidRPr="00435554">
        <w:rPr>
          <w:sz w:val="24"/>
        </w:rPr>
        <w:t>Leica</w:t>
      </w:r>
      <w:r w:rsidRPr="00435554">
        <w:rPr>
          <w:rFonts w:hint="eastAsia"/>
          <w:sz w:val="24"/>
        </w:rPr>
        <w:t>，德国</w:t>
      </w:r>
      <w:r w:rsidRPr="00435554">
        <w:rPr>
          <w:sz w:val="24"/>
        </w:rPr>
        <w:t xml:space="preserve">) </w:t>
      </w:r>
      <w:r w:rsidRPr="00435554">
        <w:rPr>
          <w:rFonts w:hint="eastAsia"/>
          <w:sz w:val="24"/>
        </w:rPr>
        <w:t>制备</w:t>
      </w:r>
      <w:r w:rsidRPr="00435554">
        <w:rPr>
          <w:sz w:val="24"/>
        </w:rPr>
        <w:t xml:space="preserve">4 </w:t>
      </w:r>
      <w:proofErr w:type="spellStart"/>
      <w:r w:rsidRPr="00435554">
        <w:rPr>
          <w:sz w:val="24"/>
        </w:rPr>
        <w:t>μm</w:t>
      </w:r>
      <w:proofErr w:type="spellEnd"/>
      <w:r w:rsidRPr="00435554">
        <w:rPr>
          <w:rFonts w:hint="eastAsia"/>
          <w:sz w:val="24"/>
        </w:rPr>
        <w:t>厚连续切片，贴附于多聚赖氨酸载玻片</w:t>
      </w:r>
      <w:r w:rsidRPr="00435554">
        <w:rPr>
          <w:sz w:val="24"/>
        </w:rPr>
        <w:t>(</w:t>
      </w:r>
      <w:proofErr w:type="spellStart"/>
      <w:r w:rsidRPr="00435554">
        <w:rPr>
          <w:sz w:val="24"/>
        </w:rPr>
        <w:t>Servicebio</w:t>
      </w:r>
      <w:proofErr w:type="spellEnd"/>
      <w:r w:rsidRPr="00435554">
        <w:rPr>
          <w:rFonts w:hint="eastAsia"/>
          <w:sz w:val="24"/>
        </w:rPr>
        <w:t>，中国</w:t>
      </w:r>
      <w:r w:rsidRPr="00435554">
        <w:rPr>
          <w:sz w:val="24"/>
        </w:rPr>
        <w:t>)</w:t>
      </w:r>
      <w:r w:rsidRPr="00435554">
        <w:rPr>
          <w:rFonts w:hint="eastAsia"/>
          <w:sz w:val="24"/>
        </w:rPr>
        <w:t>。切片经</w:t>
      </w:r>
      <w:r w:rsidRPr="00435554">
        <w:rPr>
          <w:sz w:val="24"/>
        </w:rPr>
        <w:t xml:space="preserve">2 </w:t>
      </w:r>
      <w:r w:rsidRPr="00435554">
        <w:rPr>
          <w:rFonts w:hint="eastAsia"/>
          <w:sz w:val="24"/>
        </w:rPr>
        <w:t>次二甲苯脱蜡</w:t>
      </w:r>
      <w:r w:rsidRPr="00435554">
        <w:rPr>
          <w:sz w:val="24"/>
        </w:rPr>
        <w:t>(</w:t>
      </w:r>
      <w:r w:rsidRPr="00435554">
        <w:rPr>
          <w:rFonts w:hint="eastAsia"/>
          <w:sz w:val="24"/>
        </w:rPr>
        <w:t>每次</w:t>
      </w:r>
      <w:r w:rsidRPr="00435554">
        <w:rPr>
          <w:sz w:val="24"/>
        </w:rPr>
        <w:t>10 min)</w:t>
      </w:r>
      <w:r w:rsidRPr="00435554">
        <w:rPr>
          <w:rFonts w:hint="eastAsia"/>
          <w:sz w:val="24"/>
        </w:rPr>
        <w:t>、梯度乙醇复水后，进行苏木精染色</w:t>
      </w:r>
      <w:r w:rsidRPr="00435554">
        <w:rPr>
          <w:sz w:val="24"/>
        </w:rPr>
        <w:t>5 min</w:t>
      </w:r>
      <w:r w:rsidRPr="00435554">
        <w:rPr>
          <w:rFonts w:hint="eastAsia"/>
          <w:sz w:val="24"/>
        </w:rPr>
        <w:t>，流水冲洗返蓝，</w:t>
      </w:r>
      <w:r w:rsidRPr="00435554">
        <w:rPr>
          <w:sz w:val="24"/>
        </w:rPr>
        <w:t xml:space="preserve">1% </w:t>
      </w:r>
      <w:r w:rsidRPr="00435554">
        <w:rPr>
          <w:rFonts w:hint="eastAsia"/>
          <w:sz w:val="24"/>
        </w:rPr>
        <w:t>盐酸乙醇分化</w:t>
      </w:r>
      <w:r w:rsidRPr="00435554">
        <w:rPr>
          <w:sz w:val="24"/>
        </w:rPr>
        <w:t>3 s</w:t>
      </w:r>
      <w:r w:rsidRPr="00435554">
        <w:rPr>
          <w:rFonts w:hint="eastAsia"/>
          <w:sz w:val="24"/>
        </w:rPr>
        <w:t>，再以</w:t>
      </w:r>
      <w:r w:rsidRPr="00435554">
        <w:rPr>
          <w:sz w:val="24"/>
        </w:rPr>
        <w:t>0.5%</w:t>
      </w:r>
      <w:r w:rsidRPr="00435554">
        <w:rPr>
          <w:rFonts w:hint="eastAsia"/>
          <w:sz w:val="24"/>
        </w:rPr>
        <w:t>伊红水溶液染色</w:t>
      </w:r>
      <w:r w:rsidRPr="00435554">
        <w:rPr>
          <w:sz w:val="24"/>
        </w:rPr>
        <w:t>1 min</w:t>
      </w:r>
      <w:r w:rsidRPr="00435554">
        <w:rPr>
          <w:rFonts w:hint="eastAsia"/>
          <w:sz w:val="24"/>
        </w:rPr>
        <w:t>。最后经梯度乙醇脱水、二甲苯透明，中性树胶封片，于</w:t>
      </w:r>
      <w:r w:rsidRPr="00435554">
        <w:rPr>
          <w:sz w:val="24"/>
        </w:rPr>
        <w:t xml:space="preserve">Eclipse 200 </w:t>
      </w:r>
      <w:r w:rsidRPr="00435554">
        <w:rPr>
          <w:rFonts w:hint="eastAsia"/>
          <w:sz w:val="24"/>
        </w:rPr>
        <w:t>光学显微镜</w:t>
      </w:r>
      <w:r w:rsidRPr="00435554">
        <w:rPr>
          <w:sz w:val="24"/>
        </w:rPr>
        <w:t>(</w:t>
      </w:r>
      <w:r w:rsidRPr="00435554">
        <w:rPr>
          <w:rFonts w:hint="eastAsia"/>
          <w:sz w:val="24"/>
        </w:rPr>
        <w:t>尼康公司，日本</w:t>
      </w:r>
      <w:r w:rsidRPr="00435554">
        <w:rPr>
          <w:sz w:val="24"/>
        </w:rPr>
        <w:t xml:space="preserve">) </w:t>
      </w:r>
      <w:r w:rsidRPr="00435554">
        <w:rPr>
          <w:rFonts w:hint="eastAsia"/>
          <w:sz w:val="24"/>
        </w:rPr>
        <w:t>下观察并拍照。</w:t>
      </w:r>
    </w:p>
    <w:p w14:paraId="1AEBDB19" w14:textId="77777777" w:rsidR="00400E98" w:rsidRPr="00435554" w:rsidRDefault="00400E98" w:rsidP="00400E98">
      <w:pPr>
        <w:spacing w:line="360" w:lineRule="auto"/>
        <w:rPr>
          <w:sz w:val="24"/>
        </w:rPr>
      </w:pPr>
      <w:r w:rsidRPr="00435554">
        <w:rPr>
          <w:sz w:val="24"/>
        </w:rPr>
        <w:t>1.7</w:t>
      </w:r>
      <w:r w:rsidRPr="00435554">
        <w:rPr>
          <w:rFonts w:hint="eastAsia"/>
          <w:sz w:val="24"/>
        </w:rPr>
        <w:t>总</w:t>
      </w:r>
      <w:r w:rsidRPr="00435554">
        <w:rPr>
          <w:sz w:val="24"/>
        </w:rPr>
        <w:t xml:space="preserve">RNA </w:t>
      </w:r>
      <w:r w:rsidRPr="00435554">
        <w:rPr>
          <w:rFonts w:hint="eastAsia"/>
          <w:sz w:val="24"/>
        </w:rPr>
        <w:t>提取、</w:t>
      </w:r>
      <w:r w:rsidRPr="00435554">
        <w:rPr>
          <w:sz w:val="24"/>
        </w:rPr>
        <w:t xml:space="preserve">cDNA </w:t>
      </w:r>
      <w:r w:rsidRPr="00435554">
        <w:rPr>
          <w:rFonts w:hint="eastAsia"/>
          <w:sz w:val="24"/>
        </w:rPr>
        <w:t>合成及</w:t>
      </w:r>
      <w:r w:rsidRPr="00435554">
        <w:rPr>
          <w:sz w:val="24"/>
        </w:rPr>
        <w:t xml:space="preserve">qPCR </w:t>
      </w:r>
      <w:r w:rsidRPr="00435554">
        <w:rPr>
          <w:rFonts w:hint="eastAsia"/>
          <w:sz w:val="24"/>
        </w:rPr>
        <w:t>分析</w:t>
      </w:r>
    </w:p>
    <w:p w14:paraId="6540FD36" w14:textId="77777777" w:rsidR="00400E98" w:rsidRDefault="00400E98" w:rsidP="00400E98">
      <w:pPr>
        <w:spacing w:line="360" w:lineRule="auto"/>
        <w:ind w:firstLineChars="200" w:firstLine="480"/>
        <w:rPr>
          <w:sz w:val="24"/>
        </w:rPr>
      </w:pPr>
      <w:r w:rsidRPr="00435554">
        <w:rPr>
          <w:rFonts w:hint="eastAsia"/>
          <w:sz w:val="24"/>
        </w:rPr>
        <w:t>采用</w:t>
      </w:r>
      <w:r w:rsidRPr="00435554">
        <w:rPr>
          <w:sz w:val="24"/>
        </w:rPr>
        <w:t>RNAis</w:t>
      </w:r>
      <w:r w:rsidRPr="00435554">
        <w:rPr>
          <w:rFonts w:hint="eastAsia"/>
          <w:sz w:val="24"/>
        </w:rPr>
        <w:t>试剂盒从肝脏中提取总</w:t>
      </w:r>
      <w:r w:rsidRPr="00435554">
        <w:rPr>
          <w:sz w:val="24"/>
        </w:rPr>
        <w:t>RNA(</w:t>
      </w:r>
      <w:r w:rsidRPr="00435554">
        <w:rPr>
          <w:rFonts w:hint="eastAsia"/>
          <w:sz w:val="24"/>
        </w:rPr>
        <w:t>大连宝生物</w:t>
      </w:r>
      <w:r w:rsidRPr="00435554">
        <w:rPr>
          <w:sz w:val="24"/>
        </w:rPr>
        <w:t xml:space="preserve">, </w:t>
      </w:r>
      <w:r w:rsidRPr="00435554">
        <w:rPr>
          <w:rFonts w:hint="eastAsia"/>
          <w:sz w:val="24"/>
        </w:rPr>
        <w:t>中国</w:t>
      </w:r>
      <w:r w:rsidRPr="00435554">
        <w:rPr>
          <w:sz w:val="24"/>
        </w:rPr>
        <w:t>)</w:t>
      </w:r>
      <w:r w:rsidRPr="00435554">
        <w:rPr>
          <w:rFonts w:hint="eastAsia"/>
          <w:sz w:val="24"/>
        </w:rPr>
        <w:t>，通过</w:t>
      </w:r>
      <w:r w:rsidRPr="00435554">
        <w:rPr>
          <w:sz w:val="24"/>
        </w:rPr>
        <w:t xml:space="preserve">Nanodrop 2000 </w:t>
      </w:r>
      <w:r w:rsidRPr="00435554">
        <w:rPr>
          <w:rFonts w:hint="eastAsia"/>
          <w:sz w:val="24"/>
        </w:rPr>
        <w:t>微型紫外分光光度计</w:t>
      </w:r>
      <w:r w:rsidRPr="00435554">
        <w:rPr>
          <w:sz w:val="24"/>
        </w:rPr>
        <w:t>(</w:t>
      </w:r>
      <w:proofErr w:type="spellStart"/>
      <w:r w:rsidRPr="00435554">
        <w:rPr>
          <w:sz w:val="24"/>
        </w:rPr>
        <w:t>Thermo</w:t>
      </w:r>
      <w:proofErr w:type="spellEnd"/>
      <w:r w:rsidRPr="00435554">
        <w:rPr>
          <w:rFonts w:hint="eastAsia"/>
          <w:sz w:val="24"/>
        </w:rPr>
        <w:t>公司，美国</w:t>
      </w:r>
      <w:r w:rsidRPr="00435554">
        <w:rPr>
          <w:sz w:val="24"/>
        </w:rPr>
        <w:t xml:space="preserve">) </w:t>
      </w:r>
      <w:r w:rsidRPr="00435554">
        <w:rPr>
          <w:rFonts w:hint="eastAsia"/>
          <w:sz w:val="24"/>
        </w:rPr>
        <w:t>测定</w:t>
      </w:r>
      <w:r w:rsidRPr="00435554">
        <w:rPr>
          <w:sz w:val="24"/>
        </w:rPr>
        <w:t xml:space="preserve">260/280 </w:t>
      </w:r>
      <w:r w:rsidRPr="00435554">
        <w:rPr>
          <w:rFonts w:hint="eastAsia"/>
          <w:sz w:val="24"/>
        </w:rPr>
        <w:t>比值，利用</w:t>
      </w:r>
      <w:r w:rsidRPr="00435554">
        <w:rPr>
          <w:sz w:val="24"/>
        </w:rPr>
        <w:t xml:space="preserve">Prime </w:t>
      </w:r>
      <w:proofErr w:type="spellStart"/>
      <w:r w:rsidRPr="00435554">
        <w:rPr>
          <w:sz w:val="24"/>
        </w:rPr>
        <w:t>Script</w:t>
      </w:r>
      <w:r w:rsidRPr="00435554">
        <w:rPr>
          <w:sz w:val="24"/>
          <w:vertAlign w:val="superscript"/>
        </w:rPr>
        <w:t>TM</w:t>
      </w:r>
      <w:proofErr w:type="spellEnd"/>
      <w:r w:rsidRPr="00435554">
        <w:rPr>
          <w:sz w:val="24"/>
        </w:rPr>
        <w:t xml:space="preserve"> RT </w:t>
      </w:r>
      <w:r w:rsidRPr="00435554">
        <w:rPr>
          <w:rFonts w:hint="eastAsia"/>
          <w:sz w:val="24"/>
        </w:rPr>
        <w:t>试剂盒</w:t>
      </w:r>
      <w:r w:rsidRPr="00435554">
        <w:rPr>
          <w:sz w:val="24"/>
        </w:rPr>
        <w:t>(</w:t>
      </w:r>
      <w:r w:rsidRPr="00435554">
        <w:rPr>
          <w:rFonts w:hint="eastAsia"/>
          <w:sz w:val="24"/>
        </w:rPr>
        <w:t>大连宝生物</w:t>
      </w:r>
      <w:r w:rsidRPr="00435554">
        <w:rPr>
          <w:sz w:val="24"/>
        </w:rPr>
        <w:t xml:space="preserve">, </w:t>
      </w:r>
      <w:r w:rsidRPr="00435554">
        <w:rPr>
          <w:rFonts w:hint="eastAsia"/>
          <w:sz w:val="24"/>
        </w:rPr>
        <w:t>中国</w:t>
      </w:r>
      <w:r w:rsidRPr="00435554">
        <w:rPr>
          <w:sz w:val="24"/>
        </w:rPr>
        <w:t>)</w:t>
      </w:r>
      <w:r w:rsidRPr="00435554">
        <w:rPr>
          <w:rFonts w:hint="eastAsia"/>
          <w:sz w:val="24"/>
        </w:rPr>
        <w:t>获得</w:t>
      </w:r>
      <w:r w:rsidRPr="00435554">
        <w:rPr>
          <w:sz w:val="24"/>
        </w:rPr>
        <w:t xml:space="preserve">cDNA </w:t>
      </w:r>
      <w:r w:rsidRPr="00435554">
        <w:rPr>
          <w:rFonts w:hint="eastAsia"/>
          <w:sz w:val="24"/>
        </w:rPr>
        <w:t>第一链。使用</w:t>
      </w:r>
      <w:r w:rsidRPr="00435554">
        <w:rPr>
          <w:sz w:val="24"/>
        </w:rPr>
        <w:t>SYBR Premix Ex Taq(</w:t>
      </w:r>
      <w:r w:rsidRPr="00435554">
        <w:rPr>
          <w:rFonts w:hint="eastAsia"/>
          <w:sz w:val="24"/>
        </w:rPr>
        <w:t>大连宝生物</w:t>
      </w:r>
      <w:r w:rsidRPr="00435554">
        <w:rPr>
          <w:sz w:val="24"/>
        </w:rPr>
        <w:t xml:space="preserve">, </w:t>
      </w:r>
      <w:r w:rsidRPr="00435554">
        <w:rPr>
          <w:rFonts w:hint="eastAsia"/>
          <w:sz w:val="24"/>
        </w:rPr>
        <w:t>中国</w:t>
      </w:r>
      <w:r w:rsidRPr="00435554">
        <w:rPr>
          <w:sz w:val="24"/>
        </w:rPr>
        <w:t xml:space="preserve">) </w:t>
      </w:r>
      <w:r w:rsidRPr="00435554">
        <w:rPr>
          <w:rFonts w:hint="eastAsia"/>
          <w:sz w:val="24"/>
        </w:rPr>
        <w:t>试剂盒在</w:t>
      </w:r>
      <w:r w:rsidRPr="00435554">
        <w:rPr>
          <w:sz w:val="24"/>
        </w:rPr>
        <w:t>LightCycler</w:t>
      </w:r>
      <w:r w:rsidRPr="00435554">
        <w:rPr>
          <w:sz w:val="24"/>
          <w:vertAlign w:val="superscript"/>
        </w:rPr>
        <w:t>®</w:t>
      </w:r>
      <w:r w:rsidRPr="00435554">
        <w:rPr>
          <w:sz w:val="24"/>
        </w:rPr>
        <w:t>480 II(Roche</w:t>
      </w:r>
      <w:r w:rsidRPr="00435554">
        <w:rPr>
          <w:rFonts w:hint="eastAsia"/>
          <w:sz w:val="24"/>
        </w:rPr>
        <w:t>公司，瑞士</w:t>
      </w:r>
      <w:r w:rsidRPr="00435554">
        <w:rPr>
          <w:sz w:val="24"/>
        </w:rPr>
        <w:t xml:space="preserve">) </w:t>
      </w:r>
      <w:r w:rsidRPr="00435554">
        <w:rPr>
          <w:rFonts w:hint="eastAsia"/>
          <w:sz w:val="24"/>
        </w:rPr>
        <w:t>荧光定量</w:t>
      </w:r>
      <w:r w:rsidRPr="00435554">
        <w:rPr>
          <w:sz w:val="24"/>
        </w:rPr>
        <w:t xml:space="preserve">PCR </w:t>
      </w:r>
      <w:r w:rsidRPr="00435554">
        <w:rPr>
          <w:rFonts w:hint="eastAsia"/>
          <w:sz w:val="24"/>
        </w:rPr>
        <w:t>仪上进行分析，循环条件设置：</w:t>
      </w:r>
      <w:r w:rsidRPr="00435554">
        <w:rPr>
          <w:sz w:val="24"/>
        </w:rPr>
        <w:t>95 ℃</w:t>
      </w:r>
      <w:r>
        <w:rPr>
          <w:rFonts w:hint="eastAsia"/>
          <w:sz w:val="24"/>
        </w:rPr>
        <w:t xml:space="preserve"> </w:t>
      </w:r>
      <w:r w:rsidRPr="00435554">
        <w:rPr>
          <w:sz w:val="24"/>
        </w:rPr>
        <w:t xml:space="preserve">10 s </w:t>
      </w:r>
      <w:r w:rsidRPr="00435554">
        <w:rPr>
          <w:rFonts w:hint="eastAsia"/>
          <w:sz w:val="24"/>
        </w:rPr>
        <w:t>预变性，</w:t>
      </w:r>
      <w:r w:rsidRPr="00435554">
        <w:rPr>
          <w:sz w:val="24"/>
        </w:rPr>
        <w:t>95 ℃</w:t>
      </w:r>
      <w:r>
        <w:rPr>
          <w:rFonts w:hint="eastAsia"/>
          <w:sz w:val="24"/>
        </w:rPr>
        <w:t xml:space="preserve"> </w:t>
      </w:r>
      <w:r w:rsidRPr="00435554">
        <w:rPr>
          <w:sz w:val="24"/>
        </w:rPr>
        <w:t>5 s</w:t>
      </w:r>
      <w:r w:rsidRPr="00435554">
        <w:rPr>
          <w:rFonts w:hint="eastAsia"/>
          <w:sz w:val="24"/>
        </w:rPr>
        <w:t>，</w:t>
      </w:r>
      <w:r w:rsidRPr="00435554">
        <w:rPr>
          <w:sz w:val="24"/>
        </w:rPr>
        <w:t>57 ℃</w:t>
      </w:r>
      <w:r>
        <w:rPr>
          <w:rFonts w:hint="eastAsia"/>
          <w:sz w:val="24"/>
        </w:rPr>
        <w:t xml:space="preserve"> </w:t>
      </w:r>
      <w:r w:rsidRPr="00435554">
        <w:rPr>
          <w:sz w:val="24"/>
        </w:rPr>
        <w:t xml:space="preserve">30 s </w:t>
      </w:r>
      <w:r w:rsidRPr="00435554">
        <w:rPr>
          <w:rFonts w:hint="eastAsia"/>
          <w:sz w:val="24"/>
        </w:rPr>
        <w:t>进行</w:t>
      </w:r>
      <w:r w:rsidRPr="00435554">
        <w:rPr>
          <w:sz w:val="24"/>
        </w:rPr>
        <w:t>40</w:t>
      </w:r>
      <w:r w:rsidRPr="00435554">
        <w:rPr>
          <w:rFonts w:hint="eastAsia"/>
          <w:sz w:val="24"/>
        </w:rPr>
        <w:t>个循环，</w:t>
      </w:r>
      <w:r w:rsidRPr="00435554">
        <w:rPr>
          <w:sz w:val="24"/>
        </w:rPr>
        <w:t>72 ℃</w:t>
      </w:r>
      <w:r>
        <w:rPr>
          <w:rFonts w:hint="eastAsia"/>
          <w:sz w:val="24"/>
        </w:rPr>
        <w:t xml:space="preserve"> </w:t>
      </w:r>
      <w:r w:rsidRPr="00435554">
        <w:rPr>
          <w:sz w:val="24"/>
        </w:rPr>
        <w:t xml:space="preserve">30 s </w:t>
      </w:r>
      <w:r w:rsidRPr="00435554">
        <w:rPr>
          <w:rFonts w:hint="eastAsia"/>
          <w:sz w:val="24"/>
        </w:rPr>
        <w:t>终止反应，借助</w:t>
      </w:r>
      <w:r w:rsidRPr="00435554">
        <w:rPr>
          <w:sz w:val="24"/>
        </w:rPr>
        <w:t>2</w:t>
      </w:r>
      <w:r w:rsidRPr="00435554">
        <w:rPr>
          <w:sz w:val="24"/>
          <w:vertAlign w:val="superscript"/>
        </w:rPr>
        <w:t>−∆∆Ct</w:t>
      </w:r>
      <w:r w:rsidRPr="00435554">
        <w:rPr>
          <w:rFonts w:hint="eastAsia"/>
          <w:sz w:val="24"/>
        </w:rPr>
        <w:t>法测定基因的相对表达水平，</w:t>
      </w:r>
      <w:r w:rsidRPr="00435554">
        <w:rPr>
          <w:i/>
          <w:iCs/>
          <w:sz w:val="24"/>
        </w:rPr>
        <w:t>β</w:t>
      </w:r>
      <w:r w:rsidRPr="00435554">
        <w:rPr>
          <w:sz w:val="24"/>
        </w:rPr>
        <w:t>-</w:t>
      </w:r>
      <w:r w:rsidRPr="00435554">
        <w:rPr>
          <w:i/>
          <w:iCs/>
          <w:sz w:val="24"/>
        </w:rPr>
        <w:t>actin</w:t>
      </w:r>
      <w:r w:rsidRPr="00435554">
        <w:rPr>
          <w:sz w:val="24"/>
        </w:rPr>
        <w:t xml:space="preserve"> </w:t>
      </w:r>
      <w:r w:rsidRPr="00435554">
        <w:rPr>
          <w:rFonts w:hint="eastAsia"/>
          <w:sz w:val="24"/>
        </w:rPr>
        <w:t>和</w:t>
      </w:r>
      <w:r w:rsidRPr="00435554">
        <w:rPr>
          <w:sz w:val="24"/>
        </w:rPr>
        <w:t xml:space="preserve"> </w:t>
      </w:r>
      <w:r w:rsidRPr="00435554">
        <w:rPr>
          <w:i/>
          <w:iCs/>
          <w:sz w:val="24"/>
        </w:rPr>
        <w:t>GAPDH</w:t>
      </w:r>
      <w:r w:rsidRPr="00435554">
        <w:rPr>
          <w:sz w:val="24"/>
        </w:rPr>
        <w:t xml:space="preserve"> </w:t>
      </w:r>
      <w:r w:rsidRPr="00435554">
        <w:rPr>
          <w:rFonts w:hint="eastAsia"/>
          <w:sz w:val="24"/>
        </w:rPr>
        <w:t>作为管家基因</w:t>
      </w:r>
      <w:r w:rsidRPr="00435554">
        <w:rPr>
          <w:sz w:val="24"/>
          <w:vertAlign w:val="superscript"/>
        </w:rPr>
        <w:t>[22]</w:t>
      </w:r>
      <w:r w:rsidRPr="00435554">
        <w:rPr>
          <w:rFonts w:hint="eastAsia"/>
          <w:sz w:val="24"/>
        </w:rPr>
        <w:t>。根据</w:t>
      </w:r>
      <w:r w:rsidRPr="00435554">
        <w:rPr>
          <w:sz w:val="24"/>
        </w:rPr>
        <w:t xml:space="preserve">MIQE </w:t>
      </w:r>
      <w:r w:rsidRPr="00435554">
        <w:rPr>
          <w:rFonts w:hint="eastAsia"/>
          <w:sz w:val="24"/>
        </w:rPr>
        <w:t>指南</w:t>
      </w:r>
      <w:r w:rsidRPr="00435554">
        <w:rPr>
          <w:sz w:val="24"/>
          <w:vertAlign w:val="superscript"/>
        </w:rPr>
        <w:t>[23]</w:t>
      </w:r>
      <w:r w:rsidRPr="00435554">
        <w:rPr>
          <w:rFonts w:hint="eastAsia"/>
          <w:sz w:val="24"/>
        </w:rPr>
        <w:t>，每个样本进行</w:t>
      </w:r>
      <w:r w:rsidRPr="00435554">
        <w:rPr>
          <w:sz w:val="24"/>
        </w:rPr>
        <w:t xml:space="preserve">3 </w:t>
      </w:r>
      <w:r w:rsidRPr="00435554">
        <w:rPr>
          <w:rFonts w:hint="eastAsia"/>
          <w:sz w:val="24"/>
        </w:rPr>
        <w:t>次检测，每次检测独立重复</w:t>
      </w:r>
      <w:r w:rsidRPr="00435554">
        <w:rPr>
          <w:sz w:val="24"/>
        </w:rPr>
        <w:t xml:space="preserve">3 </w:t>
      </w:r>
      <w:r w:rsidRPr="00435554">
        <w:rPr>
          <w:rFonts w:hint="eastAsia"/>
          <w:sz w:val="24"/>
        </w:rPr>
        <w:t>次。本实验所用于实时荧光定量聚合酶链式反应</w:t>
      </w:r>
      <w:r w:rsidRPr="00435554">
        <w:rPr>
          <w:sz w:val="24"/>
        </w:rPr>
        <w:t xml:space="preserve">(qPCR) </w:t>
      </w:r>
      <w:r w:rsidRPr="00435554">
        <w:rPr>
          <w:rFonts w:hint="eastAsia"/>
          <w:sz w:val="24"/>
        </w:rPr>
        <w:t>的引物序列见表</w:t>
      </w:r>
      <w:r>
        <w:rPr>
          <w:rFonts w:hint="eastAsia"/>
          <w:sz w:val="24"/>
        </w:rPr>
        <w:t>2</w:t>
      </w:r>
      <w:r>
        <w:rPr>
          <w:rFonts w:hint="eastAsia"/>
          <w:sz w:val="24"/>
        </w:rPr>
        <w:t>。</w:t>
      </w:r>
    </w:p>
    <w:p w14:paraId="1A505DA9" w14:textId="17AEFF0C" w:rsidR="007B1708" w:rsidRDefault="00400E98" w:rsidP="007B1708">
      <w:pPr>
        <w:spacing w:line="360" w:lineRule="auto"/>
        <w:jc w:val="center"/>
        <w:rPr>
          <w:sz w:val="24"/>
        </w:rPr>
      </w:pPr>
      <w:r w:rsidRPr="00435554">
        <w:rPr>
          <w:noProof/>
          <w:sz w:val="24"/>
        </w:rPr>
        <w:drawing>
          <wp:inline distT="0" distB="0" distL="0" distR="0" wp14:anchorId="52E5EDE9" wp14:editId="5BA462B2">
            <wp:extent cx="4776787" cy="2660864"/>
            <wp:effectExtent l="0" t="0" r="5080" b="6350"/>
            <wp:docPr id="1963879789" name="图片 1" descr="图形用户界面,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79789" name="图片 1" descr="图形用户界面, 文本&#10;&#10;AI 生成的内容可能不正确。"/>
                    <pic:cNvPicPr/>
                  </pic:nvPicPr>
                  <pic:blipFill rotWithShape="1">
                    <a:blip r:embed="rId36"/>
                    <a:srcRect l="4051" r="6307"/>
                    <a:stretch>
                      <a:fillRect/>
                    </a:stretch>
                  </pic:blipFill>
                  <pic:spPr bwMode="auto">
                    <a:xfrm>
                      <a:off x="0" y="0"/>
                      <a:ext cx="4817674" cy="2683640"/>
                    </a:xfrm>
                    <a:prstGeom prst="rect">
                      <a:avLst/>
                    </a:prstGeom>
                    <a:ln>
                      <a:noFill/>
                    </a:ln>
                    <a:extLst>
                      <a:ext uri="{53640926-AAD7-44D8-BBD7-CCE9431645EC}">
                        <a14:shadowObscured xmlns:a14="http://schemas.microsoft.com/office/drawing/2010/main"/>
                      </a:ext>
                    </a:extLst>
                  </pic:spPr>
                </pic:pic>
              </a:graphicData>
            </a:graphic>
          </wp:inline>
        </w:drawing>
      </w:r>
    </w:p>
    <w:p w14:paraId="4CC25B7E" w14:textId="796B094A" w:rsidR="00400E98" w:rsidRPr="00435554" w:rsidRDefault="00400E98" w:rsidP="00400E98">
      <w:pPr>
        <w:spacing w:line="360" w:lineRule="auto"/>
        <w:rPr>
          <w:sz w:val="24"/>
        </w:rPr>
      </w:pPr>
      <w:r w:rsidRPr="00435554">
        <w:rPr>
          <w:rFonts w:hint="eastAsia"/>
          <w:sz w:val="24"/>
        </w:rPr>
        <w:t>1.8</w:t>
      </w:r>
      <w:r w:rsidRPr="00435554">
        <w:rPr>
          <w:rFonts w:hint="eastAsia"/>
          <w:sz w:val="24"/>
        </w:rPr>
        <w:t>统计分析</w:t>
      </w:r>
    </w:p>
    <w:p w14:paraId="573CCFA2" w14:textId="5514CC49" w:rsidR="00400E98" w:rsidRPr="00435554" w:rsidRDefault="00400E98" w:rsidP="00400E98">
      <w:pPr>
        <w:spacing w:line="360" w:lineRule="auto"/>
        <w:ind w:firstLineChars="200" w:firstLine="480"/>
        <w:rPr>
          <w:sz w:val="24"/>
        </w:rPr>
      </w:pPr>
      <w:r w:rsidRPr="00435554">
        <w:rPr>
          <w:rFonts w:hint="eastAsia"/>
          <w:sz w:val="24"/>
        </w:rPr>
        <w:t>实验数据使用</w:t>
      </w:r>
      <w:r w:rsidRPr="00435554">
        <w:rPr>
          <w:rFonts w:hint="eastAsia"/>
          <w:sz w:val="24"/>
        </w:rPr>
        <w:t xml:space="preserve"> SPSS</w:t>
      </w:r>
      <w:r w:rsidR="007B1708">
        <w:rPr>
          <w:rFonts w:hint="eastAsia"/>
          <w:sz w:val="24"/>
        </w:rPr>
        <w:t xml:space="preserve"> </w:t>
      </w:r>
      <w:r w:rsidRPr="00435554">
        <w:rPr>
          <w:rFonts w:hint="eastAsia"/>
          <w:sz w:val="24"/>
        </w:rPr>
        <w:t xml:space="preserve">26.0 </w:t>
      </w:r>
      <w:r w:rsidRPr="00435554">
        <w:rPr>
          <w:rFonts w:hint="eastAsia"/>
          <w:sz w:val="24"/>
        </w:rPr>
        <w:t>软件进行单因素方差分析。采用</w:t>
      </w:r>
      <w:r w:rsidRPr="00435554">
        <w:rPr>
          <w:rFonts w:hint="eastAsia"/>
          <w:sz w:val="24"/>
        </w:rPr>
        <w:t xml:space="preserve"> Duncan </w:t>
      </w:r>
      <w:r w:rsidRPr="00435554">
        <w:rPr>
          <w:rFonts w:hint="eastAsia"/>
          <w:sz w:val="24"/>
        </w:rPr>
        <w:t>氏检验进行多重比较，显著差异为</w:t>
      </w:r>
      <w:r w:rsidRPr="00435554">
        <w:rPr>
          <w:rFonts w:hint="eastAsia"/>
          <w:sz w:val="24"/>
        </w:rPr>
        <w:t xml:space="preserve"> </w:t>
      </w:r>
      <w:r w:rsidRPr="00435554">
        <w:rPr>
          <w:rFonts w:hint="eastAsia"/>
          <w:i/>
          <w:iCs/>
          <w:sz w:val="24"/>
        </w:rPr>
        <w:t>P</w:t>
      </w:r>
      <w:r w:rsidRPr="00435554">
        <w:rPr>
          <w:rFonts w:hint="eastAsia"/>
          <w:sz w:val="24"/>
        </w:rPr>
        <w:t>&lt;0.05</w:t>
      </w:r>
      <w:r w:rsidRPr="00435554">
        <w:rPr>
          <w:rFonts w:hint="eastAsia"/>
          <w:sz w:val="24"/>
        </w:rPr>
        <w:t>。统计数据均以平均值±标准差</w:t>
      </w:r>
      <w:r w:rsidRPr="00435554">
        <w:rPr>
          <w:rFonts w:hint="eastAsia"/>
          <w:sz w:val="24"/>
        </w:rPr>
        <w:t xml:space="preserve"> (mean</w:t>
      </w:r>
      <w:r w:rsidRPr="00435554">
        <w:rPr>
          <w:rFonts w:hint="eastAsia"/>
          <w:sz w:val="24"/>
        </w:rPr>
        <w:t>±</w:t>
      </w:r>
      <w:r w:rsidRPr="00435554">
        <w:rPr>
          <w:rFonts w:hint="eastAsia"/>
          <w:sz w:val="24"/>
        </w:rPr>
        <w:t xml:space="preserve">SD) </w:t>
      </w:r>
      <w:r w:rsidRPr="00435554">
        <w:rPr>
          <w:rFonts w:hint="eastAsia"/>
          <w:sz w:val="24"/>
        </w:rPr>
        <w:t>表示。</w:t>
      </w:r>
    </w:p>
    <w:p w14:paraId="52F6520B" w14:textId="77777777" w:rsidR="00400E98" w:rsidRPr="00435554" w:rsidRDefault="00400E98" w:rsidP="00400E98">
      <w:pPr>
        <w:spacing w:line="360" w:lineRule="auto"/>
        <w:ind w:firstLineChars="200" w:firstLine="480"/>
        <w:rPr>
          <w:sz w:val="24"/>
        </w:rPr>
      </w:pPr>
      <w:r w:rsidRPr="00435554">
        <w:rPr>
          <w:rFonts w:hint="eastAsia"/>
          <w:sz w:val="24"/>
        </w:rPr>
        <w:t>生长性能相关计算公式：</w:t>
      </w:r>
    </w:p>
    <w:p w14:paraId="4EB641D1" w14:textId="55D8B40C" w:rsidR="00400E98" w:rsidRPr="00435554" w:rsidRDefault="00400E98" w:rsidP="00400E98">
      <w:pPr>
        <w:spacing w:line="360" w:lineRule="auto"/>
        <w:ind w:firstLineChars="200" w:firstLine="480"/>
        <w:rPr>
          <w:sz w:val="24"/>
        </w:rPr>
      </w:pPr>
      <w:r w:rsidRPr="00435554">
        <w:rPr>
          <w:rFonts w:hint="eastAsia"/>
          <w:sz w:val="24"/>
        </w:rPr>
        <w:t>存活率</w:t>
      </w:r>
      <w:r w:rsidRPr="00435554">
        <w:rPr>
          <w:rFonts w:hint="eastAsia"/>
          <w:sz w:val="24"/>
        </w:rPr>
        <w:t xml:space="preserve"> (SR,%)=</w:t>
      </w:r>
      <w:proofErr w:type="spellStart"/>
      <w:r w:rsidRPr="00435554">
        <w:rPr>
          <w:rFonts w:hint="eastAsia"/>
          <w:i/>
          <w:iCs/>
          <w:sz w:val="24"/>
        </w:rPr>
        <w:t>N</w:t>
      </w:r>
      <w:r w:rsidRPr="00435554">
        <w:rPr>
          <w:rFonts w:hint="eastAsia"/>
          <w:i/>
          <w:iCs/>
          <w:sz w:val="24"/>
          <w:vertAlign w:val="subscript"/>
        </w:rPr>
        <w:t>t</w:t>
      </w:r>
      <w:proofErr w:type="spellEnd"/>
      <w:r w:rsidRPr="00435554">
        <w:rPr>
          <w:rFonts w:hint="eastAsia"/>
          <w:sz w:val="24"/>
        </w:rPr>
        <w:t>/</w:t>
      </w:r>
      <w:r w:rsidRPr="00435554">
        <w:rPr>
          <w:rFonts w:hint="eastAsia"/>
          <w:i/>
          <w:iCs/>
          <w:sz w:val="24"/>
        </w:rPr>
        <w:t>N</w:t>
      </w:r>
      <w:r w:rsidRPr="00435554">
        <w:rPr>
          <w:rFonts w:hint="eastAsia"/>
          <w:sz w:val="24"/>
          <w:vertAlign w:val="subscript"/>
        </w:rPr>
        <w:t>0</w:t>
      </w:r>
      <w:r w:rsidRPr="00435554">
        <w:rPr>
          <w:rFonts w:hint="eastAsia"/>
          <w:sz w:val="24"/>
        </w:rPr>
        <w:t>×</w:t>
      </w:r>
      <w:r w:rsidRPr="00435554">
        <w:rPr>
          <w:rFonts w:hint="eastAsia"/>
          <w:sz w:val="24"/>
        </w:rPr>
        <w:t>100%</w:t>
      </w:r>
    </w:p>
    <w:p w14:paraId="4107D641" w14:textId="332C8216" w:rsidR="00400E98" w:rsidRPr="00435554" w:rsidRDefault="00400E98" w:rsidP="00400E98">
      <w:pPr>
        <w:spacing w:line="360" w:lineRule="auto"/>
        <w:ind w:firstLineChars="200" w:firstLine="480"/>
        <w:rPr>
          <w:sz w:val="24"/>
        </w:rPr>
      </w:pPr>
      <w:r w:rsidRPr="00435554">
        <w:rPr>
          <w:rFonts w:hint="eastAsia"/>
          <w:sz w:val="24"/>
        </w:rPr>
        <w:lastRenderedPageBreak/>
        <w:t>增重率</w:t>
      </w:r>
      <w:r w:rsidRPr="00435554">
        <w:rPr>
          <w:sz w:val="24"/>
        </w:rPr>
        <w:t xml:space="preserve"> (WGR,%)=(</w:t>
      </w:r>
      <w:r w:rsidRPr="00435554">
        <w:rPr>
          <w:i/>
          <w:iCs/>
          <w:sz w:val="24"/>
        </w:rPr>
        <w:t>W</w:t>
      </w:r>
      <w:r w:rsidRPr="00435554">
        <w:rPr>
          <w:i/>
          <w:iCs/>
          <w:sz w:val="24"/>
          <w:vertAlign w:val="subscript"/>
        </w:rPr>
        <w:t>t</w:t>
      </w:r>
      <w:r w:rsidRPr="00435554">
        <w:rPr>
          <w:sz w:val="24"/>
        </w:rPr>
        <w:t>−</w:t>
      </w:r>
      <w:r w:rsidRPr="00435554">
        <w:rPr>
          <w:i/>
          <w:iCs/>
          <w:sz w:val="24"/>
        </w:rPr>
        <w:t>W</w:t>
      </w:r>
      <w:r w:rsidRPr="00435554">
        <w:rPr>
          <w:sz w:val="24"/>
          <w:vertAlign w:val="subscript"/>
        </w:rPr>
        <w:t>0</w:t>
      </w:r>
      <w:r w:rsidRPr="00435554">
        <w:rPr>
          <w:rFonts w:hint="eastAsia"/>
          <w:sz w:val="24"/>
        </w:rPr>
        <w:t>)/</w:t>
      </w:r>
      <w:r w:rsidRPr="00435554">
        <w:rPr>
          <w:rFonts w:hint="eastAsia"/>
          <w:i/>
          <w:iCs/>
          <w:sz w:val="24"/>
        </w:rPr>
        <w:t>W</w:t>
      </w:r>
      <w:r w:rsidRPr="00435554">
        <w:rPr>
          <w:rFonts w:hint="eastAsia"/>
          <w:sz w:val="24"/>
          <w:vertAlign w:val="subscript"/>
        </w:rPr>
        <w:t>0</w:t>
      </w:r>
      <w:r w:rsidRPr="00435554">
        <w:rPr>
          <w:rFonts w:hint="eastAsia"/>
          <w:sz w:val="24"/>
        </w:rPr>
        <w:t>×</w:t>
      </w:r>
      <w:r w:rsidRPr="00435554">
        <w:rPr>
          <w:rFonts w:hint="eastAsia"/>
          <w:sz w:val="24"/>
        </w:rPr>
        <w:t>100%</w:t>
      </w:r>
    </w:p>
    <w:p w14:paraId="64B34198" w14:textId="42CCD5B1" w:rsidR="00400E98" w:rsidRPr="00435554" w:rsidRDefault="00400E98" w:rsidP="00400E98">
      <w:pPr>
        <w:spacing w:line="360" w:lineRule="auto"/>
        <w:ind w:firstLineChars="200" w:firstLine="480"/>
        <w:rPr>
          <w:sz w:val="24"/>
        </w:rPr>
      </w:pPr>
      <w:r w:rsidRPr="00435554">
        <w:rPr>
          <w:rFonts w:hint="eastAsia"/>
          <w:sz w:val="24"/>
        </w:rPr>
        <w:t>特定生长率</w:t>
      </w:r>
      <w:r w:rsidRPr="00435554">
        <w:rPr>
          <w:sz w:val="24"/>
        </w:rPr>
        <w:t xml:space="preserve"> (SGR%/d)=(ln</w:t>
      </w:r>
      <w:r>
        <w:rPr>
          <w:rFonts w:hint="eastAsia"/>
          <w:sz w:val="24"/>
        </w:rPr>
        <w:t xml:space="preserve"> </w:t>
      </w:r>
      <w:r w:rsidRPr="00435554">
        <w:rPr>
          <w:i/>
          <w:iCs/>
          <w:sz w:val="24"/>
        </w:rPr>
        <w:t>W</w:t>
      </w:r>
      <w:r w:rsidRPr="00435554">
        <w:rPr>
          <w:i/>
          <w:iCs/>
          <w:sz w:val="24"/>
          <w:vertAlign w:val="subscript"/>
        </w:rPr>
        <w:t>t</w:t>
      </w:r>
      <w:r w:rsidRPr="00435554">
        <w:rPr>
          <w:sz w:val="24"/>
        </w:rPr>
        <w:t>−ln</w:t>
      </w:r>
      <w:r w:rsidRPr="00435554">
        <w:rPr>
          <w:i/>
          <w:iCs/>
          <w:sz w:val="24"/>
        </w:rPr>
        <w:t>W</w:t>
      </w:r>
      <w:r w:rsidRPr="00435554">
        <w:rPr>
          <w:sz w:val="24"/>
          <w:vertAlign w:val="subscript"/>
        </w:rPr>
        <w:t>0</w:t>
      </w:r>
      <w:r w:rsidRPr="00435554">
        <w:rPr>
          <w:rFonts w:hint="eastAsia"/>
          <w:sz w:val="24"/>
        </w:rPr>
        <w:t>)/</w:t>
      </w:r>
      <w:r w:rsidRPr="00435554">
        <w:rPr>
          <w:rFonts w:hint="eastAsia"/>
          <w:i/>
          <w:iCs/>
          <w:sz w:val="24"/>
        </w:rPr>
        <w:t>t</w:t>
      </w:r>
      <w:r w:rsidRPr="00435554">
        <w:rPr>
          <w:rFonts w:hint="eastAsia"/>
          <w:sz w:val="24"/>
        </w:rPr>
        <w:t>×</w:t>
      </w:r>
      <w:r w:rsidRPr="00435554">
        <w:rPr>
          <w:rFonts w:hint="eastAsia"/>
          <w:sz w:val="24"/>
        </w:rPr>
        <w:t>100%</w:t>
      </w:r>
    </w:p>
    <w:p w14:paraId="4BE85715" w14:textId="04DB73DD" w:rsidR="00400E98" w:rsidRPr="00435554" w:rsidRDefault="00400E98" w:rsidP="00400E98">
      <w:pPr>
        <w:spacing w:line="360" w:lineRule="auto"/>
        <w:ind w:firstLineChars="200" w:firstLine="480"/>
        <w:rPr>
          <w:sz w:val="24"/>
        </w:rPr>
      </w:pPr>
      <w:r w:rsidRPr="00435554">
        <w:rPr>
          <w:rFonts w:hint="eastAsia"/>
          <w:sz w:val="24"/>
        </w:rPr>
        <w:t>饲料系数</w:t>
      </w:r>
      <w:r w:rsidRPr="00435554">
        <w:rPr>
          <w:rFonts w:hint="eastAsia"/>
          <w:sz w:val="24"/>
        </w:rPr>
        <w:t xml:space="preserve"> (FCR)=</w:t>
      </w:r>
      <w:proofErr w:type="spellStart"/>
      <w:r w:rsidRPr="00435554">
        <w:rPr>
          <w:rFonts w:hint="eastAsia"/>
          <w:i/>
          <w:iCs/>
          <w:sz w:val="24"/>
        </w:rPr>
        <w:t>W</w:t>
      </w:r>
      <w:r w:rsidRPr="00435554">
        <w:rPr>
          <w:rFonts w:hint="eastAsia"/>
          <w:sz w:val="24"/>
          <w:vertAlign w:val="subscript"/>
        </w:rPr>
        <w:t>f</w:t>
      </w:r>
      <w:proofErr w:type="spellEnd"/>
      <w:r w:rsidRPr="00435554">
        <w:rPr>
          <w:rFonts w:hint="eastAsia"/>
          <w:sz w:val="24"/>
        </w:rPr>
        <w:t>/(</w:t>
      </w:r>
      <w:r w:rsidRPr="00435554">
        <w:rPr>
          <w:rFonts w:hint="eastAsia"/>
          <w:i/>
          <w:iCs/>
          <w:sz w:val="24"/>
        </w:rPr>
        <w:t>W</w:t>
      </w:r>
      <w:r w:rsidRPr="00435554">
        <w:rPr>
          <w:rFonts w:hint="eastAsia"/>
          <w:i/>
          <w:iCs/>
          <w:sz w:val="24"/>
          <w:vertAlign w:val="subscript"/>
        </w:rPr>
        <w:t>t</w:t>
      </w:r>
      <w:r w:rsidRPr="00435554">
        <w:rPr>
          <w:sz w:val="24"/>
        </w:rPr>
        <w:t>−</w:t>
      </w:r>
      <w:r w:rsidRPr="00435554">
        <w:rPr>
          <w:i/>
          <w:iCs/>
          <w:sz w:val="24"/>
        </w:rPr>
        <w:t>W</w:t>
      </w:r>
      <w:r w:rsidRPr="00435554">
        <w:rPr>
          <w:sz w:val="24"/>
          <w:vertAlign w:val="subscript"/>
        </w:rPr>
        <w:t>0</w:t>
      </w:r>
      <w:r w:rsidRPr="00435554">
        <w:rPr>
          <w:rFonts w:hint="eastAsia"/>
          <w:sz w:val="24"/>
        </w:rPr>
        <w:t>)</w:t>
      </w:r>
    </w:p>
    <w:p w14:paraId="2B61ABEE" w14:textId="4947A239" w:rsidR="00400E98" w:rsidRPr="00435554" w:rsidRDefault="00400E98" w:rsidP="00400E98">
      <w:pPr>
        <w:spacing w:line="360" w:lineRule="auto"/>
        <w:ind w:firstLineChars="200" w:firstLine="480"/>
        <w:rPr>
          <w:sz w:val="24"/>
        </w:rPr>
      </w:pPr>
      <w:r w:rsidRPr="00435554">
        <w:rPr>
          <w:rFonts w:hint="eastAsia"/>
          <w:sz w:val="24"/>
        </w:rPr>
        <w:t>肝体指数</w:t>
      </w:r>
      <w:r w:rsidRPr="00435554">
        <w:rPr>
          <w:rFonts w:hint="eastAsia"/>
          <w:sz w:val="24"/>
        </w:rPr>
        <w:t xml:space="preserve"> (HSI,%)=</w:t>
      </w:r>
      <w:proofErr w:type="spellStart"/>
      <w:r w:rsidRPr="00435554">
        <w:rPr>
          <w:rFonts w:hint="eastAsia"/>
          <w:i/>
          <w:iCs/>
          <w:sz w:val="24"/>
        </w:rPr>
        <w:t>W</w:t>
      </w:r>
      <w:r w:rsidRPr="00435554">
        <w:rPr>
          <w:rFonts w:hint="eastAsia"/>
          <w:sz w:val="24"/>
          <w:vertAlign w:val="subscript"/>
        </w:rPr>
        <w:t>h</w:t>
      </w:r>
      <w:proofErr w:type="spellEnd"/>
      <w:r w:rsidRPr="00435554">
        <w:rPr>
          <w:rFonts w:hint="eastAsia"/>
          <w:sz w:val="24"/>
        </w:rPr>
        <w:t>/</w:t>
      </w:r>
      <w:r w:rsidRPr="00435554">
        <w:rPr>
          <w:rFonts w:hint="eastAsia"/>
          <w:i/>
          <w:iCs/>
          <w:sz w:val="24"/>
        </w:rPr>
        <w:t>W</w:t>
      </w:r>
      <w:r w:rsidRPr="00435554">
        <w:rPr>
          <w:rFonts w:hint="eastAsia"/>
          <w:sz w:val="24"/>
        </w:rPr>
        <w:t>×</w:t>
      </w:r>
      <w:r w:rsidRPr="00435554">
        <w:rPr>
          <w:rFonts w:hint="eastAsia"/>
          <w:sz w:val="24"/>
        </w:rPr>
        <w:t>100%</w:t>
      </w:r>
    </w:p>
    <w:p w14:paraId="5D0D8122" w14:textId="7C3B4D0B" w:rsidR="00400E98" w:rsidRPr="00435554" w:rsidRDefault="00400E98" w:rsidP="00400E98">
      <w:pPr>
        <w:spacing w:line="360" w:lineRule="auto"/>
        <w:ind w:firstLineChars="200" w:firstLine="480"/>
        <w:rPr>
          <w:sz w:val="24"/>
        </w:rPr>
      </w:pPr>
      <w:r w:rsidRPr="00435554">
        <w:rPr>
          <w:rFonts w:hint="eastAsia"/>
          <w:sz w:val="24"/>
        </w:rPr>
        <w:t>肥满度</w:t>
      </w:r>
      <w:r w:rsidRPr="00435554">
        <w:rPr>
          <w:rFonts w:hint="eastAsia"/>
          <w:sz w:val="24"/>
        </w:rPr>
        <w:t xml:space="preserve"> (</w:t>
      </w:r>
      <w:proofErr w:type="spellStart"/>
      <w:r w:rsidRPr="00435554">
        <w:rPr>
          <w:rFonts w:hint="eastAsia"/>
          <w:sz w:val="24"/>
        </w:rPr>
        <w:t>CF,g</w:t>
      </w:r>
      <w:proofErr w:type="spellEnd"/>
      <w:r w:rsidRPr="00435554">
        <w:rPr>
          <w:rFonts w:hint="eastAsia"/>
          <w:sz w:val="24"/>
        </w:rPr>
        <w:t>/cm</w:t>
      </w:r>
      <w:r w:rsidRPr="00435554">
        <w:rPr>
          <w:rFonts w:hint="eastAsia"/>
          <w:sz w:val="24"/>
          <w:vertAlign w:val="superscript"/>
        </w:rPr>
        <w:t>3</w:t>
      </w:r>
      <w:r w:rsidRPr="00435554">
        <w:rPr>
          <w:rFonts w:hint="eastAsia"/>
          <w:sz w:val="24"/>
        </w:rPr>
        <w:t>)=W/L</w:t>
      </w:r>
      <w:r w:rsidRPr="00435554">
        <w:rPr>
          <w:rFonts w:hint="eastAsia"/>
          <w:sz w:val="24"/>
          <w:vertAlign w:val="superscript"/>
        </w:rPr>
        <w:t>3</w:t>
      </w:r>
      <w:r w:rsidRPr="00435554">
        <w:rPr>
          <w:rFonts w:hint="eastAsia"/>
          <w:sz w:val="24"/>
        </w:rPr>
        <w:t>×</w:t>
      </w:r>
      <w:r w:rsidRPr="00435554">
        <w:rPr>
          <w:rFonts w:hint="eastAsia"/>
          <w:sz w:val="24"/>
        </w:rPr>
        <w:t>100</w:t>
      </w:r>
    </w:p>
    <w:p w14:paraId="6A1FCD9D" w14:textId="630A23B3" w:rsidR="00400E98" w:rsidRPr="00435554" w:rsidRDefault="00400E98" w:rsidP="00400E98">
      <w:pPr>
        <w:spacing w:line="360" w:lineRule="auto"/>
        <w:ind w:firstLineChars="200" w:firstLine="480"/>
        <w:rPr>
          <w:sz w:val="24"/>
        </w:rPr>
      </w:pPr>
      <w:r w:rsidRPr="00435554">
        <w:rPr>
          <w:rFonts w:hint="eastAsia"/>
          <w:sz w:val="24"/>
        </w:rPr>
        <w:t>蛋白效率</w:t>
      </w:r>
      <w:r w:rsidRPr="00435554">
        <w:rPr>
          <w:sz w:val="24"/>
        </w:rPr>
        <w:t xml:space="preserve"> (PER,%)=(</w:t>
      </w:r>
      <w:r w:rsidRPr="00435554">
        <w:rPr>
          <w:i/>
          <w:iCs/>
          <w:sz w:val="24"/>
        </w:rPr>
        <w:t>W</w:t>
      </w:r>
      <w:r w:rsidRPr="00435554">
        <w:rPr>
          <w:i/>
          <w:iCs/>
          <w:sz w:val="24"/>
          <w:vertAlign w:val="subscript"/>
        </w:rPr>
        <w:t>t</w:t>
      </w:r>
      <w:r w:rsidRPr="00435554">
        <w:rPr>
          <w:sz w:val="24"/>
        </w:rPr>
        <w:t>−</w:t>
      </w:r>
      <w:r w:rsidRPr="00435554">
        <w:rPr>
          <w:i/>
          <w:iCs/>
          <w:sz w:val="24"/>
        </w:rPr>
        <w:t>W</w:t>
      </w:r>
      <w:r w:rsidRPr="00435554">
        <w:rPr>
          <w:sz w:val="24"/>
          <w:vertAlign w:val="subscript"/>
        </w:rPr>
        <w:t>0</w:t>
      </w:r>
      <w:r w:rsidRPr="00435554">
        <w:rPr>
          <w:rFonts w:hint="eastAsia"/>
          <w:sz w:val="24"/>
        </w:rPr>
        <w:t>)/(</w:t>
      </w:r>
      <w:proofErr w:type="spellStart"/>
      <w:r w:rsidRPr="00435554">
        <w:rPr>
          <w:rFonts w:hint="eastAsia"/>
          <w:i/>
          <w:iCs/>
          <w:sz w:val="24"/>
        </w:rPr>
        <w:t>W</w:t>
      </w:r>
      <w:r w:rsidRPr="00435554">
        <w:rPr>
          <w:rFonts w:hint="eastAsia"/>
          <w:sz w:val="24"/>
          <w:vertAlign w:val="subscript"/>
        </w:rPr>
        <w:t>f</w:t>
      </w:r>
      <w:proofErr w:type="spellEnd"/>
      <w:r w:rsidRPr="00435554">
        <w:rPr>
          <w:rFonts w:hint="eastAsia"/>
          <w:sz w:val="24"/>
        </w:rPr>
        <w:t>×</w:t>
      </w:r>
      <w:r w:rsidRPr="00435554">
        <w:rPr>
          <w:rFonts w:hint="eastAsia"/>
          <w:i/>
          <w:iCs/>
          <w:sz w:val="24"/>
        </w:rPr>
        <w:t>S</w:t>
      </w:r>
      <w:r w:rsidRPr="00435554">
        <w:rPr>
          <w:rFonts w:hint="eastAsia"/>
          <w:sz w:val="24"/>
          <w:vertAlign w:val="subscript"/>
        </w:rPr>
        <w:t>0</w:t>
      </w:r>
      <w:r w:rsidRPr="00435554">
        <w:rPr>
          <w:rFonts w:hint="eastAsia"/>
          <w:sz w:val="24"/>
        </w:rPr>
        <w:t>)</w:t>
      </w:r>
      <w:r w:rsidRPr="00435554">
        <w:rPr>
          <w:rFonts w:hint="eastAsia"/>
          <w:sz w:val="24"/>
        </w:rPr>
        <w:t>×</w:t>
      </w:r>
      <w:r w:rsidRPr="00435554">
        <w:rPr>
          <w:rFonts w:hint="eastAsia"/>
          <w:sz w:val="24"/>
        </w:rPr>
        <w:t>100%</w:t>
      </w:r>
    </w:p>
    <w:p w14:paraId="611FFF30" w14:textId="5C520885" w:rsidR="00400E98" w:rsidRPr="00435554" w:rsidRDefault="00400E98" w:rsidP="007B1708">
      <w:pPr>
        <w:spacing w:line="360" w:lineRule="auto"/>
        <w:ind w:firstLineChars="200" w:firstLine="480"/>
        <w:rPr>
          <w:sz w:val="24"/>
        </w:rPr>
      </w:pPr>
      <w:r w:rsidRPr="00435554">
        <w:rPr>
          <w:rFonts w:hint="eastAsia"/>
          <w:sz w:val="24"/>
        </w:rPr>
        <w:t>式中，</w:t>
      </w:r>
      <w:proofErr w:type="spellStart"/>
      <w:r w:rsidRPr="00435554">
        <w:rPr>
          <w:rFonts w:hint="eastAsia"/>
          <w:i/>
          <w:iCs/>
          <w:sz w:val="24"/>
        </w:rPr>
        <w:t>N</w:t>
      </w:r>
      <w:r w:rsidRPr="00435554">
        <w:rPr>
          <w:rFonts w:hint="eastAsia"/>
          <w:i/>
          <w:iCs/>
          <w:sz w:val="24"/>
          <w:vertAlign w:val="subscript"/>
        </w:rPr>
        <w:t>t</w:t>
      </w:r>
      <w:proofErr w:type="spellEnd"/>
      <w:r w:rsidRPr="00435554">
        <w:rPr>
          <w:rFonts w:hint="eastAsia"/>
          <w:sz w:val="24"/>
          <w:vertAlign w:val="subscript"/>
        </w:rPr>
        <w:t xml:space="preserve"> </w:t>
      </w:r>
      <w:r w:rsidRPr="00435554">
        <w:rPr>
          <w:rFonts w:hint="eastAsia"/>
          <w:sz w:val="24"/>
        </w:rPr>
        <w:t>为终末尾数，</w:t>
      </w:r>
      <w:r w:rsidRPr="00435554">
        <w:rPr>
          <w:rFonts w:hint="eastAsia"/>
          <w:i/>
          <w:iCs/>
          <w:sz w:val="24"/>
        </w:rPr>
        <w:t>N</w:t>
      </w:r>
      <w:r w:rsidRPr="00435554">
        <w:rPr>
          <w:rFonts w:hint="eastAsia"/>
          <w:sz w:val="24"/>
          <w:vertAlign w:val="subscript"/>
        </w:rPr>
        <w:t xml:space="preserve">0 </w:t>
      </w:r>
      <w:r w:rsidRPr="00435554">
        <w:rPr>
          <w:rFonts w:hint="eastAsia"/>
          <w:sz w:val="24"/>
        </w:rPr>
        <w:t>为初始尾数，</w:t>
      </w:r>
      <w:proofErr w:type="spellStart"/>
      <w:r w:rsidRPr="00435554">
        <w:rPr>
          <w:i/>
          <w:iCs/>
          <w:sz w:val="24"/>
        </w:rPr>
        <w:t>W</w:t>
      </w:r>
      <w:r w:rsidRPr="00435554">
        <w:rPr>
          <w:i/>
          <w:iCs/>
          <w:sz w:val="24"/>
          <w:vertAlign w:val="subscript"/>
        </w:rPr>
        <w:t>t</w:t>
      </w:r>
      <w:proofErr w:type="spellEnd"/>
      <w:r w:rsidRPr="00435554">
        <w:rPr>
          <w:rFonts w:hint="eastAsia"/>
          <w:sz w:val="24"/>
        </w:rPr>
        <w:t xml:space="preserve"> </w:t>
      </w:r>
      <w:r w:rsidRPr="00435554">
        <w:rPr>
          <w:rFonts w:hint="eastAsia"/>
          <w:sz w:val="24"/>
        </w:rPr>
        <w:t>为终末体重</w:t>
      </w:r>
      <w:r w:rsidRPr="00435554">
        <w:rPr>
          <w:rFonts w:hint="eastAsia"/>
          <w:sz w:val="24"/>
        </w:rPr>
        <w:t xml:space="preserve"> (g)</w:t>
      </w:r>
      <w:r w:rsidRPr="00435554">
        <w:rPr>
          <w:rFonts w:hint="eastAsia"/>
          <w:sz w:val="24"/>
        </w:rPr>
        <w:t>，</w:t>
      </w:r>
      <w:r w:rsidRPr="00435554">
        <w:rPr>
          <w:i/>
          <w:iCs/>
          <w:sz w:val="24"/>
        </w:rPr>
        <w:t>W</w:t>
      </w:r>
      <w:r w:rsidRPr="00435554">
        <w:rPr>
          <w:sz w:val="24"/>
          <w:vertAlign w:val="subscript"/>
        </w:rPr>
        <w:t>0</w:t>
      </w:r>
      <w:r w:rsidRPr="00435554">
        <w:rPr>
          <w:rFonts w:hint="eastAsia"/>
          <w:sz w:val="24"/>
        </w:rPr>
        <w:t xml:space="preserve"> </w:t>
      </w:r>
      <w:r w:rsidRPr="00435554">
        <w:rPr>
          <w:rFonts w:hint="eastAsia"/>
          <w:sz w:val="24"/>
        </w:rPr>
        <w:t>为初始体重</w:t>
      </w:r>
      <w:r w:rsidRPr="00435554">
        <w:rPr>
          <w:rFonts w:hint="eastAsia"/>
          <w:sz w:val="24"/>
        </w:rPr>
        <w:t xml:space="preserve"> (g)</w:t>
      </w:r>
      <w:r w:rsidRPr="00435554">
        <w:rPr>
          <w:rFonts w:hint="eastAsia"/>
          <w:sz w:val="24"/>
        </w:rPr>
        <w:t>，</w:t>
      </w:r>
      <w:proofErr w:type="spellStart"/>
      <w:r w:rsidRPr="00435554">
        <w:rPr>
          <w:rFonts w:hint="eastAsia"/>
          <w:i/>
          <w:iCs/>
          <w:sz w:val="24"/>
        </w:rPr>
        <w:t>W</w:t>
      </w:r>
      <w:r w:rsidRPr="00435554">
        <w:rPr>
          <w:rFonts w:hint="eastAsia"/>
          <w:sz w:val="24"/>
          <w:vertAlign w:val="subscript"/>
        </w:rPr>
        <w:t>f</w:t>
      </w:r>
      <w:proofErr w:type="spellEnd"/>
      <w:r w:rsidRPr="00435554">
        <w:rPr>
          <w:rFonts w:hint="eastAsia"/>
          <w:sz w:val="24"/>
        </w:rPr>
        <w:t>为摄入饲料量</w:t>
      </w:r>
      <w:r w:rsidRPr="00435554">
        <w:rPr>
          <w:rFonts w:hint="eastAsia"/>
          <w:sz w:val="24"/>
        </w:rPr>
        <w:t>(g)</w:t>
      </w:r>
      <w:r w:rsidRPr="00435554">
        <w:rPr>
          <w:rFonts w:hint="eastAsia"/>
          <w:sz w:val="24"/>
        </w:rPr>
        <w:t>，</w:t>
      </w:r>
      <w:proofErr w:type="spellStart"/>
      <w:r w:rsidRPr="00435554">
        <w:rPr>
          <w:rFonts w:hint="eastAsia"/>
          <w:i/>
          <w:iCs/>
          <w:sz w:val="24"/>
        </w:rPr>
        <w:t>W</w:t>
      </w:r>
      <w:r w:rsidRPr="00435554">
        <w:rPr>
          <w:rFonts w:hint="eastAsia"/>
          <w:sz w:val="24"/>
          <w:vertAlign w:val="subscript"/>
        </w:rPr>
        <w:t>h</w:t>
      </w:r>
      <w:proofErr w:type="spellEnd"/>
      <w:r w:rsidRPr="00435554">
        <w:rPr>
          <w:rFonts w:hint="eastAsia"/>
          <w:sz w:val="24"/>
        </w:rPr>
        <w:t xml:space="preserve"> </w:t>
      </w:r>
      <w:r w:rsidRPr="00435554">
        <w:rPr>
          <w:rFonts w:hint="eastAsia"/>
          <w:sz w:val="24"/>
        </w:rPr>
        <w:t>为鱼肝脏重</w:t>
      </w:r>
      <w:r w:rsidRPr="00435554">
        <w:rPr>
          <w:rFonts w:hint="eastAsia"/>
          <w:sz w:val="24"/>
        </w:rPr>
        <w:t xml:space="preserve"> (g)</w:t>
      </w:r>
      <w:r w:rsidRPr="00435554">
        <w:rPr>
          <w:rFonts w:hint="eastAsia"/>
          <w:sz w:val="24"/>
        </w:rPr>
        <w:t>，</w:t>
      </w:r>
      <w:r w:rsidRPr="00435554">
        <w:rPr>
          <w:rFonts w:hint="eastAsia"/>
          <w:i/>
          <w:iCs/>
          <w:sz w:val="24"/>
        </w:rPr>
        <w:t>W</w:t>
      </w:r>
      <w:r w:rsidRPr="00435554">
        <w:rPr>
          <w:rFonts w:hint="eastAsia"/>
          <w:sz w:val="24"/>
        </w:rPr>
        <w:t xml:space="preserve"> </w:t>
      </w:r>
      <w:r w:rsidRPr="00435554">
        <w:rPr>
          <w:rFonts w:hint="eastAsia"/>
          <w:sz w:val="24"/>
        </w:rPr>
        <w:t>为鱼体重</w:t>
      </w:r>
      <w:r w:rsidRPr="00435554">
        <w:rPr>
          <w:rFonts w:hint="eastAsia"/>
          <w:sz w:val="24"/>
        </w:rPr>
        <w:t xml:space="preserve"> (g)</w:t>
      </w:r>
      <w:r w:rsidRPr="00435554">
        <w:rPr>
          <w:rFonts w:hint="eastAsia"/>
          <w:sz w:val="24"/>
        </w:rPr>
        <w:t>，</w:t>
      </w:r>
      <w:r w:rsidRPr="00435554">
        <w:rPr>
          <w:rFonts w:hint="eastAsia"/>
          <w:i/>
          <w:iCs/>
          <w:sz w:val="24"/>
        </w:rPr>
        <w:t>L</w:t>
      </w:r>
      <w:r w:rsidRPr="00435554">
        <w:rPr>
          <w:rFonts w:hint="eastAsia"/>
          <w:sz w:val="24"/>
        </w:rPr>
        <w:t xml:space="preserve"> </w:t>
      </w:r>
      <w:r w:rsidRPr="00435554">
        <w:rPr>
          <w:rFonts w:hint="eastAsia"/>
          <w:sz w:val="24"/>
        </w:rPr>
        <w:t>为鱼体长</w:t>
      </w:r>
      <w:r w:rsidRPr="00435554">
        <w:rPr>
          <w:rFonts w:hint="eastAsia"/>
          <w:sz w:val="24"/>
        </w:rPr>
        <w:t xml:space="preserve"> (cm)</w:t>
      </w:r>
      <w:r w:rsidRPr="00435554">
        <w:rPr>
          <w:rFonts w:hint="eastAsia"/>
          <w:sz w:val="24"/>
        </w:rPr>
        <w:t>，</w:t>
      </w:r>
      <w:r w:rsidRPr="00435554">
        <w:rPr>
          <w:rFonts w:hint="eastAsia"/>
          <w:i/>
          <w:iCs/>
          <w:sz w:val="24"/>
        </w:rPr>
        <w:t>t</w:t>
      </w:r>
      <w:r w:rsidRPr="00435554">
        <w:rPr>
          <w:rFonts w:hint="eastAsia"/>
          <w:sz w:val="24"/>
        </w:rPr>
        <w:t xml:space="preserve"> </w:t>
      </w:r>
      <w:r w:rsidRPr="00435554">
        <w:rPr>
          <w:rFonts w:hint="eastAsia"/>
          <w:sz w:val="24"/>
        </w:rPr>
        <w:t>为养殖天数</w:t>
      </w:r>
      <w:r w:rsidRPr="00435554">
        <w:rPr>
          <w:rFonts w:hint="eastAsia"/>
          <w:sz w:val="24"/>
        </w:rPr>
        <w:t xml:space="preserve"> (d)</w:t>
      </w:r>
      <w:r w:rsidRPr="00435554">
        <w:rPr>
          <w:rFonts w:hint="eastAsia"/>
          <w:sz w:val="24"/>
        </w:rPr>
        <w:t>，</w:t>
      </w:r>
      <w:r w:rsidRPr="00435554">
        <w:rPr>
          <w:rFonts w:hint="eastAsia"/>
          <w:i/>
          <w:iCs/>
          <w:sz w:val="24"/>
        </w:rPr>
        <w:t>S</w:t>
      </w:r>
      <w:r w:rsidRPr="00435554">
        <w:rPr>
          <w:rFonts w:hint="eastAsia"/>
          <w:sz w:val="24"/>
          <w:vertAlign w:val="subscript"/>
        </w:rPr>
        <w:t>0</w:t>
      </w:r>
      <w:r w:rsidRPr="00435554">
        <w:rPr>
          <w:rFonts w:hint="eastAsia"/>
          <w:sz w:val="24"/>
        </w:rPr>
        <w:t>为饲料粗蛋白含量</w:t>
      </w:r>
      <w:r w:rsidRPr="00435554">
        <w:rPr>
          <w:rFonts w:hint="eastAsia"/>
          <w:sz w:val="24"/>
        </w:rPr>
        <w:t xml:space="preserve"> (%)</w:t>
      </w:r>
      <w:r w:rsidRPr="00435554">
        <w:rPr>
          <w:rFonts w:hint="eastAsia"/>
          <w:sz w:val="24"/>
        </w:rPr>
        <w:t>。</w:t>
      </w:r>
    </w:p>
    <w:p w14:paraId="238DB7A5" w14:textId="77777777" w:rsidR="00400E98" w:rsidRPr="00435554" w:rsidRDefault="00400E98" w:rsidP="00400E98">
      <w:pPr>
        <w:spacing w:line="360" w:lineRule="auto"/>
        <w:rPr>
          <w:sz w:val="24"/>
        </w:rPr>
      </w:pPr>
      <w:r>
        <w:rPr>
          <w:rFonts w:hint="eastAsia"/>
          <w:sz w:val="24"/>
        </w:rPr>
        <w:t>2</w:t>
      </w:r>
      <w:r w:rsidRPr="00435554">
        <w:rPr>
          <w:rFonts w:hint="eastAsia"/>
          <w:sz w:val="24"/>
        </w:rPr>
        <w:t>结果</w:t>
      </w:r>
    </w:p>
    <w:p w14:paraId="0ECAFB4D" w14:textId="77777777" w:rsidR="00400E98" w:rsidRPr="00435554" w:rsidRDefault="00400E98" w:rsidP="00400E98">
      <w:pPr>
        <w:spacing w:line="360" w:lineRule="auto"/>
        <w:rPr>
          <w:sz w:val="24"/>
        </w:rPr>
      </w:pPr>
      <w:r w:rsidRPr="00435554">
        <w:rPr>
          <w:rFonts w:hint="eastAsia"/>
          <w:sz w:val="24"/>
        </w:rPr>
        <w:t>2.</w:t>
      </w:r>
      <w:r>
        <w:rPr>
          <w:rFonts w:hint="eastAsia"/>
          <w:sz w:val="24"/>
        </w:rPr>
        <w:t>1</w:t>
      </w:r>
      <w:r w:rsidRPr="00435554">
        <w:rPr>
          <w:rFonts w:hint="eastAsia"/>
          <w:sz w:val="24"/>
        </w:rPr>
        <w:t>饲料中添加白藜芦醇对大口黑鲈生长性能、血液健康、抗氧化酶活性、炎症及细胞凋亡的影响</w:t>
      </w:r>
    </w:p>
    <w:p w14:paraId="1C1781F5" w14:textId="77777777" w:rsidR="00400E98" w:rsidRDefault="00400E98" w:rsidP="00400E98">
      <w:pPr>
        <w:spacing w:line="360" w:lineRule="auto"/>
        <w:ind w:firstLineChars="200" w:firstLine="480"/>
        <w:rPr>
          <w:sz w:val="24"/>
        </w:rPr>
      </w:pPr>
      <w:r w:rsidRPr="00435554">
        <w:rPr>
          <w:rFonts w:hint="eastAsia"/>
          <w:sz w:val="24"/>
        </w:rPr>
        <w:t>各实验组间存活率</w:t>
      </w:r>
      <w:r w:rsidRPr="00435554">
        <w:rPr>
          <w:rFonts w:hint="eastAsia"/>
          <w:sz w:val="24"/>
        </w:rPr>
        <w:t xml:space="preserve"> (100%) </w:t>
      </w:r>
      <w:r w:rsidRPr="00435554">
        <w:rPr>
          <w:rFonts w:hint="eastAsia"/>
          <w:sz w:val="24"/>
        </w:rPr>
        <w:t>无显著性差异</w:t>
      </w:r>
      <w:r w:rsidRPr="00435554">
        <w:rPr>
          <w:rFonts w:hint="eastAsia"/>
          <w:sz w:val="24"/>
        </w:rPr>
        <w:t>(</w:t>
      </w:r>
      <w:r w:rsidRPr="00435554">
        <w:rPr>
          <w:rFonts w:hint="eastAsia"/>
          <w:sz w:val="24"/>
        </w:rPr>
        <w:t>表</w:t>
      </w:r>
      <w:r w:rsidRPr="00435554">
        <w:rPr>
          <w:rFonts w:hint="eastAsia"/>
          <w:sz w:val="24"/>
        </w:rPr>
        <w:t>3)</w:t>
      </w:r>
      <w:r w:rsidRPr="00435554">
        <w:rPr>
          <w:rFonts w:hint="eastAsia"/>
          <w:sz w:val="24"/>
        </w:rPr>
        <w:t>；饲料中添加白藜芦醇显著提高了实验鱼</w:t>
      </w:r>
      <w:r w:rsidRPr="002C095B">
        <w:rPr>
          <w:rFonts w:hint="eastAsia"/>
          <w:sz w:val="24"/>
        </w:rPr>
        <w:t>的终末体重、增重率、特定生长率、蛋白质效率和摄食量</w:t>
      </w:r>
      <w:r w:rsidRPr="002C095B">
        <w:rPr>
          <w:sz w:val="24"/>
        </w:rPr>
        <w:t>(</w:t>
      </w:r>
      <w:r w:rsidRPr="002C095B">
        <w:rPr>
          <w:i/>
          <w:iCs/>
          <w:sz w:val="24"/>
        </w:rPr>
        <w:t>P</w:t>
      </w:r>
      <w:r w:rsidRPr="002C095B">
        <w:rPr>
          <w:sz w:val="24"/>
        </w:rPr>
        <w:t>&lt;0.05)</w:t>
      </w:r>
      <w:r w:rsidRPr="002C095B">
        <w:rPr>
          <w:rFonts w:hint="eastAsia"/>
          <w:sz w:val="24"/>
        </w:rPr>
        <w:t>，饲料中添加</w:t>
      </w:r>
      <w:r w:rsidRPr="002C095B">
        <w:rPr>
          <w:sz w:val="24"/>
        </w:rPr>
        <w:t>0.50%</w:t>
      </w:r>
      <w:r>
        <w:rPr>
          <w:rFonts w:hint="eastAsia"/>
          <w:sz w:val="24"/>
        </w:rPr>
        <w:t xml:space="preserve"> </w:t>
      </w:r>
      <w:r w:rsidRPr="002C095B">
        <w:rPr>
          <w:rFonts w:hint="eastAsia"/>
          <w:sz w:val="24"/>
        </w:rPr>
        <w:t>和</w:t>
      </w:r>
      <w:r w:rsidRPr="002C095B">
        <w:rPr>
          <w:sz w:val="24"/>
        </w:rPr>
        <w:t>1.00%</w:t>
      </w:r>
      <w:r w:rsidRPr="002C095B">
        <w:rPr>
          <w:rFonts w:hint="eastAsia"/>
          <w:sz w:val="24"/>
        </w:rPr>
        <w:t>白藜芦醇无显著性差异</w:t>
      </w:r>
      <w:r w:rsidRPr="002C095B">
        <w:rPr>
          <w:sz w:val="24"/>
        </w:rPr>
        <w:t>(</w:t>
      </w:r>
      <w:r w:rsidRPr="002C095B">
        <w:rPr>
          <w:i/>
          <w:iCs/>
          <w:sz w:val="24"/>
        </w:rPr>
        <w:t>P</w:t>
      </w:r>
      <w:r w:rsidRPr="002C095B">
        <w:rPr>
          <w:sz w:val="24"/>
        </w:rPr>
        <w:t>&gt;0.05)</w:t>
      </w:r>
      <w:r w:rsidRPr="002C095B">
        <w:rPr>
          <w:rFonts w:hint="eastAsia"/>
          <w:sz w:val="24"/>
        </w:rPr>
        <w:t>；相反，对照组实验鱼的饲料系数显著高于</w:t>
      </w:r>
      <w:r w:rsidRPr="002C095B">
        <w:rPr>
          <w:sz w:val="24"/>
        </w:rPr>
        <w:t xml:space="preserve">0.50% </w:t>
      </w:r>
      <w:r w:rsidRPr="002C095B">
        <w:rPr>
          <w:rFonts w:hint="eastAsia"/>
          <w:sz w:val="24"/>
        </w:rPr>
        <w:t>和</w:t>
      </w:r>
      <w:r w:rsidRPr="002C095B">
        <w:rPr>
          <w:sz w:val="24"/>
        </w:rPr>
        <w:t xml:space="preserve">1.00% </w:t>
      </w:r>
      <w:r w:rsidRPr="002C095B">
        <w:rPr>
          <w:rFonts w:hint="eastAsia"/>
          <w:sz w:val="24"/>
        </w:rPr>
        <w:t>白藜芦醇组</w:t>
      </w:r>
      <w:r w:rsidRPr="002C095B">
        <w:rPr>
          <w:sz w:val="24"/>
        </w:rPr>
        <w:t>(</w:t>
      </w:r>
      <w:r w:rsidRPr="002C095B">
        <w:rPr>
          <w:i/>
          <w:iCs/>
          <w:sz w:val="24"/>
        </w:rPr>
        <w:t>P</w:t>
      </w:r>
      <w:r w:rsidRPr="002C095B">
        <w:rPr>
          <w:sz w:val="24"/>
        </w:rPr>
        <w:t>&lt;0.05)</w:t>
      </w:r>
      <w:r w:rsidRPr="002C095B">
        <w:rPr>
          <w:rFonts w:hint="eastAsia"/>
          <w:sz w:val="24"/>
        </w:rPr>
        <w:t>；饲料中添加白藜芦醇对实验鱼的肝体指数和肥满度无显著性影响</w:t>
      </w:r>
      <w:r w:rsidRPr="002C095B">
        <w:rPr>
          <w:rFonts w:hint="eastAsia"/>
          <w:sz w:val="24"/>
        </w:rPr>
        <w:t>(</w:t>
      </w:r>
      <w:r w:rsidRPr="002C095B">
        <w:rPr>
          <w:rFonts w:hint="eastAsia"/>
          <w:i/>
          <w:iCs/>
          <w:sz w:val="24"/>
        </w:rPr>
        <w:t>P</w:t>
      </w:r>
      <w:r w:rsidRPr="002C095B">
        <w:rPr>
          <w:rFonts w:hint="eastAsia"/>
          <w:sz w:val="24"/>
        </w:rPr>
        <w:t>&gt;0.05)</w:t>
      </w:r>
      <w:r w:rsidRPr="002C095B">
        <w:rPr>
          <w:rFonts w:hint="eastAsia"/>
          <w:sz w:val="24"/>
        </w:rPr>
        <w:t>。</w:t>
      </w:r>
    </w:p>
    <w:p w14:paraId="4CE14455" w14:textId="77777777" w:rsidR="00400E98" w:rsidRDefault="00400E98" w:rsidP="007B1708">
      <w:pPr>
        <w:spacing w:line="360" w:lineRule="auto"/>
        <w:jc w:val="center"/>
        <w:rPr>
          <w:sz w:val="24"/>
        </w:rPr>
      </w:pPr>
      <w:r w:rsidRPr="002C095B">
        <w:rPr>
          <w:noProof/>
          <w:sz w:val="24"/>
        </w:rPr>
        <w:drawing>
          <wp:inline distT="0" distB="0" distL="0" distR="0" wp14:anchorId="3A6B22BB" wp14:editId="380E9F96">
            <wp:extent cx="3067370" cy="3757613"/>
            <wp:effectExtent l="0" t="0" r="0" b="0"/>
            <wp:docPr id="37932282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2829" name="图片 1" descr="表格&#10;&#10;AI 生成的内容可能不正确。"/>
                    <pic:cNvPicPr/>
                  </pic:nvPicPr>
                  <pic:blipFill>
                    <a:blip r:embed="rId37"/>
                    <a:stretch>
                      <a:fillRect/>
                    </a:stretch>
                  </pic:blipFill>
                  <pic:spPr>
                    <a:xfrm>
                      <a:off x="0" y="0"/>
                      <a:ext cx="3080465" cy="3773655"/>
                    </a:xfrm>
                    <a:prstGeom prst="rect">
                      <a:avLst/>
                    </a:prstGeom>
                  </pic:spPr>
                </pic:pic>
              </a:graphicData>
            </a:graphic>
          </wp:inline>
        </w:drawing>
      </w:r>
    </w:p>
    <w:p w14:paraId="790750C9" w14:textId="77777777" w:rsidR="00400E98" w:rsidRPr="002C095B" w:rsidRDefault="00400E98" w:rsidP="00400E98">
      <w:pPr>
        <w:spacing w:line="360" w:lineRule="auto"/>
        <w:ind w:firstLineChars="200" w:firstLine="480"/>
        <w:rPr>
          <w:sz w:val="24"/>
        </w:rPr>
      </w:pPr>
      <w:r w:rsidRPr="002C095B">
        <w:rPr>
          <w:rFonts w:hint="eastAsia"/>
          <w:sz w:val="24"/>
        </w:rPr>
        <w:lastRenderedPageBreak/>
        <w:t>饲料中添加白藜芦醇显著提高了实验鱼全鱼粗蛋白和粗灰分含量</w:t>
      </w:r>
      <w:r w:rsidRPr="002C095B">
        <w:rPr>
          <w:sz w:val="24"/>
        </w:rPr>
        <w:t>(</w:t>
      </w:r>
      <w:r w:rsidRPr="002C095B">
        <w:rPr>
          <w:i/>
          <w:iCs/>
          <w:sz w:val="24"/>
        </w:rPr>
        <w:t>P</w:t>
      </w:r>
      <w:r w:rsidRPr="002C095B">
        <w:rPr>
          <w:sz w:val="24"/>
        </w:rPr>
        <w:t>&lt;0.05)(</w:t>
      </w:r>
      <w:r w:rsidRPr="002C095B">
        <w:rPr>
          <w:rFonts w:hint="eastAsia"/>
          <w:sz w:val="24"/>
        </w:rPr>
        <w:t>表</w:t>
      </w:r>
      <w:r w:rsidRPr="002C095B">
        <w:rPr>
          <w:sz w:val="24"/>
        </w:rPr>
        <w:t>4)</w:t>
      </w:r>
      <w:r w:rsidRPr="002C095B">
        <w:rPr>
          <w:rFonts w:hint="eastAsia"/>
          <w:sz w:val="24"/>
        </w:rPr>
        <w:t>；与对照组相比，</w:t>
      </w:r>
      <w:r w:rsidRPr="002C095B">
        <w:rPr>
          <w:sz w:val="24"/>
        </w:rPr>
        <w:t xml:space="preserve">0.50% </w:t>
      </w:r>
      <w:r w:rsidRPr="002C095B">
        <w:rPr>
          <w:rFonts w:hint="eastAsia"/>
          <w:sz w:val="24"/>
        </w:rPr>
        <w:t>和</w:t>
      </w:r>
      <w:r w:rsidRPr="002C095B">
        <w:rPr>
          <w:sz w:val="24"/>
        </w:rPr>
        <w:t xml:space="preserve">1.00% </w:t>
      </w:r>
      <w:r w:rsidRPr="002C095B">
        <w:rPr>
          <w:rFonts w:hint="eastAsia"/>
          <w:sz w:val="24"/>
        </w:rPr>
        <w:t>白藜芦醇显著降低了全鱼粗脂肪含量</w:t>
      </w:r>
      <w:r w:rsidRPr="002C095B">
        <w:rPr>
          <w:sz w:val="24"/>
        </w:rPr>
        <w:t>(</w:t>
      </w:r>
      <w:r w:rsidRPr="002C095B">
        <w:rPr>
          <w:i/>
          <w:iCs/>
          <w:sz w:val="24"/>
        </w:rPr>
        <w:t>P</w:t>
      </w:r>
      <w:r w:rsidRPr="002C095B">
        <w:rPr>
          <w:sz w:val="24"/>
        </w:rPr>
        <w:t>&lt;0.05)</w:t>
      </w:r>
      <w:r w:rsidRPr="002C095B">
        <w:rPr>
          <w:rFonts w:hint="eastAsia"/>
          <w:sz w:val="24"/>
        </w:rPr>
        <w:t>；摄食富含白藜芦醇的饲料并没有影响全鱼水分含量</w:t>
      </w:r>
      <w:r w:rsidRPr="002C095B">
        <w:rPr>
          <w:sz w:val="24"/>
        </w:rPr>
        <w:t>(</w:t>
      </w:r>
      <w:r w:rsidRPr="002C095B">
        <w:rPr>
          <w:i/>
          <w:iCs/>
          <w:sz w:val="24"/>
        </w:rPr>
        <w:t>P</w:t>
      </w:r>
      <w:r w:rsidRPr="002C095B">
        <w:rPr>
          <w:sz w:val="24"/>
        </w:rPr>
        <w:t>&gt;0.05)</w:t>
      </w:r>
      <w:r w:rsidRPr="002C095B">
        <w:rPr>
          <w:rFonts w:hint="eastAsia"/>
          <w:sz w:val="24"/>
        </w:rPr>
        <w:t>。</w:t>
      </w:r>
    </w:p>
    <w:p w14:paraId="28B31C0B" w14:textId="77777777" w:rsidR="00400E98" w:rsidRPr="002C095B" w:rsidRDefault="00400E98" w:rsidP="00400E98">
      <w:pPr>
        <w:spacing w:line="360" w:lineRule="auto"/>
        <w:ind w:firstLineChars="200" w:firstLine="480"/>
        <w:rPr>
          <w:sz w:val="24"/>
        </w:rPr>
      </w:pPr>
      <w:r w:rsidRPr="002C095B">
        <w:rPr>
          <w:rFonts w:hint="eastAsia"/>
          <w:sz w:val="24"/>
        </w:rPr>
        <w:t>饲料中添加白藜芦醇显著提高了实验鱼血清</w:t>
      </w:r>
      <w:r w:rsidRPr="002C095B">
        <w:rPr>
          <w:sz w:val="24"/>
        </w:rPr>
        <w:t xml:space="preserve"> TP</w:t>
      </w:r>
      <w:r w:rsidRPr="002C095B">
        <w:rPr>
          <w:rFonts w:hint="eastAsia"/>
          <w:sz w:val="24"/>
        </w:rPr>
        <w:t>、</w:t>
      </w:r>
      <w:r w:rsidRPr="002C095B">
        <w:rPr>
          <w:sz w:val="24"/>
        </w:rPr>
        <w:t xml:space="preserve">ALB </w:t>
      </w:r>
      <w:r w:rsidRPr="002C095B">
        <w:rPr>
          <w:rFonts w:hint="eastAsia"/>
          <w:sz w:val="24"/>
        </w:rPr>
        <w:t>及</w:t>
      </w:r>
      <w:r w:rsidRPr="002C095B">
        <w:rPr>
          <w:sz w:val="24"/>
        </w:rPr>
        <w:t xml:space="preserve">GLB </w:t>
      </w:r>
      <w:r w:rsidRPr="002C095B">
        <w:rPr>
          <w:rFonts w:hint="eastAsia"/>
          <w:sz w:val="24"/>
        </w:rPr>
        <w:t>的含量，</w:t>
      </w:r>
      <w:r w:rsidRPr="002C095B">
        <w:rPr>
          <w:sz w:val="24"/>
        </w:rPr>
        <w:t xml:space="preserve">1.00% </w:t>
      </w:r>
      <w:r w:rsidRPr="002C095B">
        <w:rPr>
          <w:rFonts w:hint="eastAsia"/>
          <w:sz w:val="24"/>
        </w:rPr>
        <w:t>白藜芦醇组最高</w:t>
      </w:r>
      <w:r w:rsidRPr="002C095B">
        <w:rPr>
          <w:sz w:val="24"/>
        </w:rPr>
        <w:t>(</w:t>
      </w:r>
      <w:r w:rsidRPr="002C095B">
        <w:rPr>
          <w:i/>
          <w:iCs/>
          <w:sz w:val="24"/>
        </w:rPr>
        <w:t>P</w:t>
      </w:r>
      <w:r w:rsidRPr="002C095B">
        <w:rPr>
          <w:sz w:val="24"/>
        </w:rPr>
        <w:t>&lt;0.05)(</w:t>
      </w:r>
      <w:r w:rsidRPr="002C095B">
        <w:rPr>
          <w:rFonts w:hint="eastAsia"/>
          <w:sz w:val="24"/>
        </w:rPr>
        <w:t>表</w:t>
      </w:r>
      <w:r w:rsidRPr="002C095B">
        <w:rPr>
          <w:sz w:val="24"/>
        </w:rPr>
        <w:t>5)</w:t>
      </w:r>
      <w:r w:rsidRPr="002C095B">
        <w:rPr>
          <w:rFonts w:hint="eastAsia"/>
          <w:sz w:val="24"/>
        </w:rPr>
        <w:t>；摄食富含白藜芦醇</w:t>
      </w:r>
      <w:r w:rsidRPr="002C095B">
        <w:rPr>
          <w:sz w:val="24"/>
        </w:rPr>
        <w:t xml:space="preserve">(0.05% </w:t>
      </w:r>
      <w:r w:rsidRPr="002C095B">
        <w:rPr>
          <w:rFonts w:hint="eastAsia"/>
          <w:sz w:val="24"/>
        </w:rPr>
        <w:t>和</w:t>
      </w:r>
      <w:r w:rsidRPr="002C095B">
        <w:rPr>
          <w:sz w:val="24"/>
        </w:rPr>
        <w:t xml:space="preserve">1.00%) </w:t>
      </w:r>
      <w:r w:rsidRPr="002C095B">
        <w:rPr>
          <w:rFonts w:hint="eastAsia"/>
          <w:sz w:val="24"/>
        </w:rPr>
        <w:t>饲料的实验鱼血清</w:t>
      </w:r>
      <w:r w:rsidRPr="002C095B">
        <w:rPr>
          <w:sz w:val="24"/>
        </w:rPr>
        <w:t>TG</w:t>
      </w:r>
      <w:r w:rsidRPr="002C095B">
        <w:rPr>
          <w:rFonts w:hint="eastAsia"/>
          <w:sz w:val="24"/>
        </w:rPr>
        <w:t>、</w:t>
      </w:r>
      <w:r w:rsidRPr="002C095B">
        <w:rPr>
          <w:sz w:val="24"/>
        </w:rPr>
        <w:t>TC</w:t>
      </w:r>
      <w:r w:rsidRPr="002C095B">
        <w:rPr>
          <w:rFonts w:hint="eastAsia"/>
          <w:sz w:val="24"/>
        </w:rPr>
        <w:t>、</w:t>
      </w:r>
      <w:r w:rsidRPr="002C095B">
        <w:rPr>
          <w:sz w:val="24"/>
        </w:rPr>
        <w:t>AST</w:t>
      </w:r>
      <w:r w:rsidRPr="002C095B">
        <w:rPr>
          <w:rFonts w:hint="eastAsia"/>
          <w:sz w:val="24"/>
        </w:rPr>
        <w:t>、</w:t>
      </w:r>
      <w:r w:rsidRPr="002C095B">
        <w:rPr>
          <w:sz w:val="24"/>
        </w:rPr>
        <w:t>ALT</w:t>
      </w:r>
      <w:r w:rsidRPr="002C095B">
        <w:rPr>
          <w:rFonts w:hint="eastAsia"/>
          <w:sz w:val="24"/>
        </w:rPr>
        <w:t>活性显著低于对照组</w:t>
      </w:r>
      <w:r w:rsidRPr="002C095B">
        <w:rPr>
          <w:sz w:val="24"/>
        </w:rPr>
        <w:t>(</w:t>
      </w:r>
      <w:r w:rsidRPr="002C095B">
        <w:rPr>
          <w:i/>
          <w:iCs/>
          <w:sz w:val="24"/>
        </w:rPr>
        <w:t>P</w:t>
      </w:r>
      <w:r w:rsidRPr="002C095B">
        <w:rPr>
          <w:sz w:val="24"/>
        </w:rPr>
        <w:t>&lt;0.05)</w:t>
      </w:r>
      <w:r w:rsidRPr="002C095B">
        <w:rPr>
          <w:rFonts w:hint="eastAsia"/>
          <w:sz w:val="24"/>
        </w:rPr>
        <w:t>；饲料中添加白藜芦醇并未对实验鱼血清</w:t>
      </w:r>
      <w:r w:rsidRPr="002C095B">
        <w:rPr>
          <w:sz w:val="24"/>
        </w:rPr>
        <w:t xml:space="preserve">GLU </w:t>
      </w:r>
      <w:r w:rsidRPr="002C095B">
        <w:rPr>
          <w:rFonts w:hint="eastAsia"/>
          <w:sz w:val="24"/>
        </w:rPr>
        <w:t>含量及</w:t>
      </w:r>
      <w:r w:rsidRPr="002C095B">
        <w:rPr>
          <w:sz w:val="24"/>
        </w:rPr>
        <w:t xml:space="preserve">LDH </w:t>
      </w:r>
      <w:r w:rsidRPr="002C095B">
        <w:rPr>
          <w:rFonts w:hint="eastAsia"/>
          <w:sz w:val="24"/>
        </w:rPr>
        <w:t>活性造成影响</w:t>
      </w:r>
      <w:r w:rsidRPr="002C095B">
        <w:rPr>
          <w:sz w:val="24"/>
        </w:rPr>
        <w:t>(</w:t>
      </w:r>
      <w:r w:rsidRPr="002C095B">
        <w:rPr>
          <w:i/>
          <w:iCs/>
          <w:sz w:val="24"/>
        </w:rPr>
        <w:t>P</w:t>
      </w:r>
      <w:r w:rsidRPr="002C095B">
        <w:rPr>
          <w:sz w:val="24"/>
        </w:rPr>
        <w:t>&gt;0.05)</w:t>
      </w:r>
      <w:r w:rsidRPr="002C095B">
        <w:rPr>
          <w:rFonts w:hint="eastAsia"/>
          <w:sz w:val="24"/>
        </w:rPr>
        <w:t>。</w:t>
      </w:r>
    </w:p>
    <w:p w14:paraId="7A47908F" w14:textId="77777777" w:rsidR="00400E98" w:rsidRDefault="00400E98" w:rsidP="00400E98">
      <w:pPr>
        <w:spacing w:line="360" w:lineRule="auto"/>
        <w:ind w:firstLineChars="200" w:firstLine="480"/>
        <w:rPr>
          <w:sz w:val="24"/>
        </w:rPr>
      </w:pPr>
      <w:r w:rsidRPr="002C095B">
        <w:rPr>
          <w:rFonts w:hint="eastAsia"/>
          <w:sz w:val="24"/>
        </w:rPr>
        <w:t>实验鱼肝脏</w:t>
      </w:r>
      <w:r w:rsidRPr="002C095B">
        <w:rPr>
          <w:sz w:val="24"/>
        </w:rPr>
        <w:t>T-AOC</w:t>
      </w:r>
      <w:r w:rsidRPr="002C095B">
        <w:rPr>
          <w:rFonts w:hint="eastAsia"/>
          <w:sz w:val="24"/>
        </w:rPr>
        <w:t>、</w:t>
      </w:r>
      <w:r w:rsidRPr="002C095B">
        <w:rPr>
          <w:sz w:val="24"/>
        </w:rPr>
        <w:t>SOD</w:t>
      </w:r>
      <w:r w:rsidRPr="002C095B">
        <w:rPr>
          <w:rFonts w:hint="eastAsia"/>
          <w:sz w:val="24"/>
        </w:rPr>
        <w:t>、</w:t>
      </w:r>
      <w:r w:rsidRPr="002C095B">
        <w:rPr>
          <w:sz w:val="24"/>
        </w:rPr>
        <w:t>CAT</w:t>
      </w:r>
      <w:r w:rsidRPr="002C095B">
        <w:rPr>
          <w:rFonts w:hint="eastAsia"/>
          <w:sz w:val="24"/>
        </w:rPr>
        <w:t>、</w:t>
      </w:r>
      <w:r w:rsidRPr="002C095B">
        <w:rPr>
          <w:sz w:val="24"/>
        </w:rPr>
        <w:t xml:space="preserve">GPX </w:t>
      </w:r>
      <w:r w:rsidRPr="002C095B">
        <w:rPr>
          <w:rFonts w:hint="eastAsia"/>
          <w:sz w:val="24"/>
        </w:rPr>
        <w:t>活性随着饲料中白藜芦醇含量的提高显著升高</w:t>
      </w:r>
      <w:r w:rsidRPr="002C095B">
        <w:rPr>
          <w:sz w:val="24"/>
        </w:rPr>
        <w:t>(</w:t>
      </w:r>
      <w:r w:rsidRPr="002C095B">
        <w:rPr>
          <w:i/>
          <w:iCs/>
          <w:sz w:val="24"/>
        </w:rPr>
        <w:t>P</w:t>
      </w:r>
      <w:r w:rsidRPr="002C095B">
        <w:rPr>
          <w:sz w:val="24"/>
        </w:rPr>
        <w:t>&lt;0.05)(</w:t>
      </w:r>
      <w:r w:rsidRPr="002C095B">
        <w:rPr>
          <w:rFonts w:hint="eastAsia"/>
          <w:sz w:val="24"/>
        </w:rPr>
        <w:t>表</w:t>
      </w:r>
      <w:r w:rsidRPr="002C095B">
        <w:rPr>
          <w:sz w:val="24"/>
        </w:rPr>
        <w:t>6)</w:t>
      </w:r>
      <w:r w:rsidRPr="002C095B">
        <w:rPr>
          <w:rFonts w:hint="eastAsia"/>
          <w:sz w:val="24"/>
        </w:rPr>
        <w:t>。相反，对照组实验鱼肝脏中</w:t>
      </w:r>
      <w:r w:rsidRPr="002C095B">
        <w:rPr>
          <w:sz w:val="24"/>
        </w:rPr>
        <w:t xml:space="preserve"> MDA </w:t>
      </w:r>
      <w:r w:rsidRPr="002C095B">
        <w:rPr>
          <w:rFonts w:hint="eastAsia"/>
          <w:sz w:val="24"/>
        </w:rPr>
        <w:t>含量显著高于白藜芦醇组</w:t>
      </w:r>
      <w:r w:rsidRPr="002C095B">
        <w:rPr>
          <w:sz w:val="24"/>
        </w:rPr>
        <w:t>(</w:t>
      </w:r>
      <w:r w:rsidRPr="002C095B">
        <w:rPr>
          <w:i/>
          <w:iCs/>
          <w:sz w:val="24"/>
        </w:rPr>
        <w:t>P</w:t>
      </w:r>
      <w:r w:rsidRPr="002C095B">
        <w:rPr>
          <w:sz w:val="24"/>
        </w:rPr>
        <w:t>&lt;0.05)</w:t>
      </w:r>
      <w:r w:rsidRPr="002C095B">
        <w:rPr>
          <w:rFonts w:hint="eastAsia"/>
          <w:sz w:val="24"/>
        </w:rPr>
        <w:t>；实验鱼肝脏</w:t>
      </w:r>
      <w:r>
        <w:rPr>
          <w:rFonts w:hint="eastAsia"/>
          <w:sz w:val="24"/>
        </w:rPr>
        <w:t xml:space="preserve"> </w:t>
      </w:r>
      <w:r w:rsidRPr="002C095B">
        <w:rPr>
          <w:sz w:val="24"/>
        </w:rPr>
        <w:t>TNF-α</w:t>
      </w:r>
      <w:r w:rsidRPr="002C095B">
        <w:rPr>
          <w:rFonts w:hint="eastAsia"/>
          <w:sz w:val="24"/>
        </w:rPr>
        <w:t>、</w:t>
      </w:r>
      <w:r w:rsidRPr="002C095B">
        <w:rPr>
          <w:sz w:val="24"/>
        </w:rPr>
        <w:t>IL-1</w:t>
      </w:r>
      <w:r w:rsidRPr="002C095B">
        <w:rPr>
          <w:rFonts w:hint="eastAsia"/>
          <w:sz w:val="24"/>
        </w:rPr>
        <w:t>及</w:t>
      </w:r>
      <w:r w:rsidRPr="002C095B">
        <w:rPr>
          <w:sz w:val="24"/>
        </w:rPr>
        <w:t xml:space="preserve">IL-8 </w:t>
      </w:r>
      <w:r w:rsidRPr="002C095B">
        <w:rPr>
          <w:rFonts w:hint="eastAsia"/>
          <w:sz w:val="24"/>
        </w:rPr>
        <w:t>含量随着饲料中白藜芦醇含量的提高显著降低</w:t>
      </w:r>
      <w:r w:rsidRPr="007B69B0">
        <w:rPr>
          <w:rFonts w:hint="eastAsia"/>
          <w:sz w:val="24"/>
        </w:rPr>
        <w:t>(</w:t>
      </w:r>
      <w:r w:rsidRPr="008E1E0D">
        <w:rPr>
          <w:rFonts w:hint="eastAsia"/>
          <w:i/>
          <w:iCs/>
          <w:sz w:val="24"/>
        </w:rPr>
        <w:t>P</w:t>
      </w:r>
      <w:r w:rsidRPr="007B69B0">
        <w:rPr>
          <w:rFonts w:hint="eastAsia"/>
          <w:sz w:val="24"/>
        </w:rPr>
        <w:t>&lt;0.05)</w:t>
      </w:r>
      <w:r w:rsidRPr="007B69B0">
        <w:rPr>
          <w:rFonts w:hint="eastAsia"/>
          <w:sz w:val="24"/>
        </w:rPr>
        <w:t>。</w:t>
      </w:r>
    </w:p>
    <w:p w14:paraId="2681B17E" w14:textId="77777777" w:rsidR="00400E98" w:rsidRDefault="00400E98" w:rsidP="007B1708">
      <w:pPr>
        <w:spacing w:line="360" w:lineRule="auto"/>
        <w:jc w:val="center"/>
        <w:rPr>
          <w:sz w:val="24"/>
        </w:rPr>
      </w:pPr>
      <w:r w:rsidRPr="007B69B0">
        <w:rPr>
          <w:noProof/>
          <w:sz w:val="24"/>
        </w:rPr>
        <w:drawing>
          <wp:inline distT="0" distB="0" distL="0" distR="0" wp14:anchorId="5D106137" wp14:editId="5DBAD2FC">
            <wp:extent cx="3428854" cy="2557462"/>
            <wp:effectExtent l="0" t="0" r="635" b="0"/>
            <wp:docPr id="607333239"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33239" name="图片 1" descr="表格&#10;&#10;AI 生成的内容可能不正确。"/>
                    <pic:cNvPicPr/>
                  </pic:nvPicPr>
                  <pic:blipFill>
                    <a:blip r:embed="rId38"/>
                    <a:stretch>
                      <a:fillRect/>
                    </a:stretch>
                  </pic:blipFill>
                  <pic:spPr>
                    <a:xfrm>
                      <a:off x="0" y="0"/>
                      <a:ext cx="3454633" cy="2576689"/>
                    </a:xfrm>
                    <a:prstGeom prst="rect">
                      <a:avLst/>
                    </a:prstGeom>
                  </pic:spPr>
                </pic:pic>
              </a:graphicData>
            </a:graphic>
          </wp:inline>
        </w:drawing>
      </w:r>
      <w:r w:rsidRPr="007B69B0">
        <w:rPr>
          <w:noProof/>
          <w:sz w:val="24"/>
        </w:rPr>
        <w:drawing>
          <wp:inline distT="0" distB="0" distL="0" distR="0" wp14:anchorId="1C73A58F" wp14:editId="2E2712CF">
            <wp:extent cx="3329498" cy="3257550"/>
            <wp:effectExtent l="0" t="0" r="4445" b="0"/>
            <wp:docPr id="1112234475"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34475" name="图片 1" descr="表格&#10;&#10;AI 生成的内容可能不正确。"/>
                    <pic:cNvPicPr/>
                  </pic:nvPicPr>
                  <pic:blipFill>
                    <a:blip r:embed="rId39"/>
                    <a:stretch>
                      <a:fillRect/>
                    </a:stretch>
                  </pic:blipFill>
                  <pic:spPr>
                    <a:xfrm>
                      <a:off x="0" y="0"/>
                      <a:ext cx="3375582" cy="3302638"/>
                    </a:xfrm>
                    <a:prstGeom prst="rect">
                      <a:avLst/>
                    </a:prstGeom>
                  </pic:spPr>
                </pic:pic>
              </a:graphicData>
            </a:graphic>
          </wp:inline>
        </w:drawing>
      </w:r>
      <w:r w:rsidRPr="007B69B0">
        <w:rPr>
          <w:noProof/>
        </w:rPr>
        <w:lastRenderedPageBreak/>
        <w:drawing>
          <wp:inline distT="0" distB="0" distL="0" distR="0" wp14:anchorId="5A0F50E1" wp14:editId="7853E1C5">
            <wp:extent cx="3499289" cy="3488872"/>
            <wp:effectExtent l="0" t="0" r="6350" b="0"/>
            <wp:docPr id="1283390345"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90345" name="图片 1" descr="表格&#10;&#10;AI 生成的内容可能不正确。"/>
                    <pic:cNvPicPr/>
                  </pic:nvPicPr>
                  <pic:blipFill>
                    <a:blip r:embed="rId40"/>
                    <a:stretch>
                      <a:fillRect/>
                    </a:stretch>
                  </pic:blipFill>
                  <pic:spPr>
                    <a:xfrm>
                      <a:off x="0" y="0"/>
                      <a:ext cx="3512445" cy="3501988"/>
                    </a:xfrm>
                    <a:prstGeom prst="rect">
                      <a:avLst/>
                    </a:prstGeom>
                  </pic:spPr>
                </pic:pic>
              </a:graphicData>
            </a:graphic>
          </wp:inline>
        </w:drawing>
      </w:r>
    </w:p>
    <w:p w14:paraId="5882E5D8" w14:textId="77777777" w:rsidR="00400E98" w:rsidRDefault="00400E98" w:rsidP="00400E98">
      <w:pPr>
        <w:spacing w:line="360" w:lineRule="auto"/>
        <w:ind w:firstLineChars="200" w:firstLine="480"/>
        <w:rPr>
          <w:sz w:val="24"/>
        </w:rPr>
      </w:pPr>
      <w:r w:rsidRPr="007B69B0">
        <w:rPr>
          <w:rFonts w:hint="eastAsia"/>
          <w:sz w:val="24"/>
        </w:rPr>
        <w:t>随着饲料中白藜芦醇含量的升高，实验鱼肝脏中</w:t>
      </w:r>
      <w:r w:rsidRPr="007B69B0">
        <w:rPr>
          <w:i/>
          <w:iCs/>
          <w:sz w:val="24"/>
        </w:rPr>
        <w:t>sod</w:t>
      </w:r>
      <w:r w:rsidRPr="007B69B0">
        <w:rPr>
          <w:rFonts w:hint="eastAsia"/>
          <w:sz w:val="24"/>
        </w:rPr>
        <w:t>、</w:t>
      </w:r>
      <w:proofErr w:type="spellStart"/>
      <w:r w:rsidRPr="007B69B0">
        <w:rPr>
          <w:i/>
          <w:iCs/>
          <w:sz w:val="24"/>
        </w:rPr>
        <w:t>gpx</w:t>
      </w:r>
      <w:proofErr w:type="spellEnd"/>
      <w:r w:rsidRPr="007B69B0">
        <w:rPr>
          <w:rFonts w:hint="eastAsia"/>
          <w:sz w:val="24"/>
        </w:rPr>
        <w:t>、</w:t>
      </w:r>
      <w:r w:rsidRPr="007B69B0">
        <w:rPr>
          <w:i/>
          <w:iCs/>
          <w:sz w:val="24"/>
        </w:rPr>
        <w:t xml:space="preserve">cat </w:t>
      </w:r>
      <w:r w:rsidRPr="007B69B0">
        <w:rPr>
          <w:rFonts w:hint="eastAsia"/>
          <w:sz w:val="24"/>
        </w:rPr>
        <w:t>和</w:t>
      </w:r>
      <w:r w:rsidRPr="007B69B0">
        <w:rPr>
          <w:i/>
          <w:iCs/>
          <w:sz w:val="24"/>
        </w:rPr>
        <w:t xml:space="preserve">gr </w:t>
      </w:r>
      <w:r w:rsidRPr="007B69B0">
        <w:rPr>
          <w:rFonts w:hint="eastAsia"/>
          <w:sz w:val="24"/>
        </w:rPr>
        <w:t>基因的</w:t>
      </w:r>
      <w:r w:rsidRPr="007B69B0">
        <w:rPr>
          <w:sz w:val="24"/>
        </w:rPr>
        <w:t xml:space="preserve">mRNA </w:t>
      </w:r>
      <w:r w:rsidRPr="007B69B0">
        <w:rPr>
          <w:rFonts w:hint="eastAsia"/>
          <w:sz w:val="24"/>
        </w:rPr>
        <w:t>表达量显著上调，相反，</w:t>
      </w:r>
      <w:r w:rsidRPr="007B69B0">
        <w:rPr>
          <w:i/>
          <w:iCs/>
          <w:sz w:val="24"/>
        </w:rPr>
        <w:t>il</w:t>
      </w:r>
      <w:r w:rsidRPr="007B69B0">
        <w:rPr>
          <w:sz w:val="24"/>
        </w:rPr>
        <w:t xml:space="preserve">-1 </w:t>
      </w:r>
      <w:r w:rsidRPr="007B69B0">
        <w:rPr>
          <w:rFonts w:hint="eastAsia"/>
          <w:sz w:val="24"/>
        </w:rPr>
        <w:t>和</w:t>
      </w:r>
      <w:r w:rsidRPr="007B69B0">
        <w:rPr>
          <w:i/>
          <w:iCs/>
          <w:sz w:val="24"/>
        </w:rPr>
        <w:t>il-</w:t>
      </w:r>
      <w:r w:rsidRPr="007B69B0">
        <w:rPr>
          <w:sz w:val="24"/>
        </w:rPr>
        <w:t xml:space="preserve">8 </w:t>
      </w:r>
      <w:r w:rsidRPr="007B69B0">
        <w:rPr>
          <w:rFonts w:hint="eastAsia"/>
          <w:sz w:val="24"/>
        </w:rPr>
        <w:t>基因的</w:t>
      </w:r>
      <w:r w:rsidRPr="007B69B0">
        <w:rPr>
          <w:sz w:val="24"/>
        </w:rPr>
        <w:t xml:space="preserve">mRNA </w:t>
      </w:r>
      <w:r w:rsidRPr="007B69B0">
        <w:rPr>
          <w:rFonts w:hint="eastAsia"/>
          <w:sz w:val="24"/>
        </w:rPr>
        <w:t>表达量显著下调</w:t>
      </w:r>
      <w:r w:rsidRPr="007B69B0">
        <w:rPr>
          <w:sz w:val="24"/>
        </w:rPr>
        <w:t>(</w:t>
      </w:r>
      <w:r w:rsidRPr="007B69B0">
        <w:rPr>
          <w:i/>
          <w:iCs/>
          <w:sz w:val="24"/>
        </w:rPr>
        <w:t>P</w:t>
      </w:r>
      <w:r w:rsidRPr="007B69B0">
        <w:rPr>
          <w:sz w:val="24"/>
        </w:rPr>
        <w:t>&lt;0.05)(</w:t>
      </w:r>
      <w:r w:rsidRPr="007B69B0">
        <w:rPr>
          <w:rFonts w:hint="eastAsia"/>
          <w:sz w:val="24"/>
        </w:rPr>
        <w:t>图</w:t>
      </w:r>
      <w:r w:rsidRPr="007B69B0">
        <w:rPr>
          <w:sz w:val="24"/>
        </w:rPr>
        <w:t>1)</w:t>
      </w:r>
      <w:r w:rsidRPr="007B69B0">
        <w:rPr>
          <w:rFonts w:hint="eastAsia"/>
          <w:sz w:val="24"/>
        </w:rPr>
        <w:t>；饲料中添加白藜芦醇显著下调了实验鱼肝脏中</w:t>
      </w:r>
      <w:r w:rsidRPr="007B69B0">
        <w:rPr>
          <w:i/>
          <w:iCs/>
          <w:sz w:val="24"/>
        </w:rPr>
        <w:t>p</w:t>
      </w:r>
      <w:r w:rsidRPr="007B69B0">
        <w:rPr>
          <w:sz w:val="24"/>
        </w:rPr>
        <w:t>53</w:t>
      </w:r>
      <w:r w:rsidRPr="007B69B0">
        <w:rPr>
          <w:rFonts w:hint="eastAsia"/>
          <w:sz w:val="24"/>
        </w:rPr>
        <w:t>、</w:t>
      </w:r>
      <w:proofErr w:type="spellStart"/>
      <w:r w:rsidRPr="007B69B0">
        <w:rPr>
          <w:i/>
          <w:iCs/>
          <w:sz w:val="24"/>
        </w:rPr>
        <w:t>bax</w:t>
      </w:r>
      <w:proofErr w:type="spellEnd"/>
      <w:r w:rsidRPr="007B69B0">
        <w:rPr>
          <w:rFonts w:hint="eastAsia"/>
          <w:sz w:val="24"/>
        </w:rPr>
        <w:t>、</w:t>
      </w:r>
      <w:r w:rsidRPr="007B69B0">
        <w:rPr>
          <w:i/>
          <w:iCs/>
          <w:sz w:val="24"/>
        </w:rPr>
        <w:t>caspase</w:t>
      </w:r>
      <w:r w:rsidRPr="007B69B0">
        <w:rPr>
          <w:sz w:val="24"/>
        </w:rPr>
        <w:t xml:space="preserve">3 </w:t>
      </w:r>
      <w:r w:rsidRPr="007B69B0">
        <w:rPr>
          <w:rFonts w:hint="eastAsia"/>
          <w:sz w:val="24"/>
        </w:rPr>
        <w:t>和</w:t>
      </w:r>
      <w:r w:rsidRPr="007B69B0">
        <w:rPr>
          <w:i/>
          <w:iCs/>
          <w:sz w:val="24"/>
        </w:rPr>
        <w:t xml:space="preserve"> caspase</w:t>
      </w:r>
      <w:r w:rsidRPr="007B69B0">
        <w:rPr>
          <w:sz w:val="24"/>
        </w:rPr>
        <w:t xml:space="preserve">9 </w:t>
      </w:r>
      <w:r w:rsidRPr="007B69B0">
        <w:rPr>
          <w:rFonts w:hint="eastAsia"/>
          <w:sz w:val="24"/>
        </w:rPr>
        <w:t>基因的</w:t>
      </w:r>
      <w:r w:rsidRPr="007B69B0">
        <w:rPr>
          <w:sz w:val="24"/>
        </w:rPr>
        <w:t xml:space="preserve">mRNA </w:t>
      </w:r>
      <w:r w:rsidRPr="007B69B0">
        <w:rPr>
          <w:rFonts w:hint="eastAsia"/>
          <w:sz w:val="24"/>
        </w:rPr>
        <w:t>表达量，上调了</w:t>
      </w:r>
      <w:r w:rsidRPr="007B69B0">
        <w:rPr>
          <w:i/>
          <w:iCs/>
          <w:sz w:val="24"/>
        </w:rPr>
        <w:t>bcl-</w:t>
      </w:r>
      <w:r w:rsidRPr="007B69B0">
        <w:rPr>
          <w:sz w:val="24"/>
        </w:rPr>
        <w:t xml:space="preserve">2 </w:t>
      </w:r>
      <w:r w:rsidRPr="007B69B0">
        <w:rPr>
          <w:rFonts w:hint="eastAsia"/>
          <w:sz w:val="24"/>
        </w:rPr>
        <w:t>基因的表达量</w:t>
      </w:r>
      <w:r w:rsidRPr="007B69B0">
        <w:rPr>
          <w:sz w:val="24"/>
        </w:rPr>
        <w:t>(</w:t>
      </w:r>
      <w:r w:rsidRPr="007B69B0">
        <w:rPr>
          <w:i/>
          <w:iCs/>
          <w:sz w:val="24"/>
        </w:rPr>
        <w:t>P</w:t>
      </w:r>
      <w:r w:rsidRPr="007B69B0">
        <w:rPr>
          <w:sz w:val="24"/>
        </w:rPr>
        <w:t>&lt;0.05)</w:t>
      </w:r>
      <w:r>
        <w:rPr>
          <w:rFonts w:hint="eastAsia"/>
          <w:sz w:val="24"/>
        </w:rPr>
        <w:t>。</w:t>
      </w:r>
    </w:p>
    <w:p w14:paraId="30B87CB7" w14:textId="77777777" w:rsidR="00400E98" w:rsidRDefault="00400E98" w:rsidP="007B1708">
      <w:pPr>
        <w:spacing w:line="360" w:lineRule="auto"/>
        <w:jc w:val="center"/>
        <w:rPr>
          <w:sz w:val="24"/>
        </w:rPr>
      </w:pPr>
      <w:r w:rsidRPr="007B69B0">
        <w:rPr>
          <w:noProof/>
          <w:sz w:val="24"/>
        </w:rPr>
        <w:drawing>
          <wp:inline distT="0" distB="0" distL="0" distR="0" wp14:anchorId="1C7DB057" wp14:editId="25AF5BFE">
            <wp:extent cx="3933962" cy="3857625"/>
            <wp:effectExtent l="0" t="0" r="9525" b="0"/>
            <wp:docPr id="1614138486"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38486" name="图片 1" descr="图表, 条形图&#10;&#10;AI 生成的内容可能不正确。"/>
                    <pic:cNvPicPr/>
                  </pic:nvPicPr>
                  <pic:blipFill>
                    <a:blip r:embed="rId41"/>
                    <a:stretch>
                      <a:fillRect/>
                    </a:stretch>
                  </pic:blipFill>
                  <pic:spPr>
                    <a:xfrm>
                      <a:off x="0" y="0"/>
                      <a:ext cx="3972914" cy="3895822"/>
                    </a:xfrm>
                    <a:prstGeom prst="rect">
                      <a:avLst/>
                    </a:prstGeom>
                  </pic:spPr>
                </pic:pic>
              </a:graphicData>
            </a:graphic>
          </wp:inline>
        </w:drawing>
      </w:r>
    </w:p>
    <w:p w14:paraId="30954BE0" w14:textId="77777777" w:rsidR="00400E98" w:rsidRPr="007B69B0" w:rsidRDefault="00400E98" w:rsidP="00400E98">
      <w:pPr>
        <w:spacing w:line="360" w:lineRule="auto"/>
        <w:rPr>
          <w:sz w:val="24"/>
        </w:rPr>
      </w:pPr>
      <w:r w:rsidRPr="007B69B0">
        <w:rPr>
          <w:sz w:val="24"/>
        </w:rPr>
        <w:lastRenderedPageBreak/>
        <w:t>2.</w:t>
      </w:r>
      <w:r>
        <w:rPr>
          <w:rFonts w:hint="eastAsia"/>
          <w:sz w:val="24"/>
        </w:rPr>
        <w:t>2</w:t>
      </w:r>
      <w:r w:rsidRPr="007B69B0">
        <w:rPr>
          <w:rFonts w:hint="eastAsia"/>
          <w:sz w:val="24"/>
        </w:rPr>
        <w:t>饲料中添加白藜芦醇对大口黑鲈氨氮耐受力的影响</w:t>
      </w:r>
    </w:p>
    <w:p w14:paraId="6A8CB095" w14:textId="77777777" w:rsidR="00400E98" w:rsidRPr="007B69B0" w:rsidRDefault="00400E98" w:rsidP="00400E98">
      <w:pPr>
        <w:spacing w:line="360" w:lineRule="auto"/>
        <w:ind w:firstLineChars="200" w:firstLine="480"/>
        <w:rPr>
          <w:sz w:val="24"/>
        </w:rPr>
      </w:pPr>
      <w:r w:rsidRPr="007B69B0">
        <w:rPr>
          <w:rFonts w:hint="eastAsia"/>
          <w:sz w:val="24"/>
        </w:rPr>
        <w:t>氨氮暴露</w:t>
      </w:r>
      <w:r w:rsidRPr="007B69B0">
        <w:rPr>
          <w:sz w:val="24"/>
        </w:rPr>
        <w:t xml:space="preserve">96 h </w:t>
      </w:r>
      <w:r w:rsidRPr="007B69B0">
        <w:rPr>
          <w:rFonts w:hint="eastAsia"/>
          <w:sz w:val="24"/>
        </w:rPr>
        <w:t>后，白藜芦醇组实验鱼的累计死亡率显著低于对照组</w:t>
      </w:r>
      <w:r w:rsidRPr="007B69B0">
        <w:rPr>
          <w:sz w:val="24"/>
        </w:rPr>
        <w:t>(</w:t>
      </w:r>
      <w:r w:rsidRPr="007B69B0">
        <w:rPr>
          <w:i/>
          <w:iCs/>
          <w:sz w:val="24"/>
        </w:rPr>
        <w:t>P</w:t>
      </w:r>
      <w:r w:rsidRPr="007B69B0">
        <w:rPr>
          <w:sz w:val="24"/>
        </w:rPr>
        <w:t>&lt;0.05)(</w:t>
      </w:r>
      <w:r w:rsidRPr="007B69B0">
        <w:rPr>
          <w:rFonts w:hint="eastAsia"/>
          <w:sz w:val="24"/>
        </w:rPr>
        <w:t>表</w:t>
      </w:r>
      <w:r w:rsidRPr="007B69B0">
        <w:rPr>
          <w:sz w:val="24"/>
        </w:rPr>
        <w:t>7)</w:t>
      </w:r>
      <w:r w:rsidRPr="007B69B0">
        <w:rPr>
          <w:rFonts w:hint="eastAsia"/>
          <w:sz w:val="24"/>
        </w:rPr>
        <w:t>；随着饲料中白藜芦醇含量的提高，实验鱼血清</w:t>
      </w:r>
      <w:r w:rsidRPr="007B69B0">
        <w:rPr>
          <w:sz w:val="24"/>
        </w:rPr>
        <w:t xml:space="preserve">LYZ </w:t>
      </w:r>
      <w:r w:rsidRPr="007B69B0">
        <w:rPr>
          <w:rFonts w:hint="eastAsia"/>
          <w:sz w:val="24"/>
        </w:rPr>
        <w:t>活性、</w:t>
      </w:r>
      <w:r w:rsidRPr="007B69B0">
        <w:rPr>
          <w:sz w:val="24"/>
        </w:rPr>
        <w:t xml:space="preserve"> CH50</w:t>
      </w:r>
      <w:r w:rsidRPr="007B69B0">
        <w:rPr>
          <w:rFonts w:hint="eastAsia"/>
          <w:sz w:val="24"/>
        </w:rPr>
        <w:t>、</w:t>
      </w:r>
      <w:r w:rsidRPr="007B69B0">
        <w:rPr>
          <w:sz w:val="24"/>
        </w:rPr>
        <w:t xml:space="preserve">Ig </w:t>
      </w:r>
      <w:r w:rsidRPr="007B69B0">
        <w:rPr>
          <w:rFonts w:hint="eastAsia"/>
          <w:sz w:val="24"/>
        </w:rPr>
        <w:t>及</w:t>
      </w:r>
      <w:r w:rsidRPr="007B69B0">
        <w:rPr>
          <w:sz w:val="24"/>
        </w:rPr>
        <w:t xml:space="preserve">Ab titer </w:t>
      </w:r>
      <w:r w:rsidRPr="007B69B0">
        <w:rPr>
          <w:rFonts w:hint="eastAsia"/>
          <w:sz w:val="24"/>
        </w:rPr>
        <w:t>显著升高</w:t>
      </w:r>
      <w:r w:rsidRPr="007B69B0">
        <w:rPr>
          <w:sz w:val="24"/>
        </w:rPr>
        <w:t>(</w:t>
      </w:r>
      <w:r w:rsidRPr="007B69B0">
        <w:rPr>
          <w:i/>
          <w:iCs/>
          <w:sz w:val="24"/>
        </w:rPr>
        <w:t>P</w:t>
      </w:r>
      <w:r w:rsidRPr="007B69B0">
        <w:rPr>
          <w:sz w:val="24"/>
        </w:rPr>
        <w:t>&lt;0.05)</w:t>
      </w:r>
      <w:r w:rsidRPr="007B69B0">
        <w:rPr>
          <w:rFonts w:hint="eastAsia"/>
          <w:sz w:val="24"/>
        </w:rPr>
        <w:t>。</w:t>
      </w:r>
    </w:p>
    <w:p w14:paraId="325F26A9" w14:textId="77777777" w:rsidR="00400E98" w:rsidRDefault="00400E98" w:rsidP="00400E98">
      <w:pPr>
        <w:spacing w:line="360" w:lineRule="auto"/>
        <w:ind w:firstLineChars="200" w:firstLine="480"/>
        <w:rPr>
          <w:sz w:val="24"/>
        </w:rPr>
      </w:pPr>
      <w:r w:rsidRPr="007B69B0">
        <w:rPr>
          <w:rFonts w:hint="eastAsia"/>
          <w:sz w:val="24"/>
        </w:rPr>
        <w:t>氨氮暴露</w:t>
      </w:r>
      <w:r w:rsidRPr="007B69B0">
        <w:rPr>
          <w:sz w:val="24"/>
        </w:rPr>
        <w:t xml:space="preserve">96 h </w:t>
      </w:r>
      <w:r w:rsidRPr="007B69B0">
        <w:rPr>
          <w:rFonts w:hint="eastAsia"/>
          <w:sz w:val="24"/>
        </w:rPr>
        <w:t>后，随着饲料中白藜芦醇含量的提高，实验鱼血氨含量显著降低</w:t>
      </w:r>
      <w:r w:rsidRPr="007B69B0">
        <w:rPr>
          <w:sz w:val="24"/>
        </w:rPr>
        <w:t>(</w:t>
      </w:r>
      <w:r w:rsidRPr="007B69B0">
        <w:rPr>
          <w:i/>
          <w:iCs/>
          <w:sz w:val="24"/>
        </w:rPr>
        <w:t>P</w:t>
      </w:r>
      <w:r w:rsidRPr="007B69B0">
        <w:rPr>
          <w:sz w:val="24"/>
        </w:rPr>
        <w:t>&lt;0.05)(</w:t>
      </w:r>
      <w:r w:rsidRPr="007B69B0">
        <w:rPr>
          <w:rFonts w:hint="eastAsia"/>
          <w:sz w:val="24"/>
        </w:rPr>
        <w:t>表</w:t>
      </w:r>
      <w:r w:rsidRPr="007B69B0">
        <w:rPr>
          <w:rFonts w:hint="eastAsia"/>
          <w:sz w:val="24"/>
        </w:rPr>
        <w:t>8)</w:t>
      </w:r>
      <w:r w:rsidRPr="007B69B0">
        <w:rPr>
          <w:rFonts w:hint="eastAsia"/>
          <w:sz w:val="24"/>
        </w:rPr>
        <w:t>；</w:t>
      </w:r>
    </w:p>
    <w:p w14:paraId="075AF5C4" w14:textId="77777777" w:rsidR="00400E98" w:rsidRDefault="00400E98" w:rsidP="005D18BF">
      <w:pPr>
        <w:spacing w:line="360" w:lineRule="auto"/>
        <w:jc w:val="center"/>
        <w:rPr>
          <w:sz w:val="24"/>
        </w:rPr>
      </w:pPr>
      <w:r w:rsidRPr="007B69B0">
        <w:rPr>
          <w:noProof/>
          <w:sz w:val="24"/>
        </w:rPr>
        <w:drawing>
          <wp:inline distT="0" distB="0" distL="0" distR="0" wp14:anchorId="4124D8A2" wp14:editId="186D213D">
            <wp:extent cx="4418847" cy="3286125"/>
            <wp:effectExtent l="0" t="0" r="1270" b="0"/>
            <wp:docPr id="1778967962"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67962" name="图片 1" descr="表格&#10;&#10;AI 生成的内容可能不正确。"/>
                    <pic:cNvPicPr/>
                  </pic:nvPicPr>
                  <pic:blipFill>
                    <a:blip r:embed="rId42"/>
                    <a:stretch>
                      <a:fillRect/>
                    </a:stretch>
                  </pic:blipFill>
                  <pic:spPr>
                    <a:xfrm>
                      <a:off x="0" y="0"/>
                      <a:ext cx="4541117" cy="3377053"/>
                    </a:xfrm>
                    <a:prstGeom prst="rect">
                      <a:avLst/>
                    </a:prstGeom>
                  </pic:spPr>
                </pic:pic>
              </a:graphicData>
            </a:graphic>
          </wp:inline>
        </w:drawing>
      </w:r>
    </w:p>
    <w:p w14:paraId="479327E9" w14:textId="77777777" w:rsidR="00400E98" w:rsidRDefault="00400E98" w:rsidP="005D18BF">
      <w:pPr>
        <w:spacing w:line="360" w:lineRule="auto"/>
        <w:jc w:val="center"/>
        <w:rPr>
          <w:sz w:val="24"/>
        </w:rPr>
      </w:pPr>
      <w:r w:rsidRPr="00BA7F39">
        <w:rPr>
          <w:noProof/>
          <w:sz w:val="24"/>
        </w:rPr>
        <w:drawing>
          <wp:inline distT="0" distB="0" distL="0" distR="0" wp14:anchorId="7DAF5A1D" wp14:editId="2A9283E9">
            <wp:extent cx="4285259" cy="3448050"/>
            <wp:effectExtent l="0" t="0" r="1270" b="0"/>
            <wp:docPr id="110797525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75257" name="图片 1" descr="表格&#10;&#10;AI 生成的内容可能不正确。"/>
                    <pic:cNvPicPr/>
                  </pic:nvPicPr>
                  <pic:blipFill>
                    <a:blip r:embed="rId43"/>
                    <a:stretch>
                      <a:fillRect/>
                    </a:stretch>
                  </pic:blipFill>
                  <pic:spPr>
                    <a:xfrm>
                      <a:off x="0" y="0"/>
                      <a:ext cx="4309329" cy="3467417"/>
                    </a:xfrm>
                    <a:prstGeom prst="rect">
                      <a:avLst/>
                    </a:prstGeom>
                  </pic:spPr>
                </pic:pic>
              </a:graphicData>
            </a:graphic>
          </wp:inline>
        </w:drawing>
      </w:r>
    </w:p>
    <w:p w14:paraId="736EE8F6" w14:textId="77777777" w:rsidR="00400E98" w:rsidRPr="00BA7F39" w:rsidRDefault="00400E98" w:rsidP="00400E98">
      <w:pPr>
        <w:spacing w:line="360" w:lineRule="auto"/>
        <w:ind w:firstLineChars="200" w:firstLine="480"/>
        <w:rPr>
          <w:sz w:val="24"/>
        </w:rPr>
      </w:pPr>
      <w:r w:rsidRPr="00BA7F39">
        <w:rPr>
          <w:rFonts w:hint="eastAsia"/>
          <w:sz w:val="24"/>
        </w:rPr>
        <w:lastRenderedPageBreak/>
        <w:t>实验鱼肝脏中</w:t>
      </w:r>
      <w:r w:rsidRPr="00BA7F39">
        <w:rPr>
          <w:sz w:val="24"/>
        </w:rPr>
        <w:t>ASS</w:t>
      </w:r>
      <w:r w:rsidRPr="00BA7F39">
        <w:rPr>
          <w:rFonts w:hint="eastAsia"/>
          <w:sz w:val="24"/>
        </w:rPr>
        <w:t>、</w:t>
      </w:r>
      <w:r w:rsidRPr="00BA7F39">
        <w:rPr>
          <w:sz w:val="24"/>
        </w:rPr>
        <w:t>ASL</w:t>
      </w:r>
      <w:r w:rsidRPr="00BA7F39">
        <w:rPr>
          <w:rFonts w:hint="eastAsia"/>
          <w:sz w:val="24"/>
        </w:rPr>
        <w:t>、</w:t>
      </w:r>
      <w:r w:rsidRPr="00BA7F39">
        <w:rPr>
          <w:sz w:val="24"/>
        </w:rPr>
        <w:t>ARG</w:t>
      </w:r>
      <w:r w:rsidRPr="00BA7F39">
        <w:rPr>
          <w:rFonts w:hint="eastAsia"/>
          <w:sz w:val="24"/>
        </w:rPr>
        <w:t>、</w:t>
      </w:r>
      <w:r w:rsidRPr="00BA7F39">
        <w:rPr>
          <w:sz w:val="24"/>
        </w:rPr>
        <w:t xml:space="preserve">OTC </w:t>
      </w:r>
      <w:r w:rsidRPr="00BA7F39">
        <w:rPr>
          <w:rFonts w:hint="eastAsia"/>
          <w:sz w:val="24"/>
        </w:rPr>
        <w:t>活性随着饲料中白藜芦醇含量的提高显著升高</w:t>
      </w:r>
      <w:r w:rsidRPr="00BA7F39">
        <w:rPr>
          <w:sz w:val="24"/>
        </w:rPr>
        <w:t>(</w:t>
      </w:r>
      <w:r w:rsidRPr="00BA7F39">
        <w:rPr>
          <w:i/>
          <w:iCs/>
          <w:sz w:val="24"/>
        </w:rPr>
        <w:t>P</w:t>
      </w:r>
      <w:r w:rsidRPr="00BA7F39">
        <w:rPr>
          <w:sz w:val="24"/>
        </w:rPr>
        <w:t>&lt;0.05)</w:t>
      </w:r>
      <w:r w:rsidRPr="00BA7F39">
        <w:rPr>
          <w:rFonts w:hint="eastAsia"/>
          <w:sz w:val="24"/>
        </w:rPr>
        <w:t>。</w:t>
      </w:r>
    </w:p>
    <w:p w14:paraId="00EC24F9" w14:textId="77777777" w:rsidR="00400E98" w:rsidRDefault="00400E98" w:rsidP="00400E98">
      <w:pPr>
        <w:spacing w:line="360" w:lineRule="auto"/>
        <w:ind w:firstLineChars="200" w:firstLine="480"/>
        <w:rPr>
          <w:sz w:val="24"/>
        </w:rPr>
      </w:pPr>
      <w:r w:rsidRPr="00BA7F39">
        <w:rPr>
          <w:rFonts w:hint="eastAsia"/>
          <w:sz w:val="24"/>
        </w:rPr>
        <w:t>氨氮暴露</w:t>
      </w:r>
      <w:r w:rsidRPr="00BA7F39">
        <w:rPr>
          <w:sz w:val="24"/>
        </w:rPr>
        <w:t xml:space="preserve">96 h </w:t>
      </w:r>
      <w:r w:rsidRPr="00BA7F39">
        <w:rPr>
          <w:rFonts w:hint="eastAsia"/>
          <w:sz w:val="24"/>
        </w:rPr>
        <w:t>后，对照组实验鱼肝脏组织切片发现大量细胞核浓缩、肝细胞空泡变性和细胞外周核</w:t>
      </w:r>
      <w:r w:rsidRPr="00BA7F39">
        <w:rPr>
          <w:sz w:val="24"/>
        </w:rPr>
        <w:t>(</w:t>
      </w:r>
      <w:r w:rsidRPr="00BA7F39">
        <w:rPr>
          <w:rFonts w:hint="eastAsia"/>
          <w:sz w:val="24"/>
        </w:rPr>
        <w:t>图版</w:t>
      </w:r>
      <w:r w:rsidRPr="00BA7F39">
        <w:rPr>
          <w:sz w:val="24"/>
        </w:rPr>
        <w:t>)</w:t>
      </w:r>
      <w:r w:rsidRPr="00BA7F39">
        <w:rPr>
          <w:rFonts w:hint="eastAsia"/>
          <w:sz w:val="24"/>
        </w:rPr>
        <w:t>；与对照组相比</w:t>
      </w:r>
      <w:r w:rsidRPr="00BA7F39">
        <w:rPr>
          <w:sz w:val="24"/>
        </w:rPr>
        <w:t>,</w:t>
      </w:r>
      <w:r w:rsidRPr="00BA7F39">
        <w:rPr>
          <w:rFonts w:hint="eastAsia"/>
          <w:sz w:val="24"/>
        </w:rPr>
        <w:t>白藜芦醇组实验鱼肝细胞形态正常</w:t>
      </w:r>
      <w:r w:rsidRPr="00BA7F39">
        <w:rPr>
          <w:sz w:val="24"/>
        </w:rPr>
        <w:t>,</w:t>
      </w:r>
      <w:r w:rsidRPr="00BA7F39">
        <w:rPr>
          <w:rFonts w:hint="eastAsia"/>
          <w:sz w:val="24"/>
        </w:rPr>
        <w:t>细胞核完整。</w:t>
      </w:r>
    </w:p>
    <w:p w14:paraId="7E5324D1" w14:textId="77777777" w:rsidR="00400E98" w:rsidRDefault="00400E98" w:rsidP="005D18BF">
      <w:pPr>
        <w:spacing w:line="360" w:lineRule="auto"/>
        <w:jc w:val="center"/>
        <w:rPr>
          <w:sz w:val="24"/>
        </w:rPr>
      </w:pPr>
      <w:r w:rsidRPr="00BA7F39">
        <w:rPr>
          <w:noProof/>
          <w:sz w:val="24"/>
        </w:rPr>
        <w:drawing>
          <wp:inline distT="0" distB="0" distL="0" distR="0" wp14:anchorId="4CB17179" wp14:editId="636B8ED5">
            <wp:extent cx="5759450" cy="2065020"/>
            <wp:effectExtent l="0" t="0" r="0" b="0"/>
            <wp:docPr id="1629067920" name="图片 1" descr="图片包含 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7920" name="图片 1" descr="图片包含 日程表&#10;&#10;AI 生成的内容可能不正确。"/>
                    <pic:cNvPicPr/>
                  </pic:nvPicPr>
                  <pic:blipFill>
                    <a:blip r:embed="rId44"/>
                    <a:stretch>
                      <a:fillRect/>
                    </a:stretch>
                  </pic:blipFill>
                  <pic:spPr>
                    <a:xfrm>
                      <a:off x="0" y="0"/>
                      <a:ext cx="5759450" cy="2065020"/>
                    </a:xfrm>
                    <a:prstGeom prst="rect">
                      <a:avLst/>
                    </a:prstGeom>
                  </pic:spPr>
                </pic:pic>
              </a:graphicData>
            </a:graphic>
          </wp:inline>
        </w:drawing>
      </w:r>
    </w:p>
    <w:p w14:paraId="56B86741" w14:textId="77777777" w:rsidR="00400E98" w:rsidRPr="00BA7F39" w:rsidRDefault="00400E98" w:rsidP="00400E98">
      <w:pPr>
        <w:spacing w:line="360" w:lineRule="auto"/>
        <w:rPr>
          <w:sz w:val="24"/>
        </w:rPr>
      </w:pPr>
      <w:r w:rsidRPr="00BA7F39">
        <w:rPr>
          <w:sz w:val="24"/>
        </w:rPr>
        <w:t>3</w:t>
      </w:r>
      <w:r w:rsidRPr="00BA7F39">
        <w:rPr>
          <w:rFonts w:hint="eastAsia"/>
          <w:sz w:val="24"/>
        </w:rPr>
        <w:t>讨论</w:t>
      </w:r>
    </w:p>
    <w:p w14:paraId="7B5DFB42" w14:textId="77777777" w:rsidR="00400E98" w:rsidRPr="00BA7F39" w:rsidRDefault="00400E98" w:rsidP="00400E98">
      <w:pPr>
        <w:spacing w:line="360" w:lineRule="auto"/>
        <w:rPr>
          <w:sz w:val="24"/>
        </w:rPr>
      </w:pPr>
      <w:r w:rsidRPr="00BA7F39">
        <w:rPr>
          <w:sz w:val="24"/>
        </w:rPr>
        <w:t>3.</w:t>
      </w:r>
      <w:r>
        <w:rPr>
          <w:rFonts w:hint="eastAsia"/>
          <w:sz w:val="24"/>
        </w:rPr>
        <w:t>1</w:t>
      </w:r>
      <w:r w:rsidRPr="00BA7F39">
        <w:rPr>
          <w:rFonts w:hint="eastAsia"/>
          <w:sz w:val="24"/>
        </w:rPr>
        <w:t>饲料中添加白藜芦醇对大口黑鲈生长性能、血液健康、抗氧化酶活性、炎症及细胞凋亡的影响</w:t>
      </w:r>
    </w:p>
    <w:p w14:paraId="5F7CFA3A" w14:textId="77777777" w:rsidR="00400E98" w:rsidRPr="00BA7F39" w:rsidRDefault="00400E98" w:rsidP="00400E98">
      <w:pPr>
        <w:spacing w:line="360" w:lineRule="auto"/>
        <w:ind w:firstLineChars="200" w:firstLine="480"/>
        <w:rPr>
          <w:sz w:val="24"/>
        </w:rPr>
      </w:pPr>
      <w:r w:rsidRPr="00BA7F39">
        <w:rPr>
          <w:rFonts w:hint="eastAsia"/>
          <w:sz w:val="24"/>
        </w:rPr>
        <w:t>白藜芦醇是一种植物源性多酚化合物，具有多种保健活性，广泛应用于营养和食品添加剂。当前不仅能够从植物中提取，在工程大肠杆菌中也能大量合成，工程大肠杆菌通过处理后可产生</w:t>
      </w:r>
      <w:r w:rsidRPr="00BA7F39">
        <w:rPr>
          <w:sz w:val="24"/>
        </w:rPr>
        <w:t xml:space="preserve">238.71 mg/L </w:t>
      </w:r>
      <w:r w:rsidRPr="00BA7F39">
        <w:rPr>
          <w:rFonts w:hint="eastAsia"/>
          <w:sz w:val="24"/>
        </w:rPr>
        <w:t>的白藜芦醇，降低了白藜芦醇的市场价格，提高了白藜芦醇的应用前景</w:t>
      </w:r>
      <w:r w:rsidRPr="00BA7F39">
        <w:rPr>
          <w:sz w:val="24"/>
          <w:vertAlign w:val="superscript"/>
        </w:rPr>
        <w:t>[24]</w:t>
      </w:r>
      <w:r w:rsidRPr="00BA7F39">
        <w:rPr>
          <w:rFonts w:hint="eastAsia"/>
          <w:sz w:val="24"/>
        </w:rPr>
        <w:t>。尽管白藜芦醇在组织中的流动性相当有限，但在体外研究中，白藜芦醇已被证明具有强大的生理作用和对细胞的有益作用</w:t>
      </w:r>
      <w:r w:rsidRPr="00BA7F39">
        <w:rPr>
          <w:sz w:val="24"/>
          <w:vertAlign w:val="superscript"/>
        </w:rPr>
        <w:t>[25]</w:t>
      </w:r>
      <w:r w:rsidRPr="00BA7F39">
        <w:rPr>
          <w:rFonts w:hint="eastAsia"/>
          <w:sz w:val="24"/>
        </w:rPr>
        <w:t>，可以通过一系列的技术，如使用茶水不溶性蛋白纳米颗粒</w:t>
      </w:r>
      <w:r w:rsidRPr="00BA7F39">
        <w:rPr>
          <w:sz w:val="24"/>
        </w:rPr>
        <w:t xml:space="preserve">(TWIPNPEs) </w:t>
      </w:r>
      <w:r w:rsidRPr="00BA7F39">
        <w:rPr>
          <w:rFonts w:hint="eastAsia"/>
          <w:sz w:val="24"/>
        </w:rPr>
        <w:t>包裹的白藜芦醇在体外消化时，生物利用度可得到显著提高</w:t>
      </w:r>
      <w:r w:rsidRPr="00BA7F39">
        <w:rPr>
          <w:sz w:val="24"/>
          <w:vertAlign w:val="superscript"/>
        </w:rPr>
        <w:t>[26]</w:t>
      </w:r>
      <w:r w:rsidRPr="00BA7F39">
        <w:rPr>
          <w:rFonts w:hint="eastAsia"/>
          <w:sz w:val="24"/>
        </w:rPr>
        <w:t>。将白藜芦醇封装在卵磷脂</w:t>
      </w:r>
      <w:r w:rsidRPr="00BA7F39">
        <w:rPr>
          <w:sz w:val="24"/>
        </w:rPr>
        <w:t>-</w:t>
      </w:r>
      <w:r w:rsidRPr="00BA7F39">
        <w:rPr>
          <w:rFonts w:hint="eastAsia"/>
          <w:sz w:val="24"/>
        </w:rPr>
        <w:t>多糖自组装微球</w:t>
      </w:r>
      <w:r w:rsidRPr="00BA7F39">
        <w:rPr>
          <w:sz w:val="24"/>
        </w:rPr>
        <w:t xml:space="preserve">(LPSM) </w:t>
      </w:r>
      <w:r w:rsidRPr="00BA7F39">
        <w:rPr>
          <w:rFonts w:hint="eastAsia"/>
          <w:sz w:val="24"/>
        </w:rPr>
        <w:t>中，可提高白藜芦醇的抗氧化能力，并提高白藜芦醇在体外模拟消化过程中的生物利用度</w:t>
      </w:r>
      <w:r w:rsidRPr="00BA7F39">
        <w:rPr>
          <w:sz w:val="24"/>
          <w:vertAlign w:val="superscript"/>
        </w:rPr>
        <w:t>[27]</w:t>
      </w:r>
      <w:r w:rsidRPr="00BA7F39">
        <w:rPr>
          <w:rFonts w:hint="eastAsia"/>
          <w:sz w:val="24"/>
        </w:rPr>
        <w:t>。在鱼类养殖过程中饲料添加白藜芦醇</w:t>
      </w:r>
      <w:r w:rsidRPr="00BA7F39">
        <w:rPr>
          <w:sz w:val="24"/>
        </w:rPr>
        <w:t xml:space="preserve">(0.5%~1.0%) </w:t>
      </w:r>
      <w:r w:rsidRPr="00BA7F39">
        <w:rPr>
          <w:rFonts w:hint="eastAsia"/>
          <w:sz w:val="24"/>
        </w:rPr>
        <w:t>可显著提高水生动物的生长性能、免疫反应、抗病能力和抗应激能力。尽管白藜芦醇的代谢率高，半衰期短，但其生物活性使其成为水产饲料中推荐的植物添加剂</w:t>
      </w:r>
      <w:r w:rsidRPr="00BA7F39">
        <w:rPr>
          <w:sz w:val="24"/>
          <w:vertAlign w:val="superscript"/>
        </w:rPr>
        <w:t>[28]</w:t>
      </w:r>
      <w:r w:rsidRPr="00BA7F39">
        <w:rPr>
          <w:rFonts w:hint="eastAsia"/>
          <w:sz w:val="24"/>
        </w:rPr>
        <w:t>。在哺乳动物和鱼类研究中并未发现耐受性直接证据，尽管白藜芦醇在鱼类组织中的蓄积性较低，但其脂溶性代谢物可能通过食物链传递至高级消费者，未来需通过同位素示踪技术和生态毒理模型评估其长期生态风险。</w:t>
      </w:r>
    </w:p>
    <w:p w14:paraId="58986899" w14:textId="77777777" w:rsidR="00400E98" w:rsidRPr="00BA7F39" w:rsidRDefault="00400E98" w:rsidP="00400E98">
      <w:pPr>
        <w:spacing w:line="360" w:lineRule="auto"/>
        <w:ind w:firstLineChars="200" w:firstLine="480"/>
        <w:rPr>
          <w:sz w:val="24"/>
        </w:rPr>
      </w:pPr>
      <w:r w:rsidRPr="00BA7F39">
        <w:rPr>
          <w:rFonts w:hint="eastAsia"/>
          <w:sz w:val="24"/>
        </w:rPr>
        <w:t>白藜芦醇作为一种广泛应用于水产饲料的添加剂，已被证明可以提高鱼类的生长性能</w:t>
      </w:r>
      <w:r w:rsidRPr="00BA7F39">
        <w:rPr>
          <w:sz w:val="24"/>
          <w:vertAlign w:val="superscript"/>
        </w:rPr>
        <w:t>[29]</w:t>
      </w:r>
      <w:r w:rsidRPr="00BA7F39">
        <w:rPr>
          <w:rFonts w:hint="eastAsia"/>
          <w:sz w:val="24"/>
        </w:rPr>
        <w:t>。在鲤研究中发现，饲料添加</w:t>
      </w:r>
      <w:r w:rsidRPr="00BA7F39">
        <w:rPr>
          <w:sz w:val="24"/>
        </w:rPr>
        <w:t xml:space="preserve">300 mg/kg </w:t>
      </w:r>
      <w:r w:rsidRPr="00BA7F39">
        <w:rPr>
          <w:rFonts w:hint="eastAsia"/>
          <w:sz w:val="24"/>
        </w:rPr>
        <w:t>白藜芦醇，其末重和增重显著高于对照组</w:t>
      </w:r>
      <w:r w:rsidRPr="00BA7F39">
        <w:rPr>
          <w:sz w:val="24"/>
          <w:vertAlign w:val="superscript"/>
        </w:rPr>
        <w:t>[30]</w:t>
      </w:r>
      <w:r w:rsidRPr="00BA7F39">
        <w:rPr>
          <w:rFonts w:hint="eastAsia"/>
          <w:sz w:val="24"/>
        </w:rPr>
        <w:t>。</w:t>
      </w:r>
      <w:r w:rsidRPr="00BA7F39">
        <w:rPr>
          <w:rFonts w:hint="eastAsia"/>
          <w:sz w:val="24"/>
        </w:rPr>
        <w:lastRenderedPageBreak/>
        <w:t>在漠斑牙鲆</w:t>
      </w:r>
      <w:r w:rsidRPr="00BA7F39">
        <w:rPr>
          <w:sz w:val="24"/>
        </w:rPr>
        <w:t>(</w:t>
      </w:r>
      <w:proofErr w:type="spellStart"/>
      <w:r w:rsidRPr="00BA7F39">
        <w:rPr>
          <w:i/>
          <w:iCs/>
          <w:sz w:val="24"/>
        </w:rPr>
        <w:t>Paralichthys</w:t>
      </w:r>
      <w:proofErr w:type="spellEnd"/>
      <w:r w:rsidRPr="00BA7F39">
        <w:rPr>
          <w:i/>
          <w:iCs/>
          <w:sz w:val="24"/>
        </w:rPr>
        <w:t xml:space="preserve"> </w:t>
      </w:r>
      <w:proofErr w:type="spellStart"/>
      <w:r w:rsidRPr="00BA7F39">
        <w:rPr>
          <w:i/>
          <w:iCs/>
          <w:sz w:val="24"/>
        </w:rPr>
        <w:t>lethostigma</w:t>
      </w:r>
      <w:proofErr w:type="spellEnd"/>
      <w:r w:rsidRPr="00BA7F39">
        <w:rPr>
          <w:sz w:val="24"/>
        </w:rPr>
        <w:t xml:space="preserve">) </w:t>
      </w:r>
      <w:r w:rsidRPr="00BA7F39">
        <w:rPr>
          <w:rFonts w:hint="eastAsia"/>
          <w:sz w:val="24"/>
        </w:rPr>
        <w:t>幼鱼研究中发现，饲料添加</w:t>
      </w:r>
      <w:r w:rsidRPr="00BA7F39">
        <w:rPr>
          <w:sz w:val="24"/>
        </w:rPr>
        <w:t xml:space="preserve">600 </w:t>
      </w:r>
      <w:proofErr w:type="spellStart"/>
      <w:r w:rsidRPr="00624F94">
        <w:rPr>
          <w:sz w:val="24"/>
        </w:rPr>
        <w:t>μ</w:t>
      </w:r>
      <w:r w:rsidRPr="00BA7F39">
        <w:rPr>
          <w:sz w:val="24"/>
        </w:rPr>
        <w:t>g</w:t>
      </w:r>
      <w:proofErr w:type="spellEnd"/>
      <w:r w:rsidRPr="00BA7F39">
        <w:rPr>
          <w:sz w:val="24"/>
        </w:rPr>
        <w:t xml:space="preserve">/g </w:t>
      </w:r>
      <w:r w:rsidRPr="00BA7F39">
        <w:rPr>
          <w:rFonts w:hint="eastAsia"/>
          <w:sz w:val="24"/>
        </w:rPr>
        <w:t>白藜芦醇，通过提高鱼体抗氧化能力，降低非溶酶体和溶酶体降解指标来提高其终末体重</w:t>
      </w:r>
      <w:r w:rsidRPr="00BA7F39">
        <w:rPr>
          <w:sz w:val="24"/>
          <w:vertAlign w:val="superscript"/>
        </w:rPr>
        <w:t>[31]</w:t>
      </w:r>
      <w:r w:rsidRPr="00BA7F39">
        <w:rPr>
          <w:rFonts w:hint="eastAsia"/>
          <w:sz w:val="24"/>
        </w:rPr>
        <w:t>。然而过高的白藜芦醇添加量会抑制团头鲂</w:t>
      </w:r>
      <w:r w:rsidRPr="00BA7F39">
        <w:rPr>
          <w:sz w:val="24"/>
        </w:rPr>
        <w:t>(</w:t>
      </w:r>
      <w:proofErr w:type="spellStart"/>
      <w:r w:rsidRPr="00BA7F39">
        <w:rPr>
          <w:i/>
          <w:iCs/>
          <w:sz w:val="24"/>
        </w:rPr>
        <w:t>Megalobrama</w:t>
      </w:r>
      <w:proofErr w:type="spellEnd"/>
      <w:r w:rsidRPr="00BA7F39">
        <w:rPr>
          <w:i/>
          <w:iCs/>
          <w:sz w:val="24"/>
        </w:rPr>
        <w:t xml:space="preserve"> </w:t>
      </w:r>
      <w:proofErr w:type="spellStart"/>
      <w:r w:rsidRPr="00BA7F39">
        <w:rPr>
          <w:i/>
          <w:iCs/>
          <w:sz w:val="24"/>
        </w:rPr>
        <w:t>amblycephala</w:t>
      </w:r>
      <w:proofErr w:type="spellEnd"/>
      <w:r w:rsidRPr="00BA7F39">
        <w:rPr>
          <w:sz w:val="24"/>
        </w:rPr>
        <w:t xml:space="preserve">) </w:t>
      </w:r>
      <w:r w:rsidRPr="00BA7F39">
        <w:rPr>
          <w:rFonts w:hint="eastAsia"/>
          <w:sz w:val="24"/>
        </w:rPr>
        <w:t>的生长</w:t>
      </w:r>
      <w:r w:rsidRPr="00BA7F39">
        <w:rPr>
          <w:sz w:val="24"/>
          <w:vertAlign w:val="superscript"/>
        </w:rPr>
        <w:t>[32]</w:t>
      </w:r>
      <w:r w:rsidRPr="00BA7F39">
        <w:rPr>
          <w:rFonts w:hint="eastAsia"/>
          <w:sz w:val="24"/>
        </w:rPr>
        <w:t>，相关研究发现这种现象与雷帕霉素靶蛋白信号通路有关</w:t>
      </w:r>
      <w:r w:rsidRPr="00BA7F39">
        <w:rPr>
          <w:sz w:val="24"/>
          <w:vertAlign w:val="superscript"/>
        </w:rPr>
        <w:t>[33]</w:t>
      </w:r>
      <w:r w:rsidRPr="00BA7F39">
        <w:rPr>
          <w:rFonts w:hint="eastAsia"/>
          <w:sz w:val="24"/>
        </w:rPr>
        <w:t>。在本研究中，添加白藜芦醇饲料组的大口黑鲈终末体重、</w:t>
      </w:r>
      <w:r w:rsidRPr="00BA7F39">
        <w:rPr>
          <w:sz w:val="24"/>
        </w:rPr>
        <w:t xml:space="preserve">WGR </w:t>
      </w:r>
      <w:r w:rsidRPr="00BA7F39">
        <w:rPr>
          <w:rFonts w:hint="eastAsia"/>
          <w:sz w:val="24"/>
        </w:rPr>
        <w:t>和</w:t>
      </w:r>
      <w:r w:rsidRPr="00BA7F39">
        <w:rPr>
          <w:sz w:val="24"/>
        </w:rPr>
        <w:t xml:space="preserve">SGR </w:t>
      </w:r>
      <w:r w:rsidRPr="00BA7F39">
        <w:rPr>
          <w:rFonts w:hint="eastAsia"/>
          <w:sz w:val="24"/>
        </w:rPr>
        <w:t>均显著高于对照组，本研究结果和以往研究一致。在哺乳动物研究中发现，饲料添加白藜芦醇可以显著提高其粗蛋白含量</w:t>
      </w:r>
      <w:r w:rsidRPr="00BA7F39">
        <w:rPr>
          <w:sz w:val="24"/>
          <w:vertAlign w:val="superscript"/>
        </w:rPr>
        <w:t>[34]</w:t>
      </w:r>
      <w:r w:rsidRPr="00BA7F39">
        <w:rPr>
          <w:rFonts w:hint="eastAsia"/>
          <w:sz w:val="24"/>
        </w:rPr>
        <w:t>。在西伯利亚鲟</w:t>
      </w:r>
      <w:r w:rsidRPr="00BA7F39">
        <w:rPr>
          <w:sz w:val="24"/>
        </w:rPr>
        <w:t>(</w:t>
      </w:r>
      <w:r w:rsidRPr="00BA7F39">
        <w:rPr>
          <w:i/>
          <w:iCs/>
          <w:sz w:val="24"/>
        </w:rPr>
        <w:t xml:space="preserve">Acipenser </w:t>
      </w:r>
      <w:proofErr w:type="spellStart"/>
      <w:r w:rsidRPr="00BA7F39">
        <w:rPr>
          <w:i/>
          <w:iCs/>
          <w:sz w:val="24"/>
        </w:rPr>
        <w:t>baerii</w:t>
      </w:r>
      <w:proofErr w:type="spellEnd"/>
      <w:r w:rsidRPr="00BA7F39">
        <w:rPr>
          <w:sz w:val="24"/>
        </w:rPr>
        <w:t xml:space="preserve">) </w:t>
      </w:r>
      <w:r w:rsidRPr="00BA7F39">
        <w:rPr>
          <w:rFonts w:hint="eastAsia"/>
          <w:sz w:val="24"/>
        </w:rPr>
        <w:t>研究中发现，饲料添加白藜芦醇可通过提高胞质氨基酸水平，激活</w:t>
      </w:r>
      <w:r w:rsidRPr="00BA7F39">
        <w:rPr>
          <w:sz w:val="24"/>
        </w:rPr>
        <w:t xml:space="preserve">MTOR </w:t>
      </w:r>
      <w:r w:rsidRPr="00BA7F39">
        <w:rPr>
          <w:rFonts w:hint="eastAsia"/>
          <w:sz w:val="24"/>
        </w:rPr>
        <w:t>信号通路，增加肌肉蛋白质合成和积累</w:t>
      </w:r>
      <w:r w:rsidRPr="00BA7F39">
        <w:rPr>
          <w:sz w:val="24"/>
          <w:vertAlign w:val="superscript"/>
        </w:rPr>
        <w:t>[35]</w:t>
      </w:r>
      <w:r w:rsidRPr="00BA7F39">
        <w:rPr>
          <w:rFonts w:hint="eastAsia"/>
          <w:sz w:val="24"/>
        </w:rPr>
        <w:t>。本研究也发现，饲料中添加白藜芦醇显著提高了大口黑鲈全鱼粗蛋白的含量，饲料利用率得到显著提高，以往的研究也报道过多酚类物质提高机体饲料利用率的发现</w:t>
      </w:r>
      <w:r w:rsidRPr="00BA7F39">
        <w:rPr>
          <w:sz w:val="24"/>
          <w:vertAlign w:val="superscript"/>
        </w:rPr>
        <w:t>[36]</w:t>
      </w:r>
      <w:r w:rsidRPr="00BA7F39">
        <w:rPr>
          <w:rFonts w:hint="eastAsia"/>
          <w:sz w:val="24"/>
        </w:rPr>
        <w:t>。</w:t>
      </w:r>
    </w:p>
    <w:p w14:paraId="69F19424" w14:textId="77777777" w:rsidR="00400E98" w:rsidRPr="00BA7F39" w:rsidRDefault="00400E98" w:rsidP="00400E98">
      <w:pPr>
        <w:spacing w:line="360" w:lineRule="auto"/>
        <w:ind w:firstLineChars="200" w:firstLine="480"/>
        <w:rPr>
          <w:sz w:val="24"/>
        </w:rPr>
      </w:pPr>
      <w:r w:rsidRPr="00BA7F39">
        <w:rPr>
          <w:rFonts w:hint="eastAsia"/>
          <w:sz w:val="24"/>
        </w:rPr>
        <w:t>血清生化指标通常被用来评估动物的健康状态</w:t>
      </w:r>
      <w:r w:rsidRPr="00BA7F39">
        <w:rPr>
          <w:sz w:val="24"/>
          <w:vertAlign w:val="superscript"/>
        </w:rPr>
        <w:t>[37]</w:t>
      </w:r>
      <w:r w:rsidRPr="00BA7F39">
        <w:rPr>
          <w:rFonts w:hint="eastAsia"/>
          <w:sz w:val="24"/>
        </w:rPr>
        <w:t>。本研究发现，饲料中添加白藜芦醇显著提高了大口黑鲈血清</w:t>
      </w:r>
      <w:r w:rsidRPr="00BA7F39">
        <w:rPr>
          <w:sz w:val="24"/>
        </w:rPr>
        <w:t>TP</w:t>
      </w:r>
      <w:r w:rsidRPr="00BA7F39">
        <w:rPr>
          <w:rFonts w:hint="eastAsia"/>
          <w:sz w:val="24"/>
        </w:rPr>
        <w:t>、</w:t>
      </w:r>
      <w:r w:rsidRPr="00BA7F39">
        <w:rPr>
          <w:sz w:val="24"/>
        </w:rPr>
        <w:t xml:space="preserve">ALB </w:t>
      </w:r>
      <w:r w:rsidRPr="00BA7F39">
        <w:rPr>
          <w:rFonts w:hint="eastAsia"/>
          <w:sz w:val="24"/>
        </w:rPr>
        <w:t>和</w:t>
      </w:r>
      <w:r w:rsidRPr="00BA7F39">
        <w:rPr>
          <w:sz w:val="24"/>
        </w:rPr>
        <w:t xml:space="preserve">GLB </w:t>
      </w:r>
      <w:r w:rsidRPr="00BA7F39">
        <w:rPr>
          <w:rFonts w:hint="eastAsia"/>
          <w:sz w:val="24"/>
        </w:rPr>
        <w:t>的含量。</w:t>
      </w:r>
      <w:r w:rsidRPr="00BA7F39">
        <w:rPr>
          <w:sz w:val="24"/>
        </w:rPr>
        <w:t>TP</w:t>
      </w:r>
      <w:r w:rsidRPr="00BA7F39">
        <w:rPr>
          <w:rFonts w:hint="eastAsia"/>
          <w:sz w:val="24"/>
        </w:rPr>
        <w:t>、</w:t>
      </w:r>
      <w:r w:rsidRPr="00BA7F39">
        <w:rPr>
          <w:sz w:val="24"/>
        </w:rPr>
        <w:t xml:space="preserve"> ALB </w:t>
      </w:r>
      <w:r w:rsidRPr="00BA7F39">
        <w:rPr>
          <w:rFonts w:hint="eastAsia"/>
          <w:sz w:val="24"/>
        </w:rPr>
        <w:t>和</w:t>
      </w:r>
      <w:r w:rsidRPr="00BA7F39">
        <w:rPr>
          <w:sz w:val="24"/>
        </w:rPr>
        <w:t xml:space="preserve">GLB </w:t>
      </w:r>
      <w:r w:rsidRPr="00BA7F39">
        <w:rPr>
          <w:rFonts w:hint="eastAsia"/>
          <w:sz w:val="24"/>
        </w:rPr>
        <w:t>含量的提高，往往对改善鱼类代谢水平和免疫力具有积极作用</w:t>
      </w:r>
      <w:r w:rsidRPr="00BA7F39">
        <w:rPr>
          <w:sz w:val="24"/>
          <w:vertAlign w:val="superscript"/>
        </w:rPr>
        <w:t>[31]</w:t>
      </w:r>
      <w:r w:rsidRPr="00BA7F39">
        <w:rPr>
          <w:rFonts w:hint="eastAsia"/>
          <w:sz w:val="24"/>
        </w:rPr>
        <w:t>。在团头鲂高脂研究中发现，饲料添加适量白藜芦醇喂养</w:t>
      </w:r>
      <w:r w:rsidRPr="00BA7F39">
        <w:rPr>
          <w:sz w:val="24"/>
        </w:rPr>
        <w:t xml:space="preserve">8 </w:t>
      </w:r>
      <w:r w:rsidRPr="00BA7F39">
        <w:rPr>
          <w:rFonts w:hint="eastAsia"/>
          <w:sz w:val="24"/>
        </w:rPr>
        <w:t>周可显著降低其血浆</w:t>
      </w:r>
      <w:r w:rsidRPr="00BA7F39">
        <w:rPr>
          <w:sz w:val="24"/>
        </w:rPr>
        <w:t xml:space="preserve">TG </w:t>
      </w:r>
      <w:r w:rsidRPr="00BA7F39">
        <w:rPr>
          <w:rFonts w:hint="eastAsia"/>
          <w:sz w:val="24"/>
        </w:rPr>
        <w:t>和</w:t>
      </w:r>
      <w:r w:rsidRPr="00BA7F39">
        <w:rPr>
          <w:sz w:val="24"/>
        </w:rPr>
        <w:t xml:space="preserve">TC </w:t>
      </w:r>
      <w:r w:rsidRPr="00BA7F39">
        <w:rPr>
          <w:rFonts w:hint="eastAsia"/>
          <w:sz w:val="24"/>
        </w:rPr>
        <w:t>含量</w:t>
      </w:r>
      <w:r w:rsidRPr="00BA7F39">
        <w:rPr>
          <w:sz w:val="24"/>
          <w:vertAlign w:val="superscript"/>
        </w:rPr>
        <w:t>[3]</w:t>
      </w:r>
      <w:r w:rsidRPr="00BA7F39">
        <w:rPr>
          <w:rFonts w:hint="eastAsia"/>
          <w:sz w:val="24"/>
        </w:rPr>
        <w:t>。在斑马鱼的研究中发现，白藜芦醇能够通过增加斑马鱼</w:t>
      </w:r>
      <w:r w:rsidRPr="00BA7F39">
        <w:rPr>
          <w:sz w:val="24"/>
        </w:rPr>
        <w:t xml:space="preserve">Sirt 1 </w:t>
      </w:r>
      <w:r w:rsidRPr="00BA7F39">
        <w:rPr>
          <w:rFonts w:hint="eastAsia"/>
          <w:sz w:val="24"/>
        </w:rPr>
        <w:t>蛋白水平，来降低过氧化物酶体增殖物激活受体</w:t>
      </w:r>
      <w:r w:rsidRPr="00BA7F39">
        <w:rPr>
          <w:sz w:val="24"/>
        </w:rPr>
        <w:t xml:space="preserve">γ </w:t>
      </w:r>
      <w:r w:rsidRPr="00BA7F39">
        <w:rPr>
          <w:rFonts w:hint="eastAsia"/>
          <w:sz w:val="24"/>
        </w:rPr>
        <w:t>蛋白水平，以此降低血浆</w:t>
      </w:r>
      <w:r w:rsidRPr="00BA7F39">
        <w:rPr>
          <w:sz w:val="24"/>
        </w:rPr>
        <w:t xml:space="preserve">TG </w:t>
      </w:r>
      <w:r w:rsidRPr="00BA7F39">
        <w:rPr>
          <w:rFonts w:hint="eastAsia"/>
          <w:sz w:val="24"/>
        </w:rPr>
        <w:t>水平</w:t>
      </w:r>
      <w:r w:rsidRPr="00BA7F39">
        <w:rPr>
          <w:sz w:val="24"/>
          <w:vertAlign w:val="superscript"/>
        </w:rPr>
        <w:t>[38]</w:t>
      </w:r>
      <w:r w:rsidRPr="00BA7F39">
        <w:rPr>
          <w:rFonts w:hint="eastAsia"/>
          <w:sz w:val="24"/>
        </w:rPr>
        <w:t>。在尼罗罗非鱼的研究中发现，饲料中添加白藜芦醇可以通过激活</w:t>
      </w:r>
      <w:r w:rsidRPr="00BA7F39">
        <w:rPr>
          <w:i/>
          <w:iCs/>
          <w:sz w:val="24"/>
        </w:rPr>
        <w:t>sirt</w:t>
      </w:r>
      <w:r w:rsidRPr="00BA7F39">
        <w:rPr>
          <w:sz w:val="24"/>
        </w:rPr>
        <w:t xml:space="preserve">1 </w:t>
      </w:r>
      <w:r w:rsidRPr="00BA7F39">
        <w:rPr>
          <w:rFonts w:hint="eastAsia"/>
          <w:sz w:val="24"/>
        </w:rPr>
        <w:t>基因，调控</w:t>
      </w:r>
      <w:r w:rsidRPr="00BA7F39">
        <w:rPr>
          <w:i/>
          <w:iCs/>
          <w:sz w:val="24"/>
        </w:rPr>
        <w:t xml:space="preserve">PPAR α/γ </w:t>
      </w:r>
      <w:r w:rsidRPr="00BA7F39">
        <w:rPr>
          <w:rFonts w:hint="eastAsia"/>
          <w:sz w:val="24"/>
        </w:rPr>
        <w:t>通路及相关基因，来降低肝脏</w:t>
      </w:r>
      <w:r w:rsidRPr="00BA7F39">
        <w:rPr>
          <w:sz w:val="24"/>
        </w:rPr>
        <w:t xml:space="preserve">TG </w:t>
      </w:r>
      <w:r w:rsidRPr="00BA7F39">
        <w:rPr>
          <w:rFonts w:hint="eastAsia"/>
          <w:sz w:val="24"/>
        </w:rPr>
        <w:t>含量，从而调节肝脏脂肪合成和代谢</w:t>
      </w:r>
      <w:r w:rsidRPr="00BA7F39">
        <w:rPr>
          <w:sz w:val="24"/>
          <w:vertAlign w:val="superscript"/>
        </w:rPr>
        <w:t>[39]</w:t>
      </w:r>
      <w:r w:rsidRPr="00BA7F39">
        <w:rPr>
          <w:rFonts w:hint="eastAsia"/>
          <w:sz w:val="24"/>
        </w:rPr>
        <w:t>。本研究发现，摄食富含白藜芦醇饲料的大口黑鲈，血清</w:t>
      </w:r>
      <w:r w:rsidRPr="00BA7F39">
        <w:rPr>
          <w:sz w:val="24"/>
        </w:rPr>
        <w:t xml:space="preserve">TG </w:t>
      </w:r>
      <w:r w:rsidRPr="00BA7F39">
        <w:rPr>
          <w:rFonts w:hint="eastAsia"/>
          <w:sz w:val="24"/>
        </w:rPr>
        <w:t>和</w:t>
      </w:r>
      <w:r w:rsidRPr="00BA7F39">
        <w:rPr>
          <w:sz w:val="24"/>
        </w:rPr>
        <w:t xml:space="preserve">TC </w:t>
      </w:r>
      <w:r w:rsidRPr="00BA7F39">
        <w:rPr>
          <w:rFonts w:hint="eastAsia"/>
          <w:sz w:val="24"/>
        </w:rPr>
        <w:t>水平显著降低，同时全鱼粗脂肪含量也出现显著下降，研究结果和以往研究一致。在哺乳动物研究中同样发现，高血脂症小鼠通过外源补充白藜芦醇，显著降低了血液中</w:t>
      </w:r>
      <w:r w:rsidRPr="00BA7F39">
        <w:rPr>
          <w:sz w:val="24"/>
        </w:rPr>
        <w:t xml:space="preserve">TC </w:t>
      </w:r>
      <w:r w:rsidRPr="00BA7F39">
        <w:rPr>
          <w:rFonts w:hint="eastAsia"/>
          <w:sz w:val="24"/>
        </w:rPr>
        <w:t>和</w:t>
      </w:r>
      <w:r w:rsidRPr="00BA7F39">
        <w:rPr>
          <w:sz w:val="24"/>
        </w:rPr>
        <w:t xml:space="preserve">TG </w:t>
      </w:r>
      <w:r w:rsidRPr="00BA7F39">
        <w:rPr>
          <w:rFonts w:hint="eastAsia"/>
          <w:sz w:val="24"/>
        </w:rPr>
        <w:t>的含量，提示白藜芦醇的摄入，对脂质代谢具有较好的调节作用</w:t>
      </w:r>
      <w:r w:rsidRPr="00BA7F39">
        <w:rPr>
          <w:sz w:val="24"/>
          <w:vertAlign w:val="superscript"/>
        </w:rPr>
        <w:t>[40]</w:t>
      </w:r>
      <w:r w:rsidRPr="00BA7F39">
        <w:rPr>
          <w:rFonts w:hint="eastAsia"/>
          <w:sz w:val="24"/>
        </w:rPr>
        <w:t>。血清</w:t>
      </w:r>
      <w:r w:rsidRPr="00BA7F39">
        <w:rPr>
          <w:sz w:val="24"/>
        </w:rPr>
        <w:t xml:space="preserve">ALT </w:t>
      </w:r>
      <w:r w:rsidRPr="00BA7F39">
        <w:rPr>
          <w:rFonts w:hint="eastAsia"/>
          <w:sz w:val="24"/>
        </w:rPr>
        <w:t>和</w:t>
      </w:r>
      <w:r w:rsidRPr="00BA7F39">
        <w:rPr>
          <w:sz w:val="24"/>
        </w:rPr>
        <w:t>AST</w:t>
      </w:r>
      <w:r w:rsidRPr="00BA7F39">
        <w:rPr>
          <w:rFonts w:hint="eastAsia"/>
          <w:sz w:val="24"/>
        </w:rPr>
        <w:t>含量升高与肝脏损伤有关</w:t>
      </w:r>
      <w:r w:rsidRPr="00BA7F39">
        <w:rPr>
          <w:sz w:val="24"/>
          <w:vertAlign w:val="superscript"/>
        </w:rPr>
        <w:t>[41]</w:t>
      </w:r>
      <w:r w:rsidRPr="00BA7F39">
        <w:rPr>
          <w:rFonts w:hint="eastAsia"/>
          <w:sz w:val="24"/>
        </w:rPr>
        <w:t>。在大鼠研究中发现，外源补充白藜芦醇显著降低了血液中</w:t>
      </w:r>
      <w:r w:rsidRPr="00BA7F39">
        <w:rPr>
          <w:sz w:val="24"/>
        </w:rPr>
        <w:t>ALT</w:t>
      </w:r>
      <w:r w:rsidRPr="00BA7F39">
        <w:rPr>
          <w:rFonts w:hint="eastAsia"/>
          <w:sz w:val="24"/>
        </w:rPr>
        <w:t>和</w:t>
      </w:r>
      <w:r w:rsidRPr="00BA7F39">
        <w:rPr>
          <w:sz w:val="24"/>
        </w:rPr>
        <w:t>AST</w:t>
      </w:r>
      <w:r w:rsidRPr="00BA7F39">
        <w:rPr>
          <w:rFonts w:hint="eastAsia"/>
          <w:sz w:val="24"/>
        </w:rPr>
        <w:t>的含量</w:t>
      </w:r>
      <w:r w:rsidRPr="00BA7F39">
        <w:rPr>
          <w:sz w:val="24"/>
        </w:rPr>
        <w:t>,</w:t>
      </w:r>
      <w:r w:rsidRPr="00BA7F39">
        <w:rPr>
          <w:rFonts w:hint="eastAsia"/>
          <w:sz w:val="24"/>
        </w:rPr>
        <w:t>肝损伤得到了明显的缓解</w:t>
      </w:r>
      <w:r w:rsidRPr="00BA7F39">
        <w:rPr>
          <w:sz w:val="24"/>
          <w:vertAlign w:val="superscript"/>
        </w:rPr>
        <w:t>[42]</w:t>
      </w:r>
      <w:r w:rsidRPr="00BA7F39">
        <w:rPr>
          <w:rFonts w:hint="eastAsia"/>
          <w:sz w:val="24"/>
        </w:rPr>
        <w:t>。该发现与本研究的结果是一致的</w:t>
      </w:r>
      <w:r w:rsidRPr="00BA7F39">
        <w:rPr>
          <w:sz w:val="24"/>
        </w:rPr>
        <w:t>,</w:t>
      </w:r>
      <w:r w:rsidRPr="00BA7F39">
        <w:rPr>
          <w:rFonts w:hint="eastAsia"/>
          <w:sz w:val="24"/>
        </w:rPr>
        <w:t>摄食白藜芦醇的大口黑鲈血清中</w:t>
      </w:r>
      <w:r w:rsidRPr="00BA7F39">
        <w:rPr>
          <w:sz w:val="24"/>
        </w:rPr>
        <w:t>ALT</w:t>
      </w:r>
      <w:r w:rsidRPr="00BA7F39">
        <w:rPr>
          <w:rFonts w:hint="eastAsia"/>
          <w:sz w:val="24"/>
        </w:rPr>
        <w:t>和</w:t>
      </w:r>
      <w:r w:rsidRPr="00BA7F39">
        <w:rPr>
          <w:sz w:val="24"/>
        </w:rPr>
        <w:t>AST</w:t>
      </w:r>
      <w:r w:rsidRPr="00BA7F39">
        <w:rPr>
          <w:rFonts w:hint="eastAsia"/>
          <w:sz w:val="24"/>
        </w:rPr>
        <w:t>水平显著低于对照组。</w:t>
      </w:r>
    </w:p>
    <w:p w14:paraId="73CD0BC1" w14:textId="781E302F" w:rsidR="00400E98" w:rsidRPr="00BA7F39" w:rsidRDefault="00400E98" w:rsidP="00400E98">
      <w:pPr>
        <w:spacing w:line="360" w:lineRule="auto"/>
        <w:ind w:firstLineChars="200" w:firstLine="480"/>
        <w:rPr>
          <w:sz w:val="24"/>
        </w:rPr>
      </w:pPr>
      <w:r w:rsidRPr="00BA7F39">
        <w:rPr>
          <w:rFonts w:hint="eastAsia"/>
          <w:sz w:val="24"/>
        </w:rPr>
        <w:t>在生物体有氧代谢过程中，线粒体会产生代谢副产物活性氧</w:t>
      </w:r>
      <w:r w:rsidRPr="00BA7F39">
        <w:rPr>
          <w:sz w:val="24"/>
        </w:rPr>
        <w:t>(ROS)</w:t>
      </w:r>
      <w:r w:rsidRPr="00BA7F39">
        <w:rPr>
          <w:rFonts w:hint="eastAsia"/>
          <w:sz w:val="24"/>
        </w:rPr>
        <w:t>，而</w:t>
      </w:r>
      <w:r w:rsidRPr="00BA7F39">
        <w:rPr>
          <w:sz w:val="24"/>
        </w:rPr>
        <w:t xml:space="preserve">ROS </w:t>
      </w:r>
      <w:r w:rsidRPr="00BA7F39">
        <w:rPr>
          <w:rFonts w:hint="eastAsia"/>
          <w:sz w:val="24"/>
        </w:rPr>
        <w:t>的异常积累和外源性应激可通过破坏细胞内</w:t>
      </w:r>
      <w:r w:rsidRPr="00BA7F39">
        <w:rPr>
          <w:sz w:val="24"/>
        </w:rPr>
        <w:t xml:space="preserve">ROS </w:t>
      </w:r>
      <w:r w:rsidRPr="00BA7F39">
        <w:rPr>
          <w:rFonts w:hint="eastAsia"/>
          <w:sz w:val="24"/>
        </w:rPr>
        <w:t>稳态诱发氧化应激</w:t>
      </w:r>
      <w:r w:rsidRPr="00BA7F39">
        <w:rPr>
          <w:sz w:val="24"/>
          <w:vertAlign w:val="superscript"/>
        </w:rPr>
        <w:t>[43]</w:t>
      </w:r>
      <w:r w:rsidRPr="00BA7F39">
        <w:rPr>
          <w:rFonts w:hint="eastAsia"/>
          <w:sz w:val="24"/>
        </w:rPr>
        <w:t>。生物体自身具有的抗氧化系统，如</w:t>
      </w:r>
      <w:r w:rsidRPr="00BA7F39">
        <w:rPr>
          <w:sz w:val="24"/>
        </w:rPr>
        <w:t>SOD</w:t>
      </w:r>
      <w:r w:rsidRPr="00BA7F39">
        <w:rPr>
          <w:rFonts w:hint="eastAsia"/>
          <w:sz w:val="24"/>
        </w:rPr>
        <w:t>、</w:t>
      </w:r>
      <w:r w:rsidRPr="00BA7F39">
        <w:rPr>
          <w:sz w:val="24"/>
        </w:rPr>
        <w:t xml:space="preserve"> CAT </w:t>
      </w:r>
      <w:r w:rsidRPr="00BA7F39">
        <w:rPr>
          <w:rFonts w:hint="eastAsia"/>
          <w:sz w:val="24"/>
        </w:rPr>
        <w:t>和</w:t>
      </w:r>
      <w:r w:rsidRPr="00BA7F39">
        <w:rPr>
          <w:sz w:val="24"/>
        </w:rPr>
        <w:t xml:space="preserve">GPX </w:t>
      </w:r>
      <w:r w:rsidRPr="00BA7F39">
        <w:rPr>
          <w:rFonts w:hint="eastAsia"/>
          <w:sz w:val="24"/>
        </w:rPr>
        <w:t>等，在保护机体免受氧化损伤方面发挥了关键作用</w:t>
      </w:r>
      <w:r w:rsidRPr="00BA7F39">
        <w:rPr>
          <w:sz w:val="24"/>
          <w:vertAlign w:val="superscript"/>
        </w:rPr>
        <w:t>[44]</w:t>
      </w:r>
      <w:r w:rsidRPr="00BA7F39">
        <w:rPr>
          <w:rFonts w:hint="eastAsia"/>
          <w:sz w:val="24"/>
        </w:rPr>
        <w:t>。</w:t>
      </w:r>
      <w:r w:rsidRPr="00BA7F39">
        <w:rPr>
          <w:sz w:val="24"/>
        </w:rPr>
        <w:t xml:space="preserve">SOD </w:t>
      </w:r>
      <w:r w:rsidRPr="00BA7F39">
        <w:rPr>
          <w:rFonts w:hint="eastAsia"/>
          <w:sz w:val="24"/>
        </w:rPr>
        <w:t>能够将</w:t>
      </w:r>
      <w:r w:rsidRPr="00BA7F39">
        <w:rPr>
          <w:sz w:val="24"/>
        </w:rPr>
        <w:t xml:space="preserve">ROS </w:t>
      </w:r>
      <w:r w:rsidRPr="00BA7F39">
        <w:rPr>
          <w:rFonts w:hint="eastAsia"/>
          <w:sz w:val="24"/>
        </w:rPr>
        <w:t>催化为过氧化氢</w:t>
      </w:r>
      <w:r w:rsidRPr="00BA7F39">
        <w:rPr>
          <w:sz w:val="24"/>
        </w:rPr>
        <w:t>(H</w:t>
      </w:r>
      <w:r w:rsidRPr="00BA7F39">
        <w:rPr>
          <w:sz w:val="24"/>
          <w:vertAlign w:val="subscript"/>
        </w:rPr>
        <w:t>2</w:t>
      </w:r>
      <w:r w:rsidRPr="00BA7F39">
        <w:rPr>
          <w:sz w:val="24"/>
        </w:rPr>
        <w:t>O</w:t>
      </w:r>
      <w:r w:rsidRPr="00BA7F39">
        <w:rPr>
          <w:sz w:val="24"/>
          <w:vertAlign w:val="subscript"/>
        </w:rPr>
        <w:t>2</w:t>
      </w:r>
      <w:r w:rsidRPr="00BA7F39">
        <w:rPr>
          <w:sz w:val="24"/>
        </w:rPr>
        <w:t>)</w:t>
      </w:r>
      <w:r w:rsidRPr="00BA7F39">
        <w:rPr>
          <w:rFonts w:hint="eastAsia"/>
          <w:sz w:val="24"/>
        </w:rPr>
        <w:t>，有毒的过氧化氢在</w:t>
      </w:r>
      <w:r w:rsidRPr="00BA7F39">
        <w:rPr>
          <w:sz w:val="24"/>
        </w:rPr>
        <w:t xml:space="preserve">CAT </w:t>
      </w:r>
      <w:r w:rsidRPr="00BA7F39">
        <w:rPr>
          <w:rFonts w:hint="eastAsia"/>
          <w:sz w:val="24"/>
        </w:rPr>
        <w:t>和</w:t>
      </w:r>
      <w:r w:rsidRPr="00BA7F39">
        <w:rPr>
          <w:sz w:val="24"/>
        </w:rPr>
        <w:t xml:space="preserve">GPX </w:t>
      </w:r>
      <w:r w:rsidRPr="00BA7F39">
        <w:rPr>
          <w:rFonts w:hint="eastAsia"/>
          <w:sz w:val="24"/>
        </w:rPr>
        <w:t>的进一步催化下，转变成无毒的分子氧和水</w:t>
      </w:r>
      <w:r w:rsidRPr="00BA7F39">
        <w:rPr>
          <w:sz w:val="24"/>
          <w:vertAlign w:val="superscript"/>
        </w:rPr>
        <w:t>[45]</w:t>
      </w:r>
      <w:r w:rsidRPr="00BA7F39">
        <w:rPr>
          <w:rFonts w:hint="eastAsia"/>
          <w:sz w:val="24"/>
        </w:rPr>
        <w:t>。白藜芦醇是一种强效抗氧化剂，能够通过减少自由基的产生</w:t>
      </w:r>
      <w:r w:rsidRPr="00BA7F39">
        <w:rPr>
          <w:rFonts w:hint="eastAsia"/>
          <w:sz w:val="24"/>
        </w:rPr>
        <w:lastRenderedPageBreak/>
        <w:t>来缓解氧化损伤</w:t>
      </w:r>
      <w:r w:rsidRPr="00BA7F39">
        <w:rPr>
          <w:sz w:val="24"/>
          <w:vertAlign w:val="superscript"/>
        </w:rPr>
        <w:t>[46]</w:t>
      </w:r>
      <w:r w:rsidRPr="00BA7F39">
        <w:rPr>
          <w:rFonts w:hint="eastAsia"/>
          <w:sz w:val="24"/>
        </w:rPr>
        <w:t>。在团头鲂研究中发现</w:t>
      </w:r>
      <w:r>
        <w:rPr>
          <w:rFonts w:hint="eastAsia"/>
          <w:sz w:val="24"/>
        </w:rPr>
        <w:t>，</w:t>
      </w:r>
      <w:r w:rsidRPr="00BA7F39">
        <w:rPr>
          <w:rFonts w:hint="eastAsia"/>
          <w:sz w:val="24"/>
        </w:rPr>
        <w:t>白藜芦醇通过上调</w:t>
      </w:r>
      <w:r w:rsidRPr="00BA7F39">
        <w:rPr>
          <w:sz w:val="24"/>
        </w:rPr>
        <w:t>Cu/Zn-sod</w:t>
      </w:r>
      <w:r w:rsidRPr="00BA7F39">
        <w:rPr>
          <w:rFonts w:hint="eastAsia"/>
          <w:sz w:val="24"/>
        </w:rPr>
        <w:t xml:space="preserve"> </w:t>
      </w:r>
      <w:r w:rsidRPr="00BA7F39">
        <w:rPr>
          <w:rFonts w:hint="eastAsia"/>
          <w:sz w:val="24"/>
        </w:rPr>
        <w:t>的转录，增加</w:t>
      </w:r>
      <w:r w:rsidRPr="00BA7F39">
        <w:rPr>
          <w:rFonts w:hint="eastAsia"/>
          <w:sz w:val="24"/>
        </w:rPr>
        <w:t>T-</w:t>
      </w:r>
      <w:r w:rsidRPr="003C48EF">
        <w:rPr>
          <w:sz w:val="24"/>
        </w:rPr>
        <w:t>SOD</w:t>
      </w:r>
      <w:r w:rsidRPr="003C48EF">
        <w:rPr>
          <w:rFonts w:hint="eastAsia"/>
          <w:sz w:val="24"/>
        </w:rPr>
        <w:t>、</w:t>
      </w:r>
      <w:r w:rsidRPr="003C48EF">
        <w:rPr>
          <w:sz w:val="24"/>
        </w:rPr>
        <w:t xml:space="preserve">CAT </w:t>
      </w:r>
      <w:r w:rsidRPr="003C48EF">
        <w:rPr>
          <w:rFonts w:hint="eastAsia"/>
          <w:sz w:val="24"/>
        </w:rPr>
        <w:t>和</w:t>
      </w:r>
      <w:r w:rsidRPr="003C48EF">
        <w:rPr>
          <w:sz w:val="24"/>
        </w:rPr>
        <w:t xml:space="preserve">GPX </w:t>
      </w:r>
      <w:r w:rsidRPr="003C48EF">
        <w:rPr>
          <w:rFonts w:hint="eastAsia"/>
          <w:sz w:val="24"/>
        </w:rPr>
        <w:t>的活性，缓解高碳水化合物饲料对其抗氧化酶活性的抑制，增强机体的抗氧化性能</w:t>
      </w:r>
      <w:r w:rsidRPr="003C48EF">
        <w:rPr>
          <w:sz w:val="24"/>
          <w:vertAlign w:val="superscript"/>
        </w:rPr>
        <w:t>[47]</w:t>
      </w:r>
      <w:r w:rsidRPr="003C48EF">
        <w:rPr>
          <w:rFonts w:hint="eastAsia"/>
          <w:sz w:val="24"/>
        </w:rPr>
        <w:t>。在乌鳢</w:t>
      </w:r>
      <w:r w:rsidRPr="003C48EF">
        <w:rPr>
          <w:sz w:val="24"/>
        </w:rPr>
        <w:t>(</w:t>
      </w:r>
      <w:r w:rsidRPr="003C48EF">
        <w:rPr>
          <w:i/>
          <w:iCs/>
          <w:sz w:val="24"/>
        </w:rPr>
        <w:t>Channa argus</w:t>
      </w:r>
      <w:r w:rsidRPr="003C48EF">
        <w:rPr>
          <w:sz w:val="24"/>
        </w:rPr>
        <w:t xml:space="preserve">) </w:t>
      </w:r>
      <w:r w:rsidRPr="003C48EF">
        <w:rPr>
          <w:rFonts w:hint="eastAsia"/>
          <w:sz w:val="24"/>
        </w:rPr>
        <w:t>研究中发现，在饲料中添加</w:t>
      </w:r>
      <w:r w:rsidRPr="003C48EF">
        <w:rPr>
          <w:sz w:val="24"/>
        </w:rPr>
        <w:t xml:space="preserve">75~125 mg/kg </w:t>
      </w:r>
      <w:r w:rsidRPr="003C48EF">
        <w:rPr>
          <w:rFonts w:hint="eastAsia"/>
          <w:sz w:val="24"/>
        </w:rPr>
        <w:t>白藜芦醇，可以显著提高血清中</w:t>
      </w:r>
      <w:r w:rsidRPr="003C48EF">
        <w:rPr>
          <w:sz w:val="24"/>
        </w:rPr>
        <w:t>SOD</w:t>
      </w:r>
      <w:r w:rsidRPr="003C48EF">
        <w:rPr>
          <w:rFonts w:hint="eastAsia"/>
          <w:sz w:val="24"/>
        </w:rPr>
        <w:t>、</w:t>
      </w:r>
      <w:r w:rsidRPr="003C48EF">
        <w:rPr>
          <w:sz w:val="24"/>
        </w:rPr>
        <w:t xml:space="preserve">CAT </w:t>
      </w:r>
      <w:r w:rsidRPr="003C48EF">
        <w:rPr>
          <w:rFonts w:hint="eastAsia"/>
          <w:sz w:val="24"/>
        </w:rPr>
        <w:t>和</w:t>
      </w:r>
      <w:r w:rsidRPr="003C48EF">
        <w:rPr>
          <w:sz w:val="24"/>
        </w:rPr>
        <w:t xml:space="preserve">GPX </w:t>
      </w:r>
      <w:r w:rsidRPr="003C48EF">
        <w:rPr>
          <w:rFonts w:hint="eastAsia"/>
          <w:sz w:val="24"/>
        </w:rPr>
        <w:t>水平</w:t>
      </w:r>
      <w:r w:rsidRPr="003C48EF">
        <w:rPr>
          <w:sz w:val="24"/>
          <w:vertAlign w:val="superscript"/>
        </w:rPr>
        <w:t>[48]</w:t>
      </w:r>
      <w:r w:rsidRPr="003C48EF">
        <w:rPr>
          <w:rFonts w:hint="eastAsia"/>
          <w:sz w:val="24"/>
        </w:rPr>
        <w:t>。本研究发现，饲料中添加白藜芦醇显著提高了大口黑鲈肝</w:t>
      </w:r>
      <w:r w:rsidRPr="00BA7F39">
        <w:rPr>
          <w:rFonts w:hint="eastAsia"/>
          <w:sz w:val="24"/>
        </w:rPr>
        <w:t>脏中抗氧化酶的活性，此结果与大菱鲆</w:t>
      </w:r>
      <w:r w:rsidRPr="00BA7F39">
        <w:rPr>
          <w:sz w:val="24"/>
          <w:vertAlign w:val="superscript"/>
        </w:rPr>
        <w:t>[2]</w:t>
      </w:r>
      <w:r w:rsidRPr="00BA7F39">
        <w:rPr>
          <w:rFonts w:hint="eastAsia"/>
          <w:sz w:val="24"/>
        </w:rPr>
        <w:t>和仔猪</w:t>
      </w:r>
      <w:r w:rsidRPr="00BA7F39">
        <w:rPr>
          <w:sz w:val="24"/>
          <w:vertAlign w:val="superscript"/>
        </w:rPr>
        <w:t>[49]</w:t>
      </w:r>
      <w:r w:rsidRPr="00BA7F39">
        <w:rPr>
          <w:rFonts w:hint="eastAsia"/>
          <w:sz w:val="24"/>
        </w:rPr>
        <w:t>的研究报道一致。以往的研究认为，抗氧化酶活性的强弱还受到相关基因</w:t>
      </w:r>
      <w:r w:rsidRPr="00BA7F39">
        <w:rPr>
          <w:sz w:val="24"/>
        </w:rPr>
        <w:t xml:space="preserve">mRNA </w:t>
      </w:r>
      <w:r w:rsidRPr="00BA7F39">
        <w:rPr>
          <w:rFonts w:hint="eastAsia"/>
          <w:sz w:val="24"/>
        </w:rPr>
        <w:t>表达的调节。本研究发现，饲料中添加白藜芦醇能够显著上调大口黑鲈肝脏中</w:t>
      </w:r>
      <w:r w:rsidRPr="00BA7F39">
        <w:rPr>
          <w:i/>
          <w:iCs/>
          <w:sz w:val="24"/>
        </w:rPr>
        <w:t>sod</w:t>
      </w:r>
      <w:r w:rsidRPr="00BA7F39">
        <w:rPr>
          <w:rFonts w:hint="eastAsia"/>
          <w:sz w:val="24"/>
        </w:rPr>
        <w:t>、</w:t>
      </w:r>
      <w:r w:rsidRPr="00BA7F39">
        <w:rPr>
          <w:i/>
          <w:iCs/>
          <w:sz w:val="24"/>
        </w:rPr>
        <w:t>cat</w:t>
      </w:r>
      <w:r w:rsidRPr="00BA7F39">
        <w:rPr>
          <w:rFonts w:hint="eastAsia"/>
          <w:sz w:val="24"/>
        </w:rPr>
        <w:t>、</w:t>
      </w:r>
      <w:proofErr w:type="spellStart"/>
      <w:r w:rsidRPr="00BA7F39">
        <w:rPr>
          <w:i/>
          <w:iCs/>
          <w:sz w:val="24"/>
        </w:rPr>
        <w:t>gpx</w:t>
      </w:r>
      <w:proofErr w:type="spellEnd"/>
      <w:r w:rsidRPr="00BA7F39">
        <w:rPr>
          <w:i/>
          <w:iCs/>
          <w:sz w:val="24"/>
        </w:rPr>
        <w:t xml:space="preserve"> </w:t>
      </w:r>
      <w:r w:rsidRPr="00BA7F39">
        <w:rPr>
          <w:rFonts w:hint="eastAsia"/>
          <w:sz w:val="24"/>
        </w:rPr>
        <w:t>和</w:t>
      </w:r>
      <w:r w:rsidRPr="00BA7F39">
        <w:rPr>
          <w:i/>
          <w:iCs/>
          <w:sz w:val="24"/>
        </w:rPr>
        <w:t xml:space="preserve">gr </w:t>
      </w:r>
      <w:r w:rsidRPr="00BA7F39">
        <w:rPr>
          <w:rFonts w:hint="eastAsia"/>
          <w:sz w:val="24"/>
        </w:rPr>
        <w:t>基因的</w:t>
      </w:r>
      <w:r w:rsidRPr="00BA7F39">
        <w:rPr>
          <w:sz w:val="24"/>
        </w:rPr>
        <w:t>mRNA</w:t>
      </w:r>
      <w:r w:rsidRPr="00BA7F39">
        <w:rPr>
          <w:rFonts w:hint="eastAsia"/>
          <w:sz w:val="24"/>
        </w:rPr>
        <w:t>表达量，与酶活性的变化趋势一致，因此推测白藜芦醇通过提高</w:t>
      </w:r>
      <w:r w:rsidRPr="00BA7F39">
        <w:rPr>
          <w:i/>
          <w:iCs/>
          <w:sz w:val="24"/>
        </w:rPr>
        <w:t>sod</w:t>
      </w:r>
      <w:r w:rsidRPr="00BA7F39">
        <w:rPr>
          <w:rFonts w:hint="eastAsia"/>
          <w:sz w:val="24"/>
        </w:rPr>
        <w:t>、</w:t>
      </w:r>
      <w:r w:rsidRPr="00BA7F39">
        <w:rPr>
          <w:i/>
          <w:iCs/>
          <w:sz w:val="24"/>
        </w:rPr>
        <w:t>cat</w:t>
      </w:r>
      <w:r w:rsidRPr="00BA7F39">
        <w:rPr>
          <w:rFonts w:hint="eastAsia"/>
          <w:sz w:val="24"/>
        </w:rPr>
        <w:t>、</w:t>
      </w:r>
      <w:proofErr w:type="spellStart"/>
      <w:r w:rsidRPr="00BA7F39">
        <w:rPr>
          <w:i/>
          <w:iCs/>
          <w:sz w:val="24"/>
        </w:rPr>
        <w:t>gpx</w:t>
      </w:r>
      <w:proofErr w:type="spellEnd"/>
      <w:r w:rsidRPr="00BA7F39">
        <w:rPr>
          <w:i/>
          <w:iCs/>
          <w:sz w:val="24"/>
        </w:rPr>
        <w:t xml:space="preserve"> </w:t>
      </w:r>
      <w:r w:rsidRPr="00BA7F39">
        <w:rPr>
          <w:rFonts w:hint="eastAsia"/>
          <w:sz w:val="24"/>
        </w:rPr>
        <w:t>和</w:t>
      </w:r>
      <w:r w:rsidRPr="00BA7F39">
        <w:rPr>
          <w:i/>
          <w:iCs/>
          <w:sz w:val="24"/>
        </w:rPr>
        <w:t xml:space="preserve">gr </w:t>
      </w:r>
      <w:r w:rsidRPr="00BA7F39">
        <w:rPr>
          <w:rFonts w:hint="eastAsia"/>
          <w:sz w:val="24"/>
        </w:rPr>
        <w:t>基因的</w:t>
      </w:r>
      <w:r w:rsidRPr="00BA7F39">
        <w:rPr>
          <w:sz w:val="24"/>
        </w:rPr>
        <w:t>mRNA</w:t>
      </w:r>
      <w:r w:rsidRPr="00BA7F39">
        <w:rPr>
          <w:rFonts w:hint="eastAsia"/>
          <w:sz w:val="24"/>
        </w:rPr>
        <w:t>表达</w:t>
      </w:r>
      <w:r w:rsidR="005D18BF" w:rsidRPr="00BA7F39">
        <w:rPr>
          <w:sz w:val="24"/>
        </w:rPr>
        <w:t>,</w:t>
      </w:r>
      <w:r w:rsidRPr="00BA7F39">
        <w:rPr>
          <w:rFonts w:hint="eastAsia"/>
          <w:sz w:val="24"/>
        </w:rPr>
        <w:t>来增强</w:t>
      </w:r>
      <w:r w:rsidRPr="00BA7F39">
        <w:rPr>
          <w:sz w:val="24"/>
        </w:rPr>
        <w:t>T-AOC</w:t>
      </w:r>
      <w:r w:rsidRPr="00BA7F39">
        <w:rPr>
          <w:rFonts w:hint="eastAsia"/>
          <w:sz w:val="24"/>
        </w:rPr>
        <w:t>、</w:t>
      </w:r>
      <w:r w:rsidRPr="00BA7F39">
        <w:rPr>
          <w:sz w:val="24"/>
        </w:rPr>
        <w:t>SOD</w:t>
      </w:r>
      <w:r w:rsidRPr="00BA7F39">
        <w:rPr>
          <w:rFonts w:hint="eastAsia"/>
          <w:sz w:val="24"/>
        </w:rPr>
        <w:t>、</w:t>
      </w:r>
      <w:r w:rsidRPr="00BA7F39">
        <w:rPr>
          <w:sz w:val="24"/>
        </w:rPr>
        <w:t xml:space="preserve">CAT </w:t>
      </w:r>
      <w:r w:rsidRPr="00BA7F39">
        <w:rPr>
          <w:rFonts w:hint="eastAsia"/>
          <w:sz w:val="24"/>
        </w:rPr>
        <w:t>和</w:t>
      </w:r>
      <w:r w:rsidRPr="00BA7F39">
        <w:rPr>
          <w:sz w:val="24"/>
        </w:rPr>
        <w:t xml:space="preserve">GPX </w:t>
      </w:r>
      <w:r w:rsidRPr="00BA7F39">
        <w:rPr>
          <w:rFonts w:hint="eastAsia"/>
          <w:sz w:val="24"/>
        </w:rPr>
        <w:t>的活性</w:t>
      </w:r>
      <w:r w:rsidR="005D18BF" w:rsidRPr="00BA7F39">
        <w:rPr>
          <w:sz w:val="24"/>
        </w:rPr>
        <w:t>,</w:t>
      </w:r>
      <w:r w:rsidRPr="00BA7F39">
        <w:rPr>
          <w:rFonts w:hint="eastAsia"/>
          <w:sz w:val="24"/>
        </w:rPr>
        <w:t>以此提高大口黑鲈的抗氧化能力。</w:t>
      </w:r>
    </w:p>
    <w:p w14:paraId="1C48F3C9" w14:textId="7765CF2A" w:rsidR="00400E98" w:rsidRPr="00BA7F39" w:rsidRDefault="00400E98" w:rsidP="005D18BF">
      <w:pPr>
        <w:autoSpaceDE w:val="0"/>
        <w:spacing w:line="360" w:lineRule="auto"/>
        <w:ind w:firstLineChars="200" w:firstLine="480"/>
        <w:rPr>
          <w:sz w:val="24"/>
        </w:rPr>
      </w:pPr>
      <w:r w:rsidRPr="00BA7F39">
        <w:rPr>
          <w:rFonts w:hint="eastAsia"/>
          <w:sz w:val="24"/>
        </w:rPr>
        <w:t>氧化损伤往往会诱发炎症，通过促炎细胞因子的释放，从而激活炎症反应</w:t>
      </w:r>
      <w:r w:rsidRPr="00BA7F39">
        <w:rPr>
          <w:sz w:val="24"/>
          <w:vertAlign w:val="superscript"/>
        </w:rPr>
        <w:t>[50]</w:t>
      </w:r>
      <w:r w:rsidRPr="00BA7F39">
        <w:rPr>
          <w:rFonts w:hint="eastAsia"/>
          <w:sz w:val="24"/>
        </w:rPr>
        <w:t>。在贡氏圆尾鳉</w:t>
      </w:r>
      <w:r w:rsidRPr="00BA7F39">
        <w:rPr>
          <w:sz w:val="24"/>
        </w:rPr>
        <w:t>(</w:t>
      </w:r>
      <w:r w:rsidRPr="00BA7F39">
        <w:rPr>
          <w:i/>
          <w:iCs/>
          <w:sz w:val="24"/>
        </w:rPr>
        <w:t>Nothobranchius guentheri</w:t>
      </w:r>
      <w:r w:rsidRPr="00BA7F39">
        <w:rPr>
          <w:sz w:val="24"/>
        </w:rPr>
        <w:t xml:space="preserve">) </w:t>
      </w:r>
      <w:r w:rsidRPr="00BA7F39">
        <w:rPr>
          <w:rFonts w:hint="eastAsia"/>
          <w:sz w:val="24"/>
        </w:rPr>
        <w:t>研究中证实，饲料中添加白藜芦醇能够显著下调肝脏中</w:t>
      </w:r>
      <w:r w:rsidRPr="00BA7F39">
        <w:rPr>
          <w:i/>
          <w:iCs/>
          <w:sz w:val="24"/>
        </w:rPr>
        <w:t>il-</w:t>
      </w:r>
      <w:r w:rsidRPr="00BA7F39">
        <w:rPr>
          <w:sz w:val="24"/>
        </w:rPr>
        <w:t>1</w:t>
      </w:r>
      <w:r w:rsidRPr="00BA7F39">
        <w:rPr>
          <w:i/>
          <w:iCs/>
          <w:sz w:val="24"/>
        </w:rPr>
        <w:t>β</w:t>
      </w:r>
      <w:r w:rsidRPr="00BA7F39">
        <w:rPr>
          <w:rFonts w:hint="eastAsia"/>
          <w:sz w:val="24"/>
        </w:rPr>
        <w:t>、</w:t>
      </w:r>
      <w:proofErr w:type="spellStart"/>
      <w:r w:rsidRPr="00BA7F39">
        <w:rPr>
          <w:i/>
          <w:iCs/>
          <w:sz w:val="24"/>
        </w:rPr>
        <w:t>tnf</w:t>
      </w:r>
      <w:proofErr w:type="spellEnd"/>
      <w:r w:rsidRPr="00BA7F39">
        <w:rPr>
          <w:i/>
          <w:iCs/>
          <w:sz w:val="24"/>
        </w:rPr>
        <w:t xml:space="preserve">-α </w:t>
      </w:r>
      <w:r w:rsidRPr="00BA7F39">
        <w:rPr>
          <w:rFonts w:hint="eastAsia"/>
          <w:sz w:val="24"/>
        </w:rPr>
        <w:t>和</w:t>
      </w:r>
      <w:r w:rsidRPr="00BA7F39">
        <w:rPr>
          <w:i/>
          <w:iCs/>
          <w:sz w:val="24"/>
        </w:rPr>
        <w:t>il-</w:t>
      </w:r>
      <w:r w:rsidRPr="00BA7F39">
        <w:rPr>
          <w:sz w:val="24"/>
        </w:rPr>
        <w:t>8</w:t>
      </w:r>
      <w:r w:rsidRPr="00BA7F39">
        <w:rPr>
          <w:rFonts w:hint="eastAsia"/>
          <w:sz w:val="24"/>
        </w:rPr>
        <w:t>基因的表达量，以降低炎症对机体的伤害</w:t>
      </w:r>
      <w:r w:rsidRPr="00BA7F39">
        <w:rPr>
          <w:sz w:val="24"/>
          <w:vertAlign w:val="superscript"/>
        </w:rPr>
        <w:t>[51]</w:t>
      </w:r>
      <w:r w:rsidRPr="00BA7F39">
        <w:rPr>
          <w:rFonts w:hint="eastAsia"/>
          <w:sz w:val="24"/>
        </w:rPr>
        <w:t>。本研究也获得了类似的结果，饲料中添加白藜芦醇显著下调了大口黑鲈肝脏中</w:t>
      </w:r>
      <w:r w:rsidRPr="00BA7F39">
        <w:rPr>
          <w:i/>
          <w:iCs/>
          <w:sz w:val="24"/>
        </w:rPr>
        <w:t>il-</w:t>
      </w:r>
      <w:r w:rsidRPr="00BA7F39">
        <w:rPr>
          <w:sz w:val="24"/>
        </w:rPr>
        <w:t xml:space="preserve">1 </w:t>
      </w:r>
      <w:r w:rsidRPr="00BA7F39">
        <w:rPr>
          <w:rFonts w:hint="eastAsia"/>
          <w:sz w:val="24"/>
        </w:rPr>
        <w:t>和</w:t>
      </w:r>
      <w:r w:rsidRPr="00BA7F39">
        <w:rPr>
          <w:i/>
          <w:iCs/>
          <w:sz w:val="24"/>
        </w:rPr>
        <w:t>il-</w:t>
      </w:r>
      <w:r w:rsidRPr="00BA7F39">
        <w:rPr>
          <w:sz w:val="24"/>
        </w:rPr>
        <w:t xml:space="preserve">8 </w:t>
      </w:r>
      <w:r w:rsidRPr="00BA7F39">
        <w:rPr>
          <w:rFonts w:hint="eastAsia"/>
          <w:sz w:val="24"/>
        </w:rPr>
        <w:t>基因</w:t>
      </w:r>
      <w:r w:rsidRPr="00BA7F39">
        <w:rPr>
          <w:sz w:val="24"/>
        </w:rPr>
        <w:t>mRNA</w:t>
      </w:r>
      <w:r w:rsidRPr="00BA7F39">
        <w:rPr>
          <w:rFonts w:hint="eastAsia"/>
          <w:sz w:val="24"/>
        </w:rPr>
        <w:t>的表达量，从而降低了</w:t>
      </w:r>
      <w:r w:rsidRPr="00BA7F39">
        <w:rPr>
          <w:sz w:val="24"/>
        </w:rPr>
        <w:t>TNF-α</w:t>
      </w:r>
      <w:r w:rsidRPr="00BA7F39">
        <w:rPr>
          <w:rFonts w:hint="eastAsia"/>
          <w:sz w:val="24"/>
        </w:rPr>
        <w:t>、</w:t>
      </w:r>
      <w:r w:rsidRPr="00BA7F39">
        <w:rPr>
          <w:sz w:val="24"/>
        </w:rPr>
        <w:t>IL-1</w:t>
      </w:r>
      <w:r w:rsidRPr="00BA7F39">
        <w:rPr>
          <w:rFonts w:hint="eastAsia"/>
          <w:sz w:val="24"/>
        </w:rPr>
        <w:t>及</w:t>
      </w:r>
      <w:r w:rsidRPr="00BA7F39">
        <w:rPr>
          <w:sz w:val="24"/>
        </w:rPr>
        <w:t xml:space="preserve">IL-8 </w:t>
      </w:r>
      <w:r w:rsidRPr="00BA7F39">
        <w:rPr>
          <w:rFonts w:hint="eastAsia"/>
          <w:sz w:val="24"/>
        </w:rPr>
        <w:t>的含量</w:t>
      </w:r>
      <w:r w:rsidR="005D18BF" w:rsidRPr="00BA7F39">
        <w:rPr>
          <w:sz w:val="24"/>
        </w:rPr>
        <w:t>,</w:t>
      </w:r>
      <w:r w:rsidRPr="00BA7F39">
        <w:rPr>
          <w:rFonts w:hint="eastAsia"/>
          <w:sz w:val="24"/>
        </w:rPr>
        <w:t>提示白藜芦醇能够显著降低炎症对大口黑鲈造成的不利影响。</w:t>
      </w:r>
    </w:p>
    <w:p w14:paraId="35BD257C" w14:textId="77777777" w:rsidR="00400E98" w:rsidRPr="00BA7F39" w:rsidRDefault="00400E98" w:rsidP="005D18BF">
      <w:pPr>
        <w:autoSpaceDE w:val="0"/>
        <w:spacing w:line="360" w:lineRule="auto"/>
        <w:ind w:firstLineChars="200" w:firstLine="480"/>
        <w:rPr>
          <w:sz w:val="24"/>
        </w:rPr>
      </w:pPr>
      <w:r w:rsidRPr="00BA7F39">
        <w:rPr>
          <w:rFonts w:hint="eastAsia"/>
          <w:sz w:val="24"/>
        </w:rPr>
        <w:t>一般而言，炎症反应通常会伴随着细胞凋亡的发生</w:t>
      </w:r>
      <w:r w:rsidRPr="00BA7F39">
        <w:rPr>
          <w:sz w:val="24"/>
          <w:vertAlign w:val="superscript"/>
        </w:rPr>
        <w:t>[52]</w:t>
      </w:r>
      <w:r w:rsidRPr="00BA7F39">
        <w:rPr>
          <w:rFonts w:hint="eastAsia"/>
          <w:sz w:val="24"/>
        </w:rPr>
        <w:t>。肿瘤抑制蛋白</w:t>
      </w:r>
      <w:r w:rsidRPr="00BA7F39">
        <w:rPr>
          <w:i/>
          <w:iCs/>
          <w:sz w:val="24"/>
        </w:rPr>
        <w:t>p</w:t>
      </w:r>
      <w:r w:rsidRPr="00BA7F39">
        <w:rPr>
          <w:sz w:val="24"/>
        </w:rPr>
        <w:t xml:space="preserve">53 </w:t>
      </w:r>
      <w:r w:rsidRPr="00BA7F39">
        <w:rPr>
          <w:rFonts w:hint="eastAsia"/>
          <w:sz w:val="24"/>
        </w:rPr>
        <w:t>是调控细胞凋亡的关键基因，通过其蛋白质产物上调促凋亡基因</w:t>
      </w:r>
      <w:proofErr w:type="spellStart"/>
      <w:r w:rsidRPr="00BA7F39">
        <w:rPr>
          <w:i/>
          <w:iCs/>
          <w:sz w:val="24"/>
        </w:rPr>
        <w:t>bax</w:t>
      </w:r>
      <w:proofErr w:type="spellEnd"/>
      <w:r w:rsidRPr="00BA7F39">
        <w:rPr>
          <w:rFonts w:hint="eastAsia"/>
          <w:sz w:val="24"/>
        </w:rPr>
        <w:t>的表达，下调抗凋亡基因</w:t>
      </w:r>
      <w:r w:rsidRPr="00BA7F39">
        <w:rPr>
          <w:i/>
          <w:iCs/>
          <w:sz w:val="24"/>
        </w:rPr>
        <w:t>bcl-</w:t>
      </w:r>
      <w:r w:rsidRPr="00BA7F39">
        <w:rPr>
          <w:sz w:val="24"/>
        </w:rPr>
        <w:t xml:space="preserve">2 </w:t>
      </w:r>
      <w:r w:rsidRPr="00BA7F39">
        <w:rPr>
          <w:rFonts w:hint="eastAsia"/>
          <w:sz w:val="24"/>
        </w:rPr>
        <w:t>的表达，在细胞凋亡过程中发挥重要的作用</w:t>
      </w:r>
      <w:r w:rsidRPr="00BA7F39">
        <w:rPr>
          <w:sz w:val="24"/>
          <w:vertAlign w:val="superscript"/>
        </w:rPr>
        <w:t>[53]</w:t>
      </w:r>
      <w:r w:rsidRPr="00BA7F39">
        <w:rPr>
          <w:rFonts w:hint="eastAsia"/>
          <w:sz w:val="24"/>
        </w:rPr>
        <w:t>。</w:t>
      </w:r>
      <w:proofErr w:type="spellStart"/>
      <w:r w:rsidRPr="00BA7F39">
        <w:rPr>
          <w:i/>
          <w:iCs/>
          <w:sz w:val="24"/>
        </w:rPr>
        <w:t>bax</w:t>
      </w:r>
      <w:proofErr w:type="spellEnd"/>
      <w:r w:rsidRPr="00BA7F39">
        <w:rPr>
          <w:i/>
          <w:iCs/>
          <w:sz w:val="24"/>
        </w:rPr>
        <w:t xml:space="preserve"> </w:t>
      </w:r>
      <w:r w:rsidRPr="00BA7F39">
        <w:rPr>
          <w:rFonts w:hint="eastAsia"/>
          <w:sz w:val="24"/>
        </w:rPr>
        <w:t>的表达会进一步诱发细胞色素</w:t>
      </w:r>
      <w:r w:rsidRPr="00BA7F39">
        <w:rPr>
          <w:sz w:val="24"/>
        </w:rPr>
        <w:t xml:space="preserve">C </w:t>
      </w:r>
      <w:r w:rsidRPr="00BA7F39">
        <w:rPr>
          <w:rFonts w:hint="eastAsia"/>
          <w:sz w:val="24"/>
        </w:rPr>
        <w:t>的释放，从而激活半胱天冬氨酸酶家族成员，如</w:t>
      </w:r>
      <w:r w:rsidRPr="00BA7F39">
        <w:rPr>
          <w:i/>
          <w:iCs/>
          <w:sz w:val="24"/>
        </w:rPr>
        <w:t>caspase</w:t>
      </w:r>
      <w:r w:rsidRPr="00BA7F39">
        <w:rPr>
          <w:sz w:val="24"/>
        </w:rPr>
        <w:t xml:space="preserve">3 </w:t>
      </w:r>
      <w:r w:rsidRPr="00BA7F39">
        <w:rPr>
          <w:rFonts w:hint="eastAsia"/>
          <w:sz w:val="24"/>
        </w:rPr>
        <w:t>和</w:t>
      </w:r>
      <w:r w:rsidRPr="00BA7F39">
        <w:rPr>
          <w:i/>
          <w:iCs/>
          <w:sz w:val="24"/>
        </w:rPr>
        <w:t>caspase</w:t>
      </w:r>
      <w:r w:rsidRPr="00BA7F39">
        <w:rPr>
          <w:sz w:val="24"/>
        </w:rPr>
        <w:t>9</w:t>
      </w:r>
      <w:r w:rsidRPr="00BA7F39">
        <w:rPr>
          <w:sz w:val="24"/>
          <w:vertAlign w:val="superscript"/>
        </w:rPr>
        <w:t>[54]</w:t>
      </w:r>
      <w:r w:rsidRPr="00BA7F39">
        <w:rPr>
          <w:rFonts w:hint="eastAsia"/>
          <w:sz w:val="24"/>
        </w:rPr>
        <w:t>。在鱼肾细胞研究中发现，白藜芦醇能够降低</w:t>
      </w:r>
      <w:proofErr w:type="spellStart"/>
      <w:r w:rsidRPr="00BA7F39">
        <w:rPr>
          <w:i/>
          <w:iCs/>
          <w:sz w:val="24"/>
        </w:rPr>
        <w:t>bax</w:t>
      </w:r>
      <w:proofErr w:type="spellEnd"/>
      <w:r w:rsidRPr="00BA7F39">
        <w:rPr>
          <w:rFonts w:hint="eastAsia"/>
          <w:sz w:val="24"/>
        </w:rPr>
        <w:t>、</w:t>
      </w:r>
      <w:proofErr w:type="spellStart"/>
      <w:r w:rsidRPr="00BA7F39">
        <w:rPr>
          <w:i/>
          <w:iCs/>
          <w:sz w:val="24"/>
        </w:rPr>
        <w:t>cyt</w:t>
      </w:r>
      <w:proofErr w:type="spellEnd"/>
      <w:r w:rsidRPr="00BA7F39">
        <w:rPr>
          <w:i/>
          <w:iCs/>
          <w:sz w:val="24"/>
        </w:rPr>
        <w:t>-C</w:t>
      </w:r>
      <w:r w:rsidRPr="00BA7F39">
        <w:rPr>
          <w:rFonts w:hint="eastAsia"/>
          <w:sz w:val="24"/>
        </w:rPr>
        <w:t>、</w:t>
      </w:r>
      <w:r w:rsidRPr="00BA7F39">
        <w:rPr>
          <w:i/>
          <w:iCs/>
          <w:sz w:val="24"/>
        </w:rPr>
        <w:t xml:space="preserve"> caspase</w:t>
      </w:r>
      <w:r w:rsidRPr="00BA7F39">
        <w:rPr>
          <w:sz w:val="24"/>
        </w:rPr>
        <w:t xml:space="preserve">3 </w:t>
      </w:r>
      <w:r w:rsidRPr="00BA7F39">
        <w:rPr>
          <w:rFonts w:hint="eastAsia"/>
          <w:sz w:val="24"/>
        </w:rPr>
        <w:t>和</w:t>
      </w:r>
      <w:r w:rsidRPr="00BA7F39">
        <w:rPr>
          <w:i/>
          <w:iCs/>
          <w:sz w:val="24"/>
        </w:rPr>
        <w:t>caspase</w:t>
      </w:r>
      <w:r w:rsidRPr="00BA7F39">
        <w:rPr>
          <w:sz w:val="24"/>
        </w:rPr>
        <w:t xml:space="preserve">9 </w:t>
      </w:r>
      <w:r w:rsidRPr="00BA7F39">
        <w:rPr>
          <w:rFonts w:hint="eastAsia"/>
          <w:sz w:val="24"/>
        </w:rPr>
        <w:t>的</w:t>
      </w:r>
      <w:r w:rsidRPr="00BA7F39">
        <w:rPr>
          <w:sz w:val="24"/>
        </w:rPr>
        <w:t xml:space="preserve">mRNA </w:t>
      </w:r>
      <w:r w:rsidRPr="00BA7F39">
        <w:rPr>
          <w:rFonts w:hint="eastAsia"/>
          <w:sz w:val="24"/>
        </w:rPr>
        <w:t>和蛋白表达水平来缓解细胞凋亡</w:t>
      </w:r>
      <w:r w:rsidRPr="00BA7F39">
        <w:rPr>
          <w:sz w:val="24"/>
          <w:vertAlign w:val="superscript"/>
        </w:rPr>
        <w:t>[55]</w:t>
      </w:r>
      <w:r w:rsidRPr="00BA7F39">
        <w:rPr>
          <w:rFonts w:hint="eastAsia"/>
          <w:sz w:val="24"/>
        </w:rPr>
        <w:t>。在斑马鱼胚胎研究中发现，白藜芦醇能够有效降低戊康唑诱导的</w:t>
      </w:r>
      <w:r w:rsidRPr="00BA7F39">
        <w:rPr>
          <w:i/>
          <w:iCs/>
          <w:sz w:val="24"/>
        </w:rPr>
        <w:t>p</w:t>
      </w:r>
      <w:r w:rsidRPr="00BA7F39">
        <w:rPr>
          <w:sz w:val="24"/>
        </w:rPr>
        <w:t>53</w:t>
      </w:r>
      <w:r w:rsidRPr="00BA7F39">
        <w:rPr>
          <w:rFonts w:hint="eastAsia"/>
          <w:sz w:val="24"/>
        </w:rPr>
        <w:t>、</w:t>
      </w:r>
      <w:r w:rsidRPr="00BA7F39">
        <w:rPr>
          <w:i/>
          <w:iCs/>
          <w:sz w:val="24"/>
        </w:rPr>
        <w:t>bcl-</w:t>
      </w:r>
      <w:r w:rsidRPr="00BA7F39">
        <w:rPr>
          <w:sz w:val="24"/>
        </w:rPr>
        <w:t>2</w:t>
      </w:r>
      <w:r w:rsidRPr="00BA7F39">
        <w:rPr>
          <w:rFonts w:hint="eastAsia"/>
          <w:sz w:val="24"/>
        </w:rPr>
        <w:t>、</w:t>
      </w:r>
      <w:r w:rsidRPr="00BA7F39">
        <w:rPr>
          <w:i/>
          <w:iCs/>
          <w:sz w:val="24"/>
        </w:rPr>
        <w:t xml:space="preserve"> </w:t>
      </w:r>
      <w:proofErr w:type="spellStart"/>
      <w:r w:rsidRPr="00BA7F39">
        <w:rPr>
          <w:i/>
          <w:iCs/>
          <w:sz w:val="24"/>
        </w:rPr>
        <w:t>bax</w:t>
      </w:r>
      <w:proofErr w:type="spellEnd"/>
      <w:r w:rsidRPr="00BA7F39">
        <w:rPr>
          <w:i/>
          <w:iCs/>
          <w:sz w:val="24"/>
        </w:rPr>
        <w:t xml:space="preserve"> </w:t>
      </w:r>
      <w:r w:rsidRPr="00BA7F39">
        <w:rPr>
          <w:rFonts w:hint="eastAsia"/>
          <w:sz w:val="24"/>
        </w:rPr>
        <w:t>和</w:t>
      </w:r>
      <w:r w:rsidRPr="00BA7F39">
        <w:rPr>
          <w:i/>
          <w:iCs/>
          <w:sz w:val="24"/>
        </w:rPr>
        <w:t>caspase</w:t>
      </w:r>
      <w:r w:rsidRPr="00BA7F39">
        <w:rPr>
          <w:sz w:val="24"/>
        </w:rPr>
        <w:t xml:space="preserve">3 </w:t>
      </w:r>
      <w:r w:rsidRPr="00BA7F39">
        <w:rPr>
          <w:rFonts w:hint="eastAsia"/>
          <w:sz w:val="24"/>
        </w:rPr>
        <w:t>基因的上调，来缓解斑马鱼胚胎细胞的凋亡</w:t>
      </w:r>
      <w:r w:rsidRPr="00BA7F39">
        <w:rPr>
          <w:sz w:val="24"/>
          <w:vertAlign w:val="superscript"/>
        </w:rPr>
        <w:t>[56]</w:t>
      </w:r>
      <w:r w:rsidRPr="00BA7F39">
        <w:rPr>
          <w:rFonts w:hint="eastAsia"/>
          <w:sz w:val="24"/>
        </w:rPr>
        <w:t>。本研究发现，饲料中添加白藜芦醇显著下调了大口黑鲈肝脏中</w:t>
      </w:r>
      <w:r w:rsidRPr="00BA7F39">
        <w:rPr>
          <w:i/>
          <w:iCs/>
          <w:sz w:val="24"/>
        </w:rPr>
        <w:t>p</w:t>
      </w:r>
      <w:r w:rsidRPr="00BA7F39">
        <w:rPr>
          <w:sz w:val="24"/>
        </w:rPr>
        <w:t>53</w:t>
      </w:r>
      <w:r w:rsidRPr="00BA7F39">
        <w:rPr>
          <w:rFonts w:hint="eastAsia"/>
          <w:sz w:val="24"/>
        </w:rPr>
        <w:t>、</w:t>
      </w:r>
      <w:proofErr w:type="spellStart"/>
      <w:r w:rsidRPr="00BA7F39">
        <w:rPr>
          <w:i/>
          <w:iCs/>
          <w:sz w:val="24"/>
        </w:rPr>
        <w:t>bax</w:t>
      </w:r>
      <w:proofErr w:type="spellEnd"/>
      <w:r w:rsidRPr="00BA7F39">
        <w:rPr>
          <w:rFonts w:hint="eastAsia"/>
          <w:sz w:val="24"/>
        </w:rPr>
        <w:t>、</w:t>
      </w:r>
      <w:r w:rsidRPr="00BA7F39">
        <w:rPr>
          <w:i/>
          <w:iCs/>
          <w:sz w:val="24"/>
        </w:rPr>
        <w:t>caspase</w:t>
      </w:r>
      <w:r w:rsidRPr="00BA7F39">
        <w:rPr>
          <w:sz w:val="24"/>
        </w:rPr>
        <w:t xml:space="preserve">3 </w:t>
      </w:r>
      <w:r w:rsidRPr="00BA7F39">
        <w:rPr>
          <w:rFonts w:hint="eastAsia"/>
          <w:sz w:val="24"/>
        </w:rPr>
        <w:t>和</w:t>
      </w:r>
      <w:r w:rsidRPr="00BA7F39">
        <w:rPr>
          <w:i/>
          <w:iCs/>
          <w:sz w:val="24"/>
        </w:rPr>
        <w:t>caspase</w:t>
      </w:r>
      <w:r w:rsidRPr="00BA7F39">
        <w:rPr>
          <w:sz w:val="24"/>
        </w:rPr>
        <w:t xml:space="preserve">9 </w:t>
      </w:r>
      <w:r w:rsidRPr="00BA7F39">
        <w:rPr>
          <w:rFonts w:hint="eastAsia"/>
          <w:sz w:val="24"/>
        </w:rPr>
        <w:t>基因的</w:t>
      </w:r>
      <w:r w:rsidRPr="00BA7F39">
        <w:rPr>
          <w:sz w:val="24"/>
        </w:rPr>
        <w:t xml:space="preserve">mRNA </w:t>
      </w:r>
      <w:r w:rsidRPr="00BA7F39">
        <w:rPr>
          <w:rFonts w:hint="eastAsia"/>
          <w:sz w:val="24"/>
        </w:rPr>
        <w:t>表达，并上调了</w:t>
      </w:r>
      <w:r w:rsidRPr="00BA7F39">
        <w:rPr>
          <w:i/>
          <w:iCs/>
          <w:sz w:val="24"/>
        </w:rPr>
        <w:t xml:space="preserve"> bcl-</w:t>
      </w:r>
      <w:r w:rsidRPr="00BA7F39">
        <w:rPr>
          <w:sz w:val="24"/>
        </w:rPr>
        <w:t xml:space="preserve">2 </w:t>
      </w:r>
      <w:r w:rsidRPr="00BA7F39">
        <w:rPr>
          <w:rFonts w:hint="eastAsia"/>
          <w:sz w:val="24"/>
        </w:rPr>
        <w:t>的表达，类似的发现在斑马鱼研究中也有报道：外源摄入白藜芦醇抑制了由</w:t>
      </w:r>
      <w:r w:rsidRPr="00BA7F39">
        <w:rPr>
          <w:sz w:val="24"/>
        </w:rPr>
        <w:t xml:space="preserve">PM2.5 </w:t>
      </w:r>
      <w:r w:rsidRPr="00BA7F39">
        <w:rPr>
          <w:rFonts w:hint="eastAsia"/>
          <w:sz w:val="24"/>
        </w:rPr>
        <w:t>衍生有机</w:t>
      </w:r>
      <w:r>
        <w:rPr>
          <w:rFonts w:hint="eastAsia"/>
          <w:sz w:val="24"/>
        </w:rPr>
        <w:t>物</w:t>
      </w:r>
      <w:r w:rsidRPr="003C48EF">
        <w:rPr>
          <w:rFonts w:hint="eastAsia"/>
          <w:sz w:val="24"/>
        </w:rPr>
        <w:t>在斑马鱼胚胎心脏中诱导的细胞凋亡</w:t>
      </w:r>
      <w:r w:rsidRPr="003C48EF">
        <w:rPr>
          <w:sz w:val="24"/>
          <w:vertAlign w:val="superscript"/>
        </w:rPr>
        <w:t>[57]</w:t>
      </w:r>
      <w:r w:rsidRPr="003C48EF">
        <w:rPr>
          <w:rFonts w:hint="eastAsia"/>
          <w:sz w:val="24"/>
        </w:rPr>
        <w:t>。</w:t>
      </w:r>
      <w:r>
        <w:rPr>
          <w:rFonts w:hint="eastAsia"/>
          <w:sz w:val="24"/>
        </w:rPr>
        <w:t>推测</w:t>
      </w:r>
      <w:r w:rsidRPr="00BA7F39">
        <w:rPr>
          <w:rFonts w:hint="eastAsia"/>
          <w:sz w:val="24"/>
        </w:rPr>
        <w:t>白藜芦醇通过提高</w:t>
      </w:r>
      <w:r w:rsidRPr="00BA7F39">
        <w:rPr>
          <w:i/>
          <w:iCs/>
          <w:sz w:val="24"/>
        </w:rPr>
        <w:t>bcl-</w:t>
      </w:r>
      <w:r w:rsidRPr="00BA7F39">
        <w:rPr>
          <w:sz w:val="24"/>
        </w:rPr>
        <w:t xml:space="preserve">2 </w:t>
      </w:r>
      <w:r w:rsidRPr="00BA7F39">
        <w:rPr>
          <w:rFonts w:hint="eastAsia"/>
          <w:sz w:val="24"/>
        </w:rPr>
        <w:t>基因表达来降低</w:t>
      </w:r>
      <w:proofErr w:type="spellStart"/>
      <w:r w:rsidRPr="00BA7F39">
        <w:rPr>
          <w:i/>
          <w:iCs/>
          <w:sz w:val="24"/>
        </w:rPr>
        <w:t>bax</w:t>
      </w:r>
      <w:proofErr w:type="spellEnd"/>
      <w:r w:rsidRPr="00BA7F39">
        <w:rPr>
          <w:rFonts w:hint="eastAsia"/>
          <w:sz w:val="24"/>
        </w:rPr>
        <w:t>、</w:t>
      </w:r>
      <w:r w:rsidRPr="00BA7F39">
        <w:rPr>
          <w:i/>
          <w:iCs/>
          <w:sz w:val="24"/>
        </w:rPr>
        <w:t xml:space="preserve"> caspase</w:t>
      </w:r>
      <w:r w:rsidRPr="00BA7F39">
        <w:rPr>
          <w:sz w:val="24"/>
        </w:rPr>
        <w:t xml:space="preserve">3 </w:t>
      </w:r>
      <w:r w:rsidRPr="00BA7F39">
        <w:rPr>
          <w:rFonts w:hint="eastAsia"/>
          <w:sz w:val="24"/>
        </w:rPr>
        <w:t>和</w:t>
      </w:r>
      <w:r w:rsidRPr="00BA7F39">
        <w:rPr>
          <w:i/>
          <w:iCs/>
          <w:sz w:val="24"/>
        </w:rPr>
        <w:t>caspase</w:t>
      </w:r>
      <w:r w:rsidRPr="00BA7F39">
        <w:rPr>
          <w:sz w:val="24"/>
        </w:rPr>
        <w:t xml:space="preserve">9 </w:t>
      </w:r>
      <w:r w:rsidRPr="00BA7F39">
        <w:rPr>
          <w:rFonts w:hint="eastAsia"/>
          <w:sz w:val="24"/>
        </w:rPr>
        <w:t>基因表达，以此抑制大口黑鲈肝细胞凋亡。</w:t>
      </w:r>
    </w:p>
    <w:p w14:paraId="3453DA1E" w14:textId="77777777" w:rsidR="00400E98" w:rsidRPr="00BA7F39" w:rsidRDefault="00400E98" w:rsidP="00400E98">
      <w:pPr>
        <w:spacing w:line="360" w:lineRule="auto"/>
        <w:rPr>
          <w:sz w:val="24"/>
        </w:rPr>
      </w:pPr>
      <w:r w:rsidRPr="00BA7F39">
        <w:rPr>
          <w:sz w:val="24"/>
        </w:rPr>
        <w:t>3.2</w:t>
      </w:r>
      <w:r w:rsidRPr="00BA7F39">
        <w:rPr>
          <w:rFonts w:hint="eastAsia"/>
          <w:sz w:val="24"/>
        </w:rPr>
        <w:t>饲料中添加白藜芦醇对大口黑鲈氨氮耐受的影响</w:t>
      </w:r>
    </w:p>
    <w:p w14:paraId="0FE38319" w14:textId="77777777" w:rsidR="00400E98" w:rsidRPr="00BA7F39" w:rsidRDefault="00400E98" w:rsidP="00400E98">
      <w:pPr>
        <w:spacing w:line="360" w:lineRule="auto"/>
        <w:ind w:firstLineChars="200" w:firstLine="480"/>
        <w:rPr>
          <w:sz w:val="24"/>
        </w:rPr>
      </w:pPr>
      <w:r w:rsidRPr="00BA7F39">
        <w:rPr>
          <w:rFonts w:hint="eastAsia"/>
          <w:sz w:val="24"/>
        </w:rPr>
        <w:t>在</w:t>
      </w:r>
      <w:r w:rsidRPr="00BA7F39">
        <w:rPr>
          <w:sz w:val="24"/>
        </w:rPr>
        <w:t xml:space="preserve">Caco-2 </w:t>
      </w:r>
      <w:r w:rsidRPr="00BA7F39">
        <w:rPr>
          <w:rFonts w:hint="eastAsia"/>
          <w:sz w:val="24"/>
        </w:rPr>
        <w:t>细胞模型中发现，白藜芦醇能够有效调节精氨酸生物合成、谷胱甘肽代谢和尿素循环</w:t>
      </w:r>
      <w:r w:rsidRPr="00BA7F39">
        <w:rPr>
          <w:sz w:val="24"/>
          <w:vertAlign w:val="superscript"/>
        </w:rPr>
        <w:t>[58]</w:t>
      </w:r>
      <w:r w:rsidRPr="00BA7F39">
        <w:rPr>
          <w:rFonts w:hint="eastAsia"/>
          <w:sz w:val="24"/>
        </w:rPr>
        <w:t>。在大鼠研究中发现，使用</w:t>
      </w:r>
      <w:r w:rsidRPr="00BA7F39">
        <w:rPr>
          <w:sz w:val="24"/>
        </w:rPr>
        <w:t xml:space="preserve">5 mg/kg </w:t>
      </w:r>
      <w:r w:rsidRPr="00BA7F39">
        <w:rPr>
          <w:rFonts w:hint="eastAsia"/>
          <w:sz w:val="24"/>
        </w:rPr>
        <w:t>白藜芦醇纳米乳剂可以有效降低肝脏和脑中的氨水平，改善大鼠高血氨症引起的肝脏和脑不良反应</w:t>
      </w:r>
      <w:r w:rsidRPr="00BA7F39">
        <w:rPr>
          <w:sz w:val="24"/>
          <w:vertAlign w:val="superscript"/>
        </w:rPr>
        <w:t>[16]</w:t>
      </w:r>
      <w:r w:rsidRPr="00BA7F39">
        <w:rPr>
          <w:rFonts w:hint="eastAsia"/>
          <w:sz w:val="24"/>
        </w:rPr>
        <w:t>。相关研究发现，白藜芦醇也</w:t>
      </w:r>
      <w:r w:rsidRPr="00BA7F39">
        <w:rPr>
          <w:rFonts w:hint="eastAsia"/>
          <w:sz w:val="24"/>
        </w:rPr>
        <w:lastRenderedPageBreak/>
        <w:t>能通过增加大鼠谷氨酸摄取，增强谷氨酰胺合成酶活性，增加谷氨酰胺合成酶和谷氨酸转运体表达</w:t>
      </w:r>
      <w:r w:rsidRPr="00BA7F39">
        <w:rPr>
          <w:sz w:val="24"/>
          <w:vertAlign w:val="superscript"/>
        </w:rPr>
        <w:t>[59]</w:t>
      </w:r>
      <w:r w:rsidRPr="00BA7F39">
        <w:rPr>
          <w:rFonts w:hint="eastAsia"/>
          <w:sz w:val="24"/>
        </w:rPr>
        <w:t>。本研究发现，</w:t>
      </w:r>
      <w:r w:rsidRPr="00BA7F39">
        <w:rPr>
          <w:sz w:val="24"/>
        </w:rPr>
        <w:t xml:space="preserve">96 h </w:t>
      </w:r>
      <w:r w:rsidRPr="00BA7F39">
        <w:rPr>
          <w:rFonts w:hint="eastAsia"/>
          <w:sz w:val="24"/>
        </w:rPr>
        <w:t>急性氨氮暴露后，摄食富含白藜芦醇饲料的大口黑鲈的累计死亡率显著下降。先前的研究认为，尿素循环在鱼类急性氨氮解毒过程中发挥了重要作用</w:t>
      </w:r>
      <w:r w:rsidRPr="00BA7F39">
        <w:rPr>
          <w:sz w:val="24"/>
          <w:vertAlign w:val="superscript"/>
        </w:rPr>
        <w:t>[60]</w:t>
      </w:r>
      <w:r w:rsidRPr="00BA7F39">
        <w:rPr>
          <w:rFonts w:hint="eastAsia"/>
          <w:sz w:val="24"/>
        </w:rPr>
        <w:t>。本研究对大口黑鲈肝脏中尿素循环关键酶</w:t>
      </w:r>
      <w:r w:rsidRPr="00BA7F39">
        <w:rPr>
          <w:sz w:val="24"/>
        </w:rPr>
        <w:t>(ASS</w:t>
      </w:r>
      <w:r w:rsidRPr="00BA7F39">
        <w:rPr>
          <w:rFonts w:hint="eastAsia"/>
          <w:sz w:val="24"/>
        </w:rPr>
        <w:t>、</w:t>
      </w:r>
      <w:r w:rsidRPr="00BA7F39">
        <w:rPr>
          <w:sz w:val="24"/>
        </w:rPr>
        <w:t>ASL</w:t>
      </w:r>
      <w:r w:rsidRPr="00BA7F39">
        <w:rPr>
          <w:rFonts w:hint="eastAsia"/>
          <w:sz w:val="24"/>
        </w:rPr>
        <w:t>、</w:t>
      </w:r>
      <w:r w:rsidRPr="00BA7F39">
        <w:rPr>
          <w:sz w:val="24"/>
        </w:rPr>
        <w:t xml:space="preserve">ARG </w:t>
      </w:r>
      <w:r w:rsidRPr="00BA7F39">
        <w:rPr>
          <w:rFonts w:hint="eastAsia"/>
          <w:sz w:val="24"/>
        </w:rPr>
        <w:t>及</w:t>
      </w:r>
      <w:r w:rsidRPr="00BA7F39">
        <w:rPr>
          <w:sz w:val="24"/>
        </w:rPr>
        <w:t xml:space="preserve">OTC) </w:t>
      </w:r>
      <w:r w:rsidRPr="00BA7F39">
        <w:rPr>
          <w:rFonts w:hint="eastAsia"/>
          <w:sz w:val="24"/>
        </w:rPr>
        <w:t>的活性开展了进一步的测定，结果发现，氨氮胁迫对上述酶类的活性造成了抑制，通过外源摄入白藜芦醇能够显著提高它们的活性。此外，从血氨指标的变化来看，随着饲料中白藜芦醇含量的升高，尿素循环关键酶活性显著提高，血氨水平显著降低，表明白藜芦醇对尿素循环的运行具有积极的作用。肝脏是尿素循环发生的主要场所，组织学证据表明，急性氨氮胁迫造成大口黑鲈肝细胞核溶解、细胞外周核及肝细胞空泡化，而通过外源摄入白藜芦醇，大口黑鲈肝脏损伤的情况得到明显缓解。</w:t>
      </w:r>
    </w:p>
    <w:p w14:paraId="26291386" w14:textId="77777777" w:rsidR="00400E98" w:rsidRPr="00BA7F39" w:rsidRDefault="00400E98" w:rsidP="00400E98">
      <w:pPr>
        <w:spacing w:line="360" w:lineRule="auto"/>
        <w:ind w:firstLineChars="200" w:firstLine="480"/>
        <w:rPr>
          <w:sz w:val="24"/>
        </w:rPr>
      </w:pPr>
      <w:r w:rsidRPr="00BA7F39">
        <w:rPr>
          <w:rFonts w:hint="eastAsia"/>
          <w:sz w:val="24"/>
        </w:rPr>
        <w:t>有研究表明，氨氮胁迫还会对鱼类的免疫系统造成负面影响，导致对疾病的敏感性增强</w:t>
      </w:r>
      <w:r w:rsidRPr="00BA7F39">
        <w:rPr>
          <w:sz w:val="24"/>
          <w:vertAlign w:val="superscript"/>
        </w:rPr>
        <w:t>[61]</w:t>
      </w:r>
      <w:r w:rsidRPr="00BA7F39">
        <w:rPr>
          <w:rFonts w:hint="eastAsia"/>
          <w:sz w:val="24"/>
        </w:rPr>
        <w:t>。本研究证实，氨氮胁迫显著降低了大口黑鲈血清</w:t>
      </w:r>
      <w:r w:rsidRPr="00BA7F39">
        <w:rPr>
          <w:sz w:val="24"/>
        </w:rPr>
        <w:t xml:space="preserve"> LZM </w:t>
      </w:r>
      <w:r w:rsidRPr="00BA7F39">
        <w:rPr>
          <w:rFonts w:hint="eastAsia"/>
          <w:sz w:val="24"/>
        </w:rPr>
        <w:t>活性、</w:t>
      </w:r>
      <w:r w:rsidRPr="00BA7F39">
        <w:rPr>
          <w:sz w:val="24"/>
        </w:rPr>
        <w:t xml:space="preserve">CH50 </w:t>
      </w:r>
      <w:r w:rsidRPr="00BA7F39">
        <w:rPr>
          <w:rFonts w:hint="eastAsia"/>
          <w:sz w:val="24"/>
        </w:rPr>
        <w:t>和</w:t>
      </w:r>
      <w:r w:rsidRPr="00BA7F39">
        <w:rPr>
          <w:sz w:val="24"/>
        </w:rPr>
        <w:t xml:space="preserve">IG </w:t>
      </w:r>
      <w:r w:rsidRPr="00BA7F39">
        <w:rPr>
          <w:rFonts w:hint="eastAsia"/>
          <w:sz w:val="24"/>
        </w:rPr>
        <w:t>及</w:t>
      </w:r>
      <w:r w:rsidRPr="00BA7F39">
        <w:rPr>
          <w:sz w:val="24"/>
        </w:rPr>
        <w:t>Ab titer</w:t>
      </w:r>
      <w:r w:rsidRPr="00BA7F39">
        <w:rPr>
          <w:rFonts w:hint="eastAsia"/>
          <w:sz w:val="24"/>
        </w:rPr>
        <w:t>。在哺乳类研究中证实，白藜芦醇能够提高机体非特异性免疫应答，同时促进</w:t>
      </w:r>
      <w:r w:rsidRPr="00BA7F39">
        <w:rPr>
          <w:sz w:val="24"/>
        </w:rPr>
        <w:t xml:space="preserve">T </w:t>
      </w:r>
      <w:r w:rsidRPr="00BA7F39">
        <w:rPr>
          <w:rFonts w:hint="eastAsia"/>
          <w:sz w:val="24"/>
        </w:rPr>
        <w:t>淋巴细胞的增殖</w:t>
      </w:r>
      <w:r w:rsidRPr="00BA7F39">
        <w:rPr>
          <w:sz w:val="24"/>
          <w:vertAlign w:val="superscript"/>
        </w:rPr>
        <w:t>[62]</w:t>
      </w:r>
      <w:r w:rsidRPr="00BA7F39">
        <w:rPr>
          <w:rFonts w:hint="eastAsia"/>
          <w:sz w:val="24"/>
        </w:rPr>
        <w:t>。在本研究中，摄食富含白藜芦醇饲料的大口黑鲈血清免疫应答显著提高，与死亡率数据呈负相关，但仍不清楚氨氮耐受力与免疫应答之间是否存在必然联系，尚需进行深入研究。</w:t>
      </w:r>
    </w:p>
    <w:p w14:paraId="10DED36D" w14:textId="77777777" w:rsidR="00400E98" w:rsidRPr="00BA7F39" w:rsidRDefault="00400E98" w:rsidP="00400E98">
      <w:pPr>
        <w:spacing w:line="360" w:lineRule="auto"/>
        <w:rPr>
          <w:sz w:val="24"/>
        </w:rPr>
      </w:pPr>
      <w:r w:rsidRPr="00BA7F39">
        <w:rPr>
          <w:sz w:val="24"/>
        </w:rPr>
        <w:t>4</w:t>
      </w:r>
      <w:r w:rsidRPr="00BA7F39">
        <w:rPr>
          <w:rFonts w:hint="eastAsia"/>
          <w:sz w:val="24"/>
        </w:rPr>
        <w:t>结论</w:t>
      </w:r>
    </w:p>
    <w:p w14:paraId="4F61A49C" w14:textId="77777777" w:rsidR="00400E98" w:rsidRDefault="00400E98" w:rsidP="00400E98">
      <w:pPr>
        <w:spacing w:line="360" w:lineRule="auto"/>
        <w:ind w:firstLineChars="200" w:firstLine="480"/>
        <w:rPr>
          <w:sz w:val="24"/>
        </w:rPr>
      </w:pPr>
      <w:r w:rsidRPr="00BA7F39">
        <w:rPr>
          <w:rFonts w:hint="eastAsia"/>
          <w:sz w:val="24"/>
        </w:rPr>
        <w:t>饲料中添加白藜芦醇能够提高大口黑鲈</w:t>
      </w:r>
      <w:r>
        <w:rPr>
          <w:rFonts w:hint="eastAsia"/>
          <w:sz w:val="24"/>
        </w:rPr>
        <w:t>的生</w:t>
      </w:r>
      <w:r w:rsidRPr="003C48EF">
        <w:rPr>
          <w:rFonts w:hint="eastAsia"/>
          <w:sz w:val="24"/>
        </w:rPr>
        <w:t>长性能，改善血清健康状况、抗氧化能力、炎症及细胞凋亡；白藜芦醇通过激活尿素循环，增强大口黑鲈的氨氮耐受性，提高应激发生时的免疫应答能力。</w:t>
      </w:r>
    </w:p>
    <w:p w14:paraId="07DA58C1" w14:textId="05386CEB" w:rsidR="00121328" w:rsidRPr="00400E98" w:rsidRDefault="00400E98" w:rsidP="00400E98">
      <w:pPr>
        <w:spacing w:line="360" w:lineRule="auto"/>
        <w:ind w:firstLineChars="200" w:firstLine="480"/>
        <w:jc w:val="right"/>
        <w:rPr>
          <w:sz w:val="24"/>
        </w:rPr>
      </w:pPr>
      <w:r w:rsidRPr="003C48EF">
        <w:rPr>
          <w:rFonts w:hint="eastAsia"/>
          <w:sz w:val="24"/>
        </w:rPr>
        <w:t>原文刊登在《水产学报》</w:t>
      </w:r>
      <w:r w:rsidRPr="003C48EF">
        <w:rPr>
          <w:rFonts w:hint="eastAsia"/>
          <w:sz w:val="24"/>
        </w:rPr>
        <w:t>202</w:t>
      </w:r>
      <w:r>
        <w:rPr>
          <w:rFonts w:hint="eastAsia"/>
          <w:sz w:val="24"/>
        </w:rPr>
        <w:t>6</w:t>
      </w:r>
      <w:r w:rsidRPr="003C48EF">
        <w:rPr>
          <w:rFonts w:hint="eastAsia"/>
          <w:sz w:val="24"/>
        </w:rPr>
        <w:t>年第</w:t>
      </w:r>
      <w:r w:rsidRPr="003C48EF">
        <w:rPr>
          <w:rFonts w:hint="eastAsia"/>
          <w:sz w:val="24"/>
        </w:rPr>
        <w:t>1</w:t>
      </w:r>
      <w:r w:rsidRPr="003C48EF">
        <w:rPr>
          <w:rFonts w:hint="eastAsia"/>
          <w:sz w:val="24"/>
        </w:rPr>
        <w:t>期</w:t>
      </w:r>
    </w:p>
    <w:p w14:paraId="19A85301" w14:textId="77777777" w:rsidR="00121328" w:rsidRDefault="00121328">
      <w:pPr>
        <w:spacing w:line="360" w:lineRule="auto"/>
        <w:jc w:val="right"/>
        <w:rPr>
          <w:rStyle w:val="vm"/>
          <w:rFonts w:eastAsiaTheme="minorEastAsia"/>
          <w:szCs w:val="21"/>
        </w:rPr>
      </w:pPr>
    </w:p>
    <w:sectPr w:rsidR="00121328" w:rsidSect="00400E98">
      <w:footerReference w:type="default" r:id="rId45"/>
      <w:pgSz w:w="11906" w:h="16838"/>
      <w:pgMar w:top="1440" w:right="1247" w:bottom="1440" w:left="124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5F56B" w14:textId="77777777" w:rsidR="00524BBF" w:rsidRDefault="00524BBF" w:rsidP="00870EC5">
      <w:r>
        <w:separator/>
      </w:r>
    </w:p>
  </w:endnote>
  <w:endnote w:type="continuationSeparator" w:id="0">
    <w:p w14:paraId="7FECF85F" w14:textId="77777777" w:rsidR="00524BBF" w:rsidRDefault="00524BBF" w:rsidP="0087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sig w:usb0="00000000" w:usb1="00000000" w:usb2="00000010" w:usb3="00000000" w:csb0="00040000"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12641"/>
      <w:docPartObj>
        <w:docPartGallery w:val="Page Numbers (Bottom of Page)"/>
        <w:docPartUnique/>
      </w:docPartObj>
    </w:sdtPr>
    <w:sdtContent>
      <w:p w14:paraId="222E6D3F" w14:textId="2DA0B0FB" w:rsidR="00400E98" w:rsidRDefault="00400E98">
        <w:pPr>
          <w:pStyle w:val="a9"/>
          <w:jc w:val="center"/>
        </w:pPr>
        <w:r>
          <w:fldChar w:fldCharType="begin"/>
        </w:r>
        <w:r>
          <w:instrText>PAGE   \* MERGEFORMAT</w:instrText>
        </w:r>
        <w:r>
          <w:fldChar w:fldCharType="separate"/>
        </w:r>
        <w:r>
          <w:rPr>
            <w:lang w:val="zh-CN"/>
          </w:rPr>
          <w:t>2</w:t>
        </w:r>
        <w:r>
          <w:fldChar w:fldCharType="end"/>
        </w:r>
      </w:p>
    </w:sdtContent>
  </w:sdt>
  <w:p w14:paraId="000C33C6" w14:textId="77777777" w:rsidR="00400E98" w:rsidRDefault="00400E9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A453" w14:textId="77777777" w:rsidR="00524BBF" w:rsidRDefault="00524BBF" w:rsidP="00870EC5">
      <w:r>
        <w:separator/>
      </w:r>
    </w:p>
  </w:footnote>
  <w:footnote w:type="continuationSeparator" w:id="0">
    <w:p w14:paraId="5569C87D" w14:textId="77777777" w:rsidR="00524BBF" w:rsidRDefault="00524BBF" w:rsidP="00870E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mirrorMargins/>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lYTA0YmQzOTg4OTBhYTU4MzMyZGMwOWM5ZGU2MDcifQ=="/>
  </w:docVars>
  <w:rsids>
    <w:rsidRoot w:val="00172A27"/>
    <w:rsid w:val="00002115"/>
    <w:rsid w:val="00002BFE"/>
    <w:rsid w:val="00002E4A"/>
    <w:rsid w:val="0000389A"/>
    <w:rsid w:val="00006E4D"/>
    <w:rsid w:val="000078F8"/>
    <w:rsid w:val="000140DD"/>
    <w:rsid w:val="000162CE"/>
    <w:rsid w:val="00016E06"/>
    <w:rsid w:val="0001799F"/>
    <w:rsid w:val="00022032"/>
    <w:rsid w:val="0002235E"/>
    <w:rsid w:val="00023879"/>
    <w:rsid w:val="00024430"/>
    <w:rsid w:val="00024780"/>
    <w:rsid w:val="00024F8D"/>
    <w:rsid w:val="00026CC6"/>
    <w:rsid w:val="00032EB0"/>
    <w:rsid w:val="00035281"/>
    <w:rsid w:val="00036EAA"/>
    <w:rsid w:val="00037F8A"/>
    <w:rsid w:val="00041E32"/>
    <w:rsid w:val="0004228A"/>
    <w:rsid w:val="000427A1"/>
    <w:rsid w:val="00042A93"/>
    <w:rsid w:val="00043457"/>
    <w:rsid w:val="00045296"/>
    <w:rsid w:val="00046763"/>
    <w:rsid w:val="000501A3"/>
    <w:rsid w:val="000507D7"/>
    <w:rsid w:val="00051224"/>
    <w:rsid w:val="000546FE"/>
    <w:rsid w:val="00054B42"/>
    <w:rsid w:val="00056AC4"/>
    <w:rsid w:val="00057A43"/>
    <w:rsid w:val="000601F4"/>
    <w:rsid w:val="00060368"/>
    <w:rsid w:val="00060549"/>
    <w:rsid w:val="000639F4"/>
    <w:rsid w:val="00067060"/>
    <w:rsid w:val="000674B3"/>
    <w:rsid w:val="00067CC5"/>
    <w:rsid w:val="00072F23"/>
    <w:rsid w:val="00074B36"/>
    <w:rsid w:val="00075DD3"/>
    <w:rsid w:val="000778A5"/>
    <w:rsid w:val="0008258D"/>
    <w:rsid w:val="00082714"/>
    <w:rsid w:val="0008527C"/>
    <w:rsid w:val="00086944"/>
    <w:rsid w:val="00086B20"/>
    <w:rsid w:val="00086BED"/>
    <w:rsid w:val="00087A85"/>
    <w:rsid w:val="00087D57"/>
    <w:rsid w:val="00091B87"/>
    <w:rsid w:val="00092844"/>
    <w:rsid w:val="000932DF"/>
    <w:rsid w:val="00095841"/>
    <w:rsid w:val="00096970"/>
    <w:rsid w:val="00097448"/>
    <w:rsid w:val="000A1544"/>
    <w:rsid w:val="000A2CB9"/>
    <w:rsid w:val="000A383F"/>
    <w:rsid w:val="000A3E04"/>
    <w:rsid w:val="000A45CC"/>
    <w:rsid w:val="000A5B38"/>
    <w:rsid w:val="000A615C"/>
    <w:rsid w:val="000A75D7"/>
    <w:rsid w:val="000B362C"/>
    <w:rsid w:val="000B3A02"/>
    <w:rsid w:val="000B3B35"/>
    <w:rsid w:val="000B3DB4"/>
    <w:rsid w:val="000B4139"/>
    <w:rsid w:val="000B4EA4"/>
    <w:rsid w:val="000B4F43"/>
    <w:rsid w:val="000B5E61"/>
    <w:rsid w:val="000B7C99"/>
    <w:rsid w:val="000C000C"/>
    <w:rsid w:val="000C1E70"/>
    <w:rsid w:val="000C1F1B"/>
    <w:rsid w:val="000C2535"/>
    <w:rsid w:val="000C38D1"/>
    <w:rsid w:val="000C4200"/>
    <w:rsid w:val="000C4DD7"/>
    <w:rsid w:val="000C5A7E"/>
    <w:rsid w:val="000C5F62"/>
    <w:rsid w:val="000C6194"/>
    <w:rsid w:val="000C6B67"/>
    <w:rsid w:val="000C7025"/>
    <w:rsid w:val="000D0748"/>
    <w:rsid w:val="000D0869"/>
    <w:rsid w:val="000D0B84"/>
    <w:rsid w:val="000D10F7"/>
    <w:rsid w:val="000D17DD"/>
    <w:rsid w:val="000D1B49"/>
    <w:rsid w:val="000D64CA"/>
    <w:rsid w:val="000D688D"/>
    <w:rsid w:val="000D6ACA"/>
    <w:rsid w:val="000D7731"/>
    <w:rsid w:val="000D7991"/>
    <w:rsid w:val="000E1DEF"/>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B43"/>
    <w:rsid w:val="00107F13"/>
    <w:rsid w:val="00107F29"/>
    <w:rsid w:val="001109D0"/>
    <w:rsid w:val="00112132"/>
    <w:rsid w:val="00113EBF"/>
    <w:rsid w:val="001142B8"/>
    <w:rsid w:val="00114ABC"/>
    <w:rsid w:val="00114AF2"/>
    <w:rsid w:val="00114AF4"/>
    <w:rsid w:val="00115440"/>
    <w:rsid w:val="001164E0"/>
    <w:rsid w:val="001172CF"/>
    <w:rsid w:val="001178F0"/>
    <w:rsid w:val="00121328"/>
    <w:rsid w:val="00121953"/>
    <w:rsid w:val="001226B3"/>
    <w:rsid w:val="0012398F"/>
    <w:rsid w:val="0012437E"/>
    <w:rsid w:val="001255FE"/>
    <w:rsid w:val="00125783"/>
    <w:rsid w:val="001264F7"/>
    <w:rsid w:val="00130158"/>
    <w:rsid w:val="00130955"/>
    <w:rsid w:val="001323EA"/>
    <w:rsid w:val="0013329F"/>
    <w:rsid w:val="00133D64"/>
    <w:rsid w:val="001410FA"/>
    <w:rsid w:val="00141929"/>
    <w:rsid w:val="0014286D"/>
    <w:rsid w:val="00142DB1"/>
    <w:rsid w:val="00143A57"/>
    <w:rsid w:val="00144A33"/>
    <w:rsid w:val="00144A8E"/>
    <w:rsid w:val="00144F0E"/>
    <w:rsid w:val="00147484"/>
    <w:rsid w:val="00147815"/>
    <w:rsid w:val="00147A4B"/>
    <w:rsid w:val="00147D9B"/>
    <w:rsid w:val="00147FE6"/>
    <w:rsid w:val="0015008E"/>
    <w:rsid w:val="00151281"/>
    <w:rsid w:val="00151762"/>
    <w:rsid w:val="00151DBA"/>
    <w:rsid w:val="00151DDB"/>
    <w:rsid w:val="001525A7"/>
    <w:rsid w:val="0015316B"/>
    <w:rsid w:val="00155FA9"/>
    <w:rsid w:val="00156460"/>
    <w:rsid w:val="001571FA"/>
    <w:rsid w:val="00160661"/>
    <w:rsid w:val="00161685"/>
    <w:rsid w:val="0016314A"/>
    <w:rsid w:val="00164ECD"/>
    <w:rsid w:val="00165B8B"/>
    <w:rsid w:val="00171CD2"/>
    <w:rsid w:val="00171ED9"/>
    <w:rsid w:val="00172A27"/>
    <w:rsid w:val="00172E0D"/>
    <w:rsid w:val="00176536"/>
    <w:rsid w:val="001765D4"/>
    <w:rsid w:val="00177FBF"/>
    <w:rsid w:val="00181DD6"/>
    <w:rsid w:val="00183729"/>
    <w:rsid w:val="00185F05"/>
    <w:rsid w:val="00186AEA"/>
    <w:rsid w:val="00187D22"/>
    <w:rsid w:val="001901B0"/>
    <w:rsid w:val="001918A0"/>
    <w:rsid w:val="0019190F"/>
    <w:rsid w:val="001920E0"/>
    <w:rsid w:val="0019272A"/>
    <w:rsid w:val="00193590"/>
    <w:rsid w:val="00193B81"/>
    <w:rsid w:val="001947D3"/>
    <w:rsid w:val="00195B86"/>
    <w:rsid w:val="00195CAE"/>
    <w:rsid w:val="001969D8"/>
    <w:rsid w:val="001974DA"/>
    <w:rsid w:val="001A14D9"/>
    <w:rsid w:val="001A1E4D"/>
    <w:rsid w:val="001A559B"/>
    <w:rsid w:val="001A5FAD"/>
    <w:rsid w:val="001B036A"/>
    <w:rsid w:val="001B1379"/>
    <w:rsid w:val="001B1408"/>
    <w:rsid w:val="001B2750"/>
    <w:rsid w:val="001B34BE"/>
    <w:rsid w:val="001B70C5"/>
    <w:rsid w:val="001C07B8"/>
    <w:rsid w:val="001C136B"/>
    <w:rsid w:val="001C1FB2"/>
    <w:rsid w:val="001C3405"/>
    <w:rsid w:val="001C3A5B"/>
    <w:rsid w:val="001C3F5B"/>
    <w:rsid w:val="001C4E29"/>
    <w:rsid w:val="001C5FD7"/>
    <w:rsid w:val="001C7EC0"/>
    <w:rsid w:val="001D0EA1"/>
    <w:rsid w:val="001D53B7"/>
    <w:rsid w:val="001D61B6"/>
    <w:rsid w:val="001E01CB"/>
    <w:rsid w:val="001E2F11"/>
    <w:rsid w:val="001E3265"/>
    <w:rsid w:val="001E60D4"/>
    <w:rsid w:val="001E6BB5"/>
    <w:rsid w:val="001E7BCF"/>
    <w:rsid w:val="001F1948"/>
    <w:rsid w:val="001F1E7F"/>
    <w:rsid w:val="001F59EF"/>
    <w:rsid w:val="001F60FD"/>
    <w:rsid w:val="001F61F5"/>
    <w:rsid w:val="001F65FA"/>
    <w:rsid w:val="001F7857"/>
    <w:rsid w:val="001F7F30"/>
    <w:rsid w:val="00200A87"/>
    <w:rsid w:val="00202D44"/>
    <w:rsid w:val="00202E7A"/>
    <w:rsid w:val="00205034"/>
    <w:rsid w:val="00205060"/>
    <w:rsid w:val="00206202"/>
    <w:rsid w:val="002079E0"/>
    <w:rsid w:val="002101F2"/>
    <w:rsid w:val="00210424"/>
    <w:rsid w:val="00210903"/>
    <w:rsid w:val="00210C08"/>
    <w:rsid w:val="00211E4F"/>
    <w:rsid w:val="0021214D"/>
    <w:rsid w:val="002134B2"/>
    <w:rsid w:val="00213B07"/>
    <w:rsid w:val="002154D2"/>
    <w:rsid w:val="00215661"/>
    <w:rsid w:val="002156F9"/>
    <w:rsid w:val="00215CD7"/>
    <w:rsid w:val="002177A1"/>
    <w:rsid w:val="00217AD4"/>
    <w:rsid w:val="002200C7"/>
    <w:rsid w:val="00221185"/>
    <w:rsid w:val="002219EF"/>
    <w:rsid w:val="0022243A"/>
    <w:rsid w:val="00222C72"/>
    <w:rsid w:val="00224612"/>
    <w:rsid w:val="00224A4B"/>
    <w:rsid w:val="002252BC"/>
    <w:rsid w:val="00226309"/>
    <w:rsid w:val="00226D0A"/>
    <w:rsid w:val="00226EFE"/>
    <w:rsid w:val="002302A1"/>
    <w:rsid w:val="002306E1"/>
    <w:rsid w:val="00230958"/>
    <w:rsid w:val="00231324"/>
    <w:rsid w:val="00231625"/>
    <w:rsid w:val="0023213D"/>
    <w:rsid w:val="00232B41"/>
    <w:rsid w:val="00232DCA"/>
    <w:rsid w:val="00233A57"/>
    <w:rsid w:val="00235A3C"/>
    <w:rsid w:val="00236078"/>
    <w:rsid w:val="00236AE3"/>
    <w:rsid w:val="00236ED9"/>
    <w:rsid w:val="00237CC3"/>
    <w:rsid w:val="00240D6D"/>
    <w:rsid w:val="0024125E"/>
    <w:rsid w:val="00242377"/>
    <w:rsid w:val="00242686"/>
    <w:rsid w:val="002428B3"/>
    <w:rsid w:val="00244407"/>
    <w:rsid w:val="00244B43"/>
    <w:rsid w:val="00246ED3"/>
    <w:rsid w:val="0024777C"/>
    <w:rsid w:val="0025113D"/>
    <w:rsid w:val="00252BD2"/>
    <w:rsid w:val="00253683"/>
    <w:rsid w:val="00253761"/>
    <w:rsid w:val="00253F7D"/>
    <w:rsid w:val="002541A3"/>
    <w:rsid w:val="002546DC"/>
    <w:rsid w:val="0026078F"/>
    <w:rsid w:val="002613DB"/>
    <w:rsid w:val="00261A0C"/>
    <w:rsid w:val="00263AAE"/>
    <w:rsid w:val="00263ECA"/>
    <w:rsid w:val="00263FFB"/>
    <w:rsid w:val="0027180E"/>
    <w:rsid w:val="002739B1"/>
    <w:rsid w:val="002744E5"/>
    <w:rsid w:val="0027618B"/>
    <w:rsid w:val="00276648"/>
    <w:rsid w:val="00276E5F"/>
    <w:rsid w:val="00277A84"/>
    <w:rsid w:val="002807D3"/>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97DA6"/>
    <w:rsid w:val="002A0BD2"/>
    <w:rsid w:val="002A0E86"/>
    <w:rsid w:val="002A1587"/>
    <w:rsid w:val="002A1C62"/>
    <w:rsid w:val="002A2269"/>
    <w:rsid w:val="002A2850"/>
    <w:rsid w:val="002A451D"/>
    <w:rsid w:val="002B3AD5"/>
    <w:rsid w:val="002B4030"/>
    <w:rsid w:val="002B445F"/>
    <w:rsid w:val="002B455D"/>
    <w:rsid w:val="002B4B32"/>
    <w:rsid w:val="002B56F6"/>
    <w:rsid w:val="002B6020"/>
    <w:rsid w:val="002B65FB"/>
    <w:rsid w:val="002B6805"/>
    <w:rsid w:val="002B6A0A"/>
    <w:rsid w:val="002B7EA9"/>
    <w:rsid w:val="002C089B"/>
    <w:rsid w:val="002C31BB"/>
    <w:rsid w:val="002C4A76"/>
    <w:rsid w:val="002C6917"/>
    <w:rsid w:val="002C6BC0"/>
    <w:rsid w:val="002C70E6"/>
    <w:rsid w:val="002D06A5"/>
    <w:rsid w:val="002D1F0C"/>
    <w:rsid w:val="002D2E29"/>
    <w:rsid w:val="002D302C"/>
    <w:rsid w:val="002D5AB5"/>
    <w:rsid w:val="002D5C3F"/>
    <w:rsid w:val="002D6938"/>
    <w:rsid w:val="002D7969"/>
    <w:rsid w:val="002D7BF7"/>
    <w:rsid w:val="002E0157"/>
    <w:rsid w:val="002E104E"/>
    <w:rsid w:val="002E3AB3"/>
    <w:rsid w:val="002E492F"/>
    <w:rsid w:val="002E5994"/>
    <w:rsid w:val="002E6505"/>
    <w:rsid w:val="002E773C"/>
    <w:rsid w:val="002F19EF"/>
    <w:rsid w:val="002F2B2B"/>
    <w:rsid w:val="002F3797"/>
    <w:rsid w:val="002F3D8B"/>
    <w:rsid w:val="002F4B8E"/>
    <w:rsid w:val="002F53F8"/>
    <w:rsid w:val="002F587F"/>
    <w:rsid w:val="002F642E"/>
    <w:rsid w:val="002F6848"/>
    <w:rsid w:val="0030036F"/>
    <w:rsid w:val="00300469"/>
    <w:rsid w:val="0030176B"/>
    <w:rsid w:val="00301E3D"/>
    <w:rsid w:val="00303F9C"/>
    <w:rsid w:val="003047CB"/>
    <w:rsid w:val="003047E1"/>
    <w:rsid w:val="00304B2C"/>
    <w:rsid w:val="0030515C"/>
    <w:rsid w:val="00305D81"/>
    <w:rsid w:val="00310E5F"/>
    <w:rsid w:val="00311521"/>
    <w:rsid w:val="0031195C"/>
    <w:rsid w:val="003121CC"/>
    <w:rsid w:val="00312355"/>
    <w:rsid w:val="003133FA"/>
    <w:rsid w:val="00313F0F"/>
    <w:rsid w:val="0031414D"/>
    <w:rsid w:val="003150E5"/>
    <w:rsid w:val="00315176"/>
    <w:rsid w:val="003151F8"/>
    <w:rsid w:val="00315E65"/>
    <w:rsid w:val="003209C6"/>
    <w:rsid w:val="003213D2"/>
    <w:rsid w:val="00321753"/>
    <w:rsid w:val="0032346B"/>
    <w:rsid w:val="003235C3"/>
    <w:rsid w:val="00324714"/>
    <w:rsid w:val="00325FA3"/>
    <w:rsid w:val="00330A01"/>
    <w:rsid w:val="00331A39"/>
    <w:rsid w:val="0033358D"/>
    <w:rsid w:val="0033387B"/>
    <w:rsid w:val="003340F9"/>
    <w:rsid w:val="003352A9"/>
    <w:rsid w:val="00335A51"/>
    <w:rsid w:val="00341AB4"/>
    <w:rsid w:val="0034265A"/>
    <w:rsid w:val="0034293A"/>
    <w:rsid w:val="00342B08"/>
    <w:rsid w:val="00342B84"/>
    <w:rsid w:val="003438F4"/>
    <w:rsid w:val="00344540"/>
    <w:rsid w:val="003461C6"/>
    <w:rsid w:val="00346521"/>
    <w:rsid w:val="0034702D"/>
    <w:rsid w:val="0034773C"/>
    <w:rsid w:val="00351F8D"/>
    <w:rsid w:val="00353746"/>
    <w:rsid w:val="00353FC8"/>
    <w:rsid w:val="003540E2"/>
    <w:rsid w:val="0035430E"/>
    <w:rsid w:val="003552DE"/>
    <w:rsid w:val="003556F1"/>
    <w:rsid w:val="0035671B"/>
    <w:rsid w:val="00357202"/>
    <w:rsid w:val="003619C5"/>
    <w:rsid w:val="00362017"/>
    <w:rsid w:val="00363FC6"/>
    <w:rsid w:val="00367E06"/>
    <w:rsid w:val="003717E5"/>
    <w:rsid w:val="0037230F"/>
    <w:rsid w:val="003723C4"/>
    <w:rsid w:val="003731B4"/>
    <w:rsid w:val="0037344F"/>
    <w:rsid w:val="003742F0"/>
    <w:rsid w:val="003760B7"/>
    <w:rsid w:val="003769C8"/>
    <w:rsid w:val="0037710B"/>
    <w:rsid w:val="0037746A"/>
    <w:rsid w:val="003777A9"/>
    <w:rsid w:val="00377896"/>
    <w:rsid w:val="00382D82"/>
    <w:rsid w:val="00383085"/>
    <w:rsid w:val="00384D19"/>
    <w:rsid w:val="00391EB8"/>
    <w:rsid w:val="0039220D"/>
    <w:rsid w:val="00392211"/>
    <w:rsid w:val="003928A0"/>
    <w:rsid w:val="0039500C"/>
    <w:rsid w:val="00395691"/>
    <w:rsid w:val="00396194"/>
    <w:rsid w:val="003967CE"/>
    <w:rsid w:val="003978E0"/>
    <w:rsid w:val="003A0DFA"/>
    <w:rsid w:val="003A1756"/>
    <w:rsid w:val="003A2A90"/>
    <w:rsid w:val="003A3951"/>
    <w:rsid w:val="003A5602"/>
    <w:rsid w:val="003B1646"/>
    <w:rsid w:val="003B1C42"/>
    <w:rsid w:val="003B2EA9"/>
    <w:rsid w:val="003B319C"/>
    <w:rsid w:val="003B4345"/>
    <w:rsid w:val="003B53A9"/>
    <w:rsid w:val="003B5CE4"/>
    <w:rsid w:val="003B7223"/>
    <w:rsid w:val="003B7EDB"/>
    <w:rsid w:val="003C20D7"/>
    <w:rsid w:val="003C28AE"/>
    <w:rsid w:val="003C3330"/>
    <w:rsid w:val="003C4573"/>
    <w:rsid w:val="003C4BAD"/>
    <w:rsid w:val="003C72D8"/>
    <w:rsid w:val="003D3AFA"/>
    <w:rsid w:val="003D3D82"/>
    <w:rsid w:val="003D6A6E"/>
    <w:rsid w:val="003D6ACB"/>
    <w:rsid w:val="003D6F23"/>
    <w:rsid w:val="003D76DA"/>
    <w:rsid w:val="003E0704"/>
    <w:rsid w:val="003E0E5E"/>
    <w:rsid w:val="003E1429"/>
    <w:rsid w:val="003E191F"/>
    <w:rsid w:val="003E1F7F"/>
    <w:rsid w:val="003E20AD"/>
    <w:rsid w:val="003E2185"/>
    <w:rsid w:val="003E21BF"/>
    <w:rsid w:val="003E3581"/>
    <w:rsid w:val="003E470D"/>
    <w:rsid w:val="003E513B"/>
    <w:rsid w:val="003E6E28"/>
    <w:rsid w:val="003E74D0"/>
    <w:rsid w:val="003F0F3E"/>
    <w:rsid w:val="003F1372"/>
    <w:rsid w:val="003F366D"/>
    <w:rsid w:val="003F3D62"/>
    <w:rsid w:val="003F5232"/>
    <w:rsid w:val="00400693"/>
    <w:rsid w:val="00400E98"/>
    <w:rsid w:val="00401B64"/>
    <w:rsid w:val="00402029"/>
    <w:rsid w:val="00402577"/>
    <w:rsid w:val="00402C8B"/>
    <w:rsid w:val="004034A8"/>
    <w:rsid w:val="00403775"/>
    <w:rsid w:val="00403AFA"/>
    <w:rsid w:val="0040414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0134"/>
    <w:rsid w:val="00431953"/>
    <w:rsid w:val="0043219C"/>
    <w:rsid w:val="00432241"/>
    <w:rsid w:val="00432641"/>
    <w:rsid w:val="0043351C"/>
    <w:rsid w:val="00433AF3"/>
    <w:rsid w:val="0043465C"/>
    <w:rsid w:val="00435617"/>
    <w:rsid w:val="00437299"/>
    <w:rsid w:val="00441FA6"/>
    <w:rsid w:val="00442A99"/>
    <w:rsid w:val="00442F16"/>
    <w:rsid w:val="00443ECC"/>
    <w:rsid w:val="004514C8"/>
    <w:rsid w:val="00451E16"/>
    <w:rsid w:val="00453ED7"/>
    <w:rsid w:val="0045601B"/>
    <w:rsid w:val="00456CD5"/>
    <w:rsid w:val="004601A5"/>
    <w:rsid w:val="00460822"/>
    <w:rsid w:val="00462E48"/>
    <w:rsid w:val="00463A84"/>
    <w:rsid w:val="00464C28"/>
    <w:rsid w:val="00464F17"/>
    <w:rsid w:val="00465A03"/>
    <w:rsid w:val="0046749D"/>
    <w:rsid w:val="00470E14"/>
    <w:rsid w:val="00474023"/>
    <w:rsid w:val="00474BF2"/>
    <w:rsid w:val="00476D47"/>
    <w:rsid w:val="0047799E"/>
    <w:rsid w:val="00481145"/>
    <w:rsid w:val="00481513"/>
    <w:rsid w:val="00481A98"/>
    <w:rsid w:val="00481E6A"/>
    <w:rsid w:val="00484450"/>
    <w:rsid w:val="00484A62"/>
    <w:rsid w:val="00486A5F"/>
    <w:rsid w:val="004872C3"/>
    <w:rsid w:val="00487442"/>
    <w:rsid w:val="00487553"/>
    <w:rsid w:val="00491B2A"/>
    <w:rsid w:val="00491CA4"/>
    <w:rsid w:val="00492AF7"/>
    <w:rsid w:val="00494E6E"/>
    <w:rsid w:val="00495F48"/>
    <w:rsid w:val="004960F0"/>
    <w:rsid w:val="004973A6"/>
    <w:rsid w:val="00497D0E"/>
    <w:rsid w:val="004A036E"/>
    <w:rsid w:val="004A155F"/>
    <w:rsid w:val="004A6092"/>
    <w:rsid w:val="004A768E"/>
    <w:rsid w:val="004A7FE3"/>
    <w:rsid w:val="004B0073"/>
    <w:rsid w:val="004B0815"/>
    <w:rsid w:val="004B169B"/>
    <w:rsid w:val="004B1ACF"/>
    <w:rsid w:val="004B2803"/>
    <w:rsid w:val="004B2B9D"/>
    <w:rsid w:val="004B3D85"/>
    <w:rsid w:val="004B50FB"/>
    <w:rsid w:val="004B511D"/>
    <w:rsid w:val="004B7227"/>
    <w:rsid w:val="004C17EC"/>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0BA"/>
    <w:rsid w:val="004E71FA"/>
    <w:rsid w:val="004F0AEB"/>
    <w:rsid w:val="004F22BC"/>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00F1"/>
    <w:rsid w:val="00513F5B"/>
    <w:rsid w:val="00514BE6"/>
    <w:rsid w:val="0051501E"/>
    <w:rsid w:val="00515776"/>
    <w:rsid w:val="0051680E"/>
    <w:rsid w:val="00517662"/>
    <w:rsid w:val="00520095"/>
    <w:rsid w:val="00520FFE"/>
    <w:rsid w:val="00521B5F"/>
    <w:rsid w:val="00523607"/>
    <w:rsid w:val="005236DE"/>
    <w:rsid w:val="00524BBF"/>
    <w:rsid w:val="00524DAC"/>
    <w:rsid w:val="00525950"/>
    <w:rsid w:val="00525EC5"/>
    <w:rsid w:val="00526513"/>
    <w:rsid w:val="005266BB"/>
    <w:rsid w:val="00530C26"/>
    <w:rsid w:val="00531EC3"/>
    <w:rsid w:val="0053360B"/>
    <w:rsid w:val="00533794"/>
    <w:rsid w:val="00533BA7"/>
    <w:rsid w:val="00533D55"/>
    <w:rsid w:val="00534159"/>
    <w:rsid w:val="005344A1"/>
    <w:rsid w:val="00535062"/>
    <w:rsid w:val="00535CCA"/>
    <w:rsid w:val="00540833"/>
    <w:rsid w:val="005422F4"/>
    <w:rsid w:val="00542F72"/>
    <w:rsid w:val="005450CF"/>
    <w:rsid w:val="005458A1"/>
    <w:rsid w:val="00546F0C"/>
    <w:rsid w:val="0054789A"/>
    <w:rsid w:val="00551D94"/>
    <w:rsid w:val="005523E2"/>
    <w:rsid w:val="00554DE6"/>
    <w:rsid w:val="0055568F"/>
    <w:rsid w:val="005605BD"/>
    <w:rsid w:val="00560954"/>
    <w:rsid w:val="00562AB6"/>
    <w:rsid w:val="00564FBF"/>
    <w:rsid w:val="005653B4"/>
    <w:rsid w:val="005654B1"/>
    <w:rsid w:val="00566182"/>
    <w:rsid w:val="005664AE"/>
    <w:rsid w:val="0056688C"/>
    <w:rsid w:val="0056729B"/>
    <w:rsid w:val="0057146A"/>
    <w:rsid w:val="0057278E"/>
    <w:rsid w:val="005730AF"/>
    <w:rsid w:val="0057454F"/>
    <w:rsid w:val="00574AD2"/>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5548"/>
    <w:rsid w:val="00596379"/>
    <w:rsid w:val="005968DB"/>
    <w:rsid w:val="005A00FC"/>
    <w:rsid w:val="005A19A7"/>
    <w:rsid w:val="005A1FF7"/>
    <w:rsid w:val="005A6DDC"/>
    <w:rsid w:val="005A6E64"/>
    <w:rsid w:val="005A7DCB"/>
    <w:rsid w:val="005B1798"/>
    <w:rsid w:val="005B1D33"/>
    <w:rsid w:val="005B22B1"/>
    <w:rsid w:val="005B343C"/>
    <w:rsid w:val="005B46B8"/>
    <w:rsid w:val="005B57BA"/>
    <w:rsid w:val="005B5FA3"/>
    <w:rsid w:val="005C136B"/>
    <w:rsid w:val="005C174A"/>
    <w:rsid w:val="005C2A23"/>
    <w:rsid w:val="005C2B21"/>
    <w:rsid w:val="005C3896"/>
    <w:rsid w:val="005C3E78"/>
    <w:rsid w:val="005D00A0"/>
    <w:rsid w:val="005D18BF"/>
    <w:rsid w:val="005D1AA2"/>
    <w:rsid w:val="005D52B6"/>
    <w:rsid w:val="005D7E57"/>
    <w:rsid w:val="005E1DD2"/>
    <w:rsid w:val="005E2E18"/>
    <w:rsid w:val="005E369F"/>
    <w:rsid w:val="005E493E"/>
    <w:rsid w:val="005E5084"/>
    <w:rsid w:val="005E59BD"/>
    <w:rsid w:val="005E5D3B"/>
    <w:rsid w:val="005E641B"/>
    <w:rsid w:val="005E7629"/>
    <w:rsid w:val="005F329B"/>
    <w:rsid w:val="005F35FF"/>
    <w:rsid w:val="005F5768"/>
    <w:rsid w:val="005F5F44"/>
    <w:rsid w:val="005F62E7"/>
    <w:rsid w:val="005F6E17"/>
    <w:rsid w:val="005F6E3C"/>
    <w:rsid w:val="00600212"/>
    <w:rsid w:val="00601307"/>
    <w:rsid w:val="006016B6"/>
    <w:rsid w:val="00601DB6"/>
    <w:rsid w:val="00603115"/>
    <w:rsid w:val="00603184"/>
    <w:rsid w:val="006046B1"/>
    <w:rsid w:val="00605107"/>
    <w:rsid w:val="0060515F"/>
    <w:rsid w:val="006054F0"/>
    <w:rsid w:val="00605878"/>
    <w:rsid w:val="00605CE0"/>
    <w:rsid w:val="0060628F"/>
    <w:rsid w:val="00606FC6"/>
    <w:rsid w:val="00613EB0"/>
    <w:rsid w:val="006142E7"/>
    <w:rsid w:val="00614BF8"/>
    <w:rsid w:val="00620BC2"/>
    <w:rsid w:val="00621093"/>
    <w:rsid w:val="00623F8C"/>
    <w:rsid w:val="00624F4B"/>
    <w:rsid w:val="006261A1"/>
    <w:rsid w:val="0062741C"/>
    <w:rsid w:val="00627782"/>
    <w:rsid w:val="00627A37"/>
    <w:rsid w:val="00630903"/>
    <w:rsid w:val="00632922"/>
    <w:rsid w:val="00633E72"/>
    <w:rsid w:val="00635067"/>
    <w:rsid w:val="00635D0C"/>
    <w:rsid w:val="006364D6"/>
    <w:rsid w:val="006366B5"/>
    <w:rsid w:val="00637FAC"/>
    <w:rsid w:val="00640463"/>
    <w:rsid w:val="00641D7E"/>
    <w:rsid w:val="00646F30"/>
    <w:rsid w:val="00646F55"/>
    <w:rsid w:val="00647290"/>
    <w:rsid w:val="006474D3"/>
    <w:rsid w:val="006501A1"/>
    <w:rsid w:val="00651A2E"/>
    <w:rsid w:val="00652551"/>
    <w:rsid w:val="00653F07"/>
    <w:rsid w:val="0065478F"/>
    <w:rsid w:val="00654B98"/>
    <w:rsid w:val="00656708"/>
    <w:rsid w:val="006568E7"/>
    <w:rsid w:val="00661943"/>
    <w:rsid w:val="00661DED"/>
    <w:rsid w:val="00662E42"/>
    <w:rsid w:val="0066326D"/>
    <w:rsid w:val="0066461A"/>
    <w:rsid w:val="006647B0"/>
    <w:rsid w:val="00665091"/>
    <w:rsid w:val="00666052"/>
    <w:rsid w:val="00667C63"/>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522"/>
    <w:rsid w:val="00683A27"/>
    <w:rsid w:val="00686A7D"/>
    <w:rsid w:val="00686A8B"/>
    <w:rsid w:val="00687670"/>
    <w:rsid w:val="0069033F"/>
    <w:rsid w:val="006912A9"/>
    <w:rsid w:val="006913D8"/>
    <w:rsid w:val="0069221A"/>
    <w:rsid w:val="006932D4"/>
    <w:rsid w:val="00693CEC"/>
    <w:rsid w:val="0069658E"/>
    <w:rsid w:val="00696977"/>
    <w:rsid w:val="006975E2"/>
    <w:rsid w:val="006A1B56"/>
    <w:rsid w:val="006A24BD"/>
    <w:rsid w:val="006A2947"/>
    <w:rsid w:val="006A2B98"/>
    <w:rsid w:val="006A39A6"/>
    <w:rsid w:val="006A68E7"/>
    <w:rsid w:val="006A7F9E"/>
    <w:rsid w:val="006B05BA"/>
    <w:rsid w:val="006B0CD0"/>
    <w:rsid w:val="006B105C"/>
    <w:rsid w:val="006B315A"/>
    <w:rsid w:val="006B327C"/>
    <w:rsid w:val="006B3346"/>
    <w:rsid w:val="006B3E6D"/>
    <w:rsid w:val="006B4BE6"/>
    <w:rsid w:val="006B5D12"/>
    <w:rsid w:val="006C30E6"/>
    <w:rsid w:val="006C363F"/>
    <w:rsid w:val="006C4283"/>
    <w:rsid w:val="006C465F"/>
    <w:rsid w:val="006C513F"/>
    <w:rsid w:val="006C5231"/>
    <w:rsid w:val="006C5B90"/>
    <w:rsid w:val="006D04D4"/>
    <w:rsid w:val="006D0948"/>
    <w:rsid w:val="006D1755"/>
    <w:rsid w:val="006D2447"/>
    <w:rsid w:val="006D2D7E"/>
    <w:rsid w:val="006D36D3"/>
    <w:rsid w:val="006D3C31"/>
    <w:rsid w:val="006D50E0"/>
    <w:rsid w:val="006D5192"/>
    <w:rsid w:val="006D6EEC"/>
    <w:rsid w:val="006D7547"/>
    <w:rsid w:val="006E0739"/>
    <w:rsid w:val="006E1274"/>
    <w:rsid w:val="006E19F1"/>
    <w:rsid w:val="006E255F"/>
    <w:rsid w:val="006E3BBC"/>
    <w:rsid w:val="006F287F"/>
    <w:rsid w:val="006F2CE5"/>
    <w:rsid w:val="006F4D05"/>
    <w:rsid w:val="006F5B5C"/>
    <w:rsid w:val="006F5FFC"/>
    <w:rsid w:val="006F6F20"/>
    <w:rsid w:val="006F71E2"/>
    <w:rsid w:val="00700862"/>
    <w:rsid w:val="00700AF5"/>
    <w:rsid w:val="007026BB"/>
    <w:rsid w:val="007037C7"/>
    <w:rsid w:val="00703DB7"/>
    <w:rsid w:val="00705602"/>
    <w:rsid w:val="007112FC"/>
    <w:rsid w:val="007114DE"/>
    <w:rsid w:val="00712722"/>
    <w:rsid w:val="007130EC"/>
    <w:rsid w:val="00713DFA"/>
    <w:rsid w:val="00717555"/>
    <w:rsid w:val="00720CC2"/>
    <w:rsid w:val="00720F8E"/>
    <w:rsid w:val="00721941"/>
    <w:rsid w:val="00722755"/>
    <w:rsid w:val="007233EB"/>
    <w:rsid w:val="00724454"/>
    <w:rsid w:val="007255C5"/>
    <w:rsid w:val="0072593F"/>
    <w:rsid w:val="00726461"/>
    <w:rsid w:val="007266C2"/>
    <w:rsid w:val="00731196"/>
    <w:rsid w:val="00731392"/>
    <w:rsid w:val="00731A7B"/>
    <w:rsid w:val="0073322E"/>
    <w:rsid w:val="00734F3D"/>
    <w:rsid w:val="007365CD"/>
    <w:rsid w:val="00736683"/>
    <w:rsid w:val="0073792D"/>
    <w:rsid w:val="0074056E"/>
    <w:rsid w:val="007405A4"/>
    <w:rsid w:val="00740F25"/>
    <w:rsid w:val="00742DB4"/>
    <w:rsid w:val="00743435"/>
    <w:rsid w:val="00743A11"/>
    <w:rsid w:val="0074495F"/>
    <w:rsid w:val="0074719A"/>
    <w:rsid w:val="0075165E"/>
    <w:rsid w:val="00752213"/>
    <w:rsid w:val="0075556B"/>
    <w:rsid w:val="007560EE"/>
    <w:rsid w:val="00757CCA"/>
    <w:rsid w:val="00761341"/>
    <w:rsid w:val="00761C8B"/>
    <w:rsid w:val="00764E99"/>
    <w:rsid w:val="00765FC1"/>
    <w:rsid w:val="007663FC"/>
    <w:rsid w:val="00766D7E"/>
    <w:rsid w:val="00770C04"/>
    <w:rsid w:val="0077349D"/>
    <w:rsid w:val="007768A2"/>
    <w:rsid w:val="00776B71"/>
    <w:rsid w:val="00776C62"/>
    <w:rsid w:val="0077709A"/>
    <w:rsid w:val="00777626"/>
    <w:rsid w:val="00777D21"/>
    <w:rsid w:val="00777D6B"/>
    <w:rsid w:val="00781E94"/>
    <w:rsid w:val="00783E4C"/>
    <w:rsid w:val="0078586A"/>
    <w:rsid w:val="007865A5"/>
    <w:rsid w:val="007870EE"/>
    <w:rsid w:val="007929DA"/>
    <w:rsid w:val="00794336"/>
    <w:rsid w:val="00795A62"/>
    <w:rsid w:val="007965BF"/>
    <w:rsid w:val="00797296"/>
    <w:rsid w:val="007A4A85"/>
    <w:rsid w:val="007A50FB"/>
    <w:rsid w:val="007A59FF"/>
    <w:rsid w:val="007A6730"/>
    <w:rsid w:val="007A69B3"/>
    <w:rsid w:val="007A6C37"/>
    <w:rsid w:val="007A7EF8"/>
    <w:rsid w:val="007B1708"/>
    <w:rsid w:val="007B2014"/>
    <w:rsid w:val="007B468E"/>
    <w:rsid w:val="007B4AF0"/>
    <w:rsid w:val="007B67FE"/>
    <w:rsid w:val="007B68C8"/>
    <w:rsid w:val="007B7521"/>
    <w:rsid w:val="007B7E6E"/>
    <w:rsid w:val="007C1142"/>
    <w:rsid w:val="007C232B"/>
    <w:rsid w:val="007C340F"/>
    <w:rsid w:val="007C3C59"/>
    <w:rsid w:val="007C3DE3"/>
    <w:rsid w:val="007C5A60"/>
    <w:rsid w:val="007C7796"/>
    <w:rsid w:val="007D384A"/>
    <w:rsid w:val="007D5134"/>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A4D"/>
    <w:rsid w:val="00811857"/>
    <w:rsid w:val="00812AB0"/>
    <w:rsid w:val="00812C0D"/>
    <w:rsid w:val="00812F1D"/>
    <w:rsid w:val="008132FE"/>
    <w:rsid w:val="00814DEB"/>
    <w:rsid w:val="0081545F"/>
    <w:rsid w:val="00816544"/>
    <w:rsid w:val="00817969"/>
    <w:rsid w:val="00817EDC"/>
    <w:rsid w:val="00821541"/>
    <w:rsid w:val="00823280"/>
    <w:rsid w:val="00823832"/>
    <w:rsid w:val="00825494"/>
    <w:rsid w:val="00825C20"/>
    <w:rsid w:val="00826C95"/>
    <w:rsid w:val="008279AE"/>
    <w:rsid w:val="00832870"/>
    <w:rsid w:val="00833C43"/>
    <w:rsid w:val="00833ECF"/>
    <w:rsid w:val="008342F4"/>
    <w:rsid w:val="00835FB9"/>
    <w:rsid w:val="00841C73"/>
    <w:rsid w:val="00841E4F"/>
    <w:rsid w:val="008426FE"/>
    <w:rsid w:val="00842754"/>
    <w:rsid w:val="008432A0"/>
    <w:rsid w:val="00845BDD"/>
    <w:rsid w:val="00845C52"/>
    <w:rsid w:val="00845E7B"/>
    <w:rsid w:val="008463C3"/>
    <w:rsid w:val="008469F8"/>
    <w:rsid w:val="00847AD5"/>
    <w:rsid w:val="0085241A"/>
    <w:rsid w:val="00856A85"/>
    <w:rsid w:val="008575F6"/>
    <w:rsid w:val="00857B2D"/>
    <w:rsid w:val="0086000A"/>
    <w:rsid w:val="008608A5"/>
    <w:rsid w:val="00861DF0"/>
    <w:rsid w:val="00866DCD"/>
    <w:rsid w:val="00867760"/>
    <w:rsid w:val="00870EC5"/>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67FD"/>
    <w:rsid w:val="00897ADD"/>
    <w:rsid w:val="008A0F25"/>
    <w:rsid w:val="008A1C5C"/>
    <w:rsid w:val="008A2C10"/>
    <w:rsid w:val="008A2ECD"/>
    <w:rsid w:val="008A2FEF"/>
    <w:rsid w:val="008A3E6D"/>
    <w:rsid w:val="008A42BE"/>
    <w:rsid w:val="008A6A67"/>
    <w:rsid w:val="008A7014"/>
    <w:rsid w:val="008B051F"/>
    <w:rsid w:val="008B06D1"/>
    <w:rsid w:val="008B1FFB"/>
    <w:rsid w:val="008B20D4"/>
    <w:rsid w:val="008B29AA"/>
    <w:rsid w:val="008B35B0"/>
    <w:rsid w:val="008B4DD4"/>
    <w:rsid w:val="008B5A8C"/>
    <w:rsid w:val="008B65F0"/>
    <w:rsid w:val="008B71FA"/>
    <w:rsid w:val="008C1408"/>
    <w:rsid w:val="008C32BF"/>
    <w:rsid w:val="008C41BD"/>
    <w:rsid w:val="008C51CF"/>
    <w:rsid w:val="008C569B"/>
    <w:rsid w:val="008C6061"/>
    <w:rsid w:val="008D1852"/>
    <w:rsid w:val="008D2482"/>
    <w:rsid w:val="008D2F4E"/>
    <w:rsid w:val="008D4253"/>
    <w:rsid w:val="008D641D"/>
    <w:rsid w:val="008D6B07"/>
    <w:rsid w:val="008D771D"/>
    <w:rsid w:val="008E35A1"/>
    <w:rsid w:val="008E3B44"/>
    <w:rsid w:val="008E548B"/>
    <w:rsid w:val="008E64CA"/>
    <w:rsid w:val="008E668E"/>
    <w:rsid w:val="008E68B7"/>
    <w:rsid w:val="008E698B"/>
    <w:rsid w:val="008F0A99"/>
    <w:rsid w:val="008F1DFC"/>
    <w:rsid w:val="008F2828"/>
    <w:rsid w:val="008F2BA2"/>
    <w:rsid w:val="008F37A7"/>
    <w:rsid w:val="008F4A2E"/>
    <w:rsid w:val="008F65F2"/>
    <w:rsid w:val="008F74A5"/>
    <w:rsid w:val="008F7F3E"/>
    <w:rsid w:val="00901138"/>
    <w:rsid w:val="00901CB3"/>
    <w:rsid w:val="009025BE"/>
    <w:rsid w:val="00902955"/>
    <w:rsid w:val="009034AC"/>
    <w:rsid w:val="00903935"/>
    <w:rsid w:val="00903B62"/>
    <w:rsid w:val="00903FBF"/>
    <w:rsid w:val="009040B4"/>
    <w:rsid w:val="0090548F"/>
    <w:rsid w:val="00906CA4"/>
    <w:rsid w:val="00906DE1"/>
    <w:rsid w:val="00906F2E"/>
    <w:rsid w:val="00907EBE"/>
    <w:rsid w:val="00910604"/>
    <w:rsid w:val="00912236"/>
    <w:rsid w:val="009124F3"/>
    <w:rsid w:val="0091344E"/>
    <w:rsid w:val="009153BA"/>
    <w:rsid w:val="009154BD"/>
    <w:rsid w:val="00915CEB"/>
    <w:rsid w:val="0092030A"/>
    <w:rsid w:val="0092069E"/>
    <w:rsid w:val="0092119C"/>
    <w:rsid w:val="009214FB"/>
    <w:rsid w:val="0092220B"/>
    <w:rsid w:val="0092357C"/>
    <w:rsid w:val="009238A1"/>
    <w:rsid w:val="00924749"/>
    <w:rsid w:val="00924F81"/>
    <w:rsid w:val="009256A0"/>
    <w:rsid w:val="00925C53"/>
    <w:rsid w:val="00925DEE"/>
    <w:rsid w:val="00926890"/>
    <w:rsid w:val="009273AA"/>
    <w:rsid w:val="00930B80"/>
    <w:rsid w:val="00931395"/>
    <w:rsid w:val="0093204E"/>
    <w:rsid w:val="00932889"/>
    <w:rsid w:val="00934D7A"/>
    <w:rsid w:val="009357DD"/>
    <w:rsid w:val="00936A21"/>
    <w:rsid w:val="0093757C"/>
    <w:rsid w:val="0094144E"/>
    <w:rsid w:val="00941A03"/>
    <w:rsid w:val="00941F9D"/>
    <w:rsid w:val="00942AD4"/>
    <w:rsid w:val="0094546D"/>
    <w:rsid w:val="00945532"/>
    <w:rsid w:val="00946820"/>
    <w:rsid w:val="00946DFD"/>
    <w:rsid w:val="00951413"/>
    <w:rsid w:val="00952198"/>
    <w:rsid w:val="00953E5D"/>
    <w:rsid w:val="00954D0A"/>
    <w:rsid w:val="0095565E"/>
    <w:rsid w:val="009562E6"/>
    <w:rsid w:val="00956304"/>
    <w:rsid w:val="00956F54"/>
    <w:rsid w:val="00957370"/>
    <w:rsid w:val="009632EF"/>
    <w:rsid w:val="00965D19"/>
    <w:rsid w:val="00967A5B"/>
    <w:rsid w:val="009719ED"/>
    <w:rsid w:val="0097250B"/>
    <w:rsid w:val="009734FD"/>
    <w:rsid w:val="0097385A"/>
    <w:rsid w:val="00973959"/>
    <w:rsid w:val="00973D48"/>
    <w:rsid w:val="00974083"/>
    <w:rsid w:val="009747D0"/>
    <w:rsid w:val="0097511E"/>
    <w:rsid w:val="0097638E"/>
    <w:rsid w:val="009777F2"/>
    <w:rsid w:val="00977C14"/>
    <w:rsid w:val="00980E29"/>
    <w:rsid w:val="00983466"/>
    <w:rsid w:val="00984BE4"/>
    <w:rsid w:val="00984D70"/>
    <w:rsid w:val="00985168"/>
    <w:rsid w:val="00985AC7"/>
    <w:rsid w:val="00987960"/>
    <w:rsid w:val="009921DB"/>
    <w:rsid w:val="00992C24"/>
    <w:rsid w:val="00992F39"/>
    <w:rsid w:val="00993162"/>
    <w:rsid w:val="00994451"/>
    <w:rsid w:val="00994EDD"/>
    <w:rsid w:val="00995AC8"/>
    <w:rsid w:val="00996BEA"/>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3376"/>
    <w:rsid w:val="009D57C9"/>
    <w:rsid w:val="009D78E5"/>
    <w:rsid w:val="009D7E8A"/>
    <w:rsid w:val="009E422B"/>
    <w:rsid w:val="009E4DD5"/>
    <w:rsid w:val="009E4F03"/>
    <w:rsid w:val="009E541A"/>
    <w:rsid w:val="009E55A7"/>
    <w:rsid w:val="009E64DD"/>
    <w:rsid w:val="009E64F6"/>
    <w:rsid w:val="009E671D"/>
    <w:rsid w:val="009E7B45"/>
    <w:rsid w:val="009F023C"/>
    <w:rsid w:val="009F0909"/>
    <w:rsid w:val="009F0E94"/>
    <w:rsid w:val="009F3CC6"/>
    <w:rsid w:val="009F4DE2"/>
    <w:rsid w:val="009F64D0"/>
    <w:rsid w:val="009F66A3"/>
    <w:rsid w:val="009F70F8"/>
    <w:rsid w:val="009F76CE"/>
    <w:rsid w:val="009F78EB"/>
    <w:rsid w:val="00A02EBE"/>
    <w:rsid w:val="00A04DE3"/>
    <w:rsid w:val="00A0758B"/>
    <w:rsid w:val="00A078B8"/>
    <w:rsid w:val="00A11B8F"/>
    <w:rsid w:val="00A11EF2"/>
    <w:rsid w:val="00A11F35"/>
    <w:rsid w:val="00A12FB4"/>
    <w:rsid w:val="00A1434E"/>
    <w:rsid w:val="00A17C6D"/>
    <w:rsid w:val="00A20A2B"/>
    <w:rsid w:val="00A2233B"/>
    <w:rsid w:val="00A23442"/>
    <w:rsid w:val="00A24B8B"/>
    <w:rsid w:val="00A26237"/>
    <w:rsid w:val="00A26335"/>
    <w:rsid w:val="00A26DB3"/>
    <w:rsid w:val="00A27A51"/>
    <w:rsid w:val="00A27EDA"/>
    <w:rsid w:val="00A27FCA"/>
    <w:rsid w:val="00A30AB4"/>
    <w:rsid w:val="00A30B10"/>
    <w:rsid w:val="00A31AD4"/>
    <w:rsid w:val="00A31DA6"/>
    <w:rsid w:val="00A329F6"/>
    <w:rsid w:val="00A32BE5"/>
    <w:rsid w:val="00A33DCB"/>
    <w:rsid w:val="00A343A0"/>
    <w:rsid w:val="00A343B8"/>
    <w:rsid w:val="00A358C9"/>
    <w:rsid w:val="00A36025"/>
    <w:rsid w:val="00A36D4B"/>
    <w:rsid w:val="00A43398"/>
    <w:rsid w:val="00A44934"/>
    <w:rsid w:val="00A4510B"/>
    <w:rsid w:val="00A46A0D"/>
    <w:rsid w:val="00A47CAA"/>
    <w:rsid w:val="00A50CD1"/>
    <w:rsid w:val="00A52EFE"/>
    <w:rsid w:val="00A53608"/>
    <w:rsid w:val="00A54172"/>
    <w:rsid w:val="00A55041"/>
    <w:rsid w:val="00A55909"/>
    <w:rsid w:val="00A56278"/>
    <w:rsid w:val="00A61094"/>
    <w:rsid w:val="00A6126A"/>
    <w:rsid w:val="00A627A9"/>
    <w:rsid w:val="00A629E3"/>
    <w:rsid w:val="00A62BF5"/>
    <w:rsid w:val="00A62F9F"/>
    <w:rsid w:val="00A66481"/>
    <w:rsid w:val="00A67C7B"/>
    <w:rsid w:val="00A7039A"/>
    <w:rsid w:val="00A70A79"/>
    <w:rsid w:val="00A70C13"/>
    <w:rsid w:val="00A70C81"/>
    <w:rsid w:val="00A710BB"/>
    <w:rsid w:val="00A7307A"/>
    <w:rsid w:val="00A74655"/>
    <w:rsid w:val="00A76221"/>
    <w:rsid w:val="00A7650F"/>
    <w:rsid w:val="00A77D36"/>
    <w:rsid w:val="00A80EC7"/>
    <w:rsid w:val="00A823AF"/>
    <w:rsid w:val="00A8282D"/>
    <w:rsid w:val="00A83024"/>
    <w:rsid w:val="00A832C0"/>
    <w:rsid w:val="00A8371D"/>
    <w:rsid w:val="00A83FB1"/>
    <w:rsid w:val="00A849A4"/>
    <w:rsid w:val="00A86F74"/>
    <w:rsid w:val="00A901E6"/>
    <w:rsid w:val="00A903D2"/>
    <w:rsid w:val="00A9071E"/>
    <w:rsid w:val="00A909F4"/>
    <w:rsid w:val="00A911D9"/>
    <w:rsid w:val="00A941BC"/>
    <w:rsid w:val="00A96062"/>
    <w:rsid w:val="00A962EF"/>
    <w:rsid w:val="00A967E3"/>
    <w:rsid w:val="00A97A74"/>
    <w:rsid w:val="00AA0AE5"/>
    <w:rsid w:val="00AA0E2A"/>
    <w:rsid w:val="00AA16B6"/>
    <w:rsid w:val="00AA1D71"/>
    <w:rsid w:val="00AA25C4"/>
    <w:rsid w:val="00AA324F"/>
    <w:rsid w:val="00AA334E"/>
    <w:rsid w:val="00AA34B3"/>
    <w:rsid w:val="00AA3BF6"/>
    <w:rsid w:val="00AA465C"/>
    <w:rsid w:val="00AA6AA7"/>
    <w:rsid w:val="00AB3617"/>
    <w:rsid w:val="00AB3E14"/>
    <w:rsid w:val="00AB4E4C"/>
    <w:rsid w:val="00AB590F"/>
    <w:rsid w:val="00AB6E44"/>
    <w:rsid w:val="00AB71E7"/>
    <w:rsid w:val="00AC0DBB"/>
    <w:rsid w:val="00AC1A1F"/>
    <w:rsid w:val="00AC1F6C"/>
    <w:rsid w:val="00AC2E24"/>
    <w:rsid w:val="00AC4031"/>
    <w:rsid w:val="00AC4C72"/>
    <w:rsid w:val="00AC53A7"/>
    <w:rsid w:val="00AC6489"/>
    <w:rsid w:val="00AC697B"/>
    <w:rsid w:val="00AD0E86"/>
    <w:rsid w:val="00AD1928"/>
    <w:rsid w:val="00AD2116"/>
    <w:rsid w:val="00AD246C"/>
    <w:rsid w:val="00AD44E7"/>
    <w:rsid w:val="00AD5634"/>
    <w:rsid w:val="00AD60EA"/>
    <w:rsid w:val="00AD7C25"/>
    <w:rsid w:val="00AE07CA"/>
    <w:rsid w:val="00AE0C85"/>
    <w:rsid w:val="00AE2F94"/>
    <w:rsid w:val="00AE3983"/>
    <w:rsid w:val="00AE3ECF"/>
    <w:rsid w:val="00AE5DCF"/>
    <w:rsid w:val="00AE73F2"/>
    <w:rsid w:val="00AE75EB"/>
    <w:rsid w:val="00AF2AC3"/>
    <w:rsid w:val="00AF37E1"/>
    <w:rsid w:val="00AF3A22"/>
    <w:rsid w:val="00AF42C9"/>
    <w:rsid w:val="00AF546D"/>
    <w:rsid w:val="00AF6162"/>
    <w:rsid w:val="00B01EFE"/>
    <w:rsid w:val="00B02222"/>
    <w:rsid w:val="00B025DA"/>
    <w:rsid w:val="00B03BC8"/>
    <w:rsid w:val="00B0534F"/>
    <w:rsid w:val="00B06636"/>
    <w:rsid w:val="00B06C7B"/>
    <w:rsid w:val="00B06FF8"/>
    <w:rsid w:val="00B07124"/>
    <w:rsid w:val="00B07294"/>
    <w:rsid w:val="00B07C46"/>
    <w:rsid w:val="00B103A0"/>
    <w:rsid w:val="00B1141D"/>
    <w:rsid w:val="00B11968"/>
    <w:rsid w:val="00B12A59"/>
    <w:rsid w:val="00B12FA6"/>
    <w:rsid w:val="00B13AF5"/>
    <w:rsid w:val="00B17E35"/>
    <w:rsid w:val="00B17F02"/>
    <w:rsid w:val="00B20C0A"/>
    <w:rsid w:val="00B2242B"/>
    <w:rsid w:val="00B22CF0"/>
    <w:rsid w:val="00B22D4C"/>
    <w:rsid w:val="00B2514D"/>
    <w:rsid w:val="00B268BF"/>
    <w:rsid w:val="00B26A3D"/>
    <w:rsid w:val="00B30650"/>
    <w:rsid w:val="00B3205C"/>
    <w:rsid w:val="00B33A2A"/>
    <w:rsid w:val="00B33ACB"/>
    <w:rsid w:val="00B3569E"/>
    <w:rsid w:val="00B35956"/>
    <w:rsid w:val="00B35F38"/>
    <w:rsid w:val="00B4014B"/>
    <w:rsid w:val="00B40734"/>
    <w:rsid w:val="00B434D4"/>
    <w:rsid w:val="00B46A42"/>
    <w:rsid w:val="00B4710D"/>
    <w:rsid w:val="00B4755C"/>
    <w:rsid w:val="00B5179A"/>
    <w:rsid w:val="00B5186E"/>
    <w:rsid w:val="00B52307"/>
    <w:rsid w:val="00B52933"/>
    <w:rsid w:val="00B532E3"/>
    <w:rsid w:val="00B53595"/>
    <w:rsid w:val="00B53781"/>
    <w:rsid w:val="00B55346"/>
    <w:rsid w:val="00B558A3"/>
    <w:rsid w:val="00B60F9C"/>
    <w:rsid w:val="00B625A1"/>
    <w:rsid w:val="00B632A3"/>
    <w:rsid w:val="00B64088"/>
    <w:rsid w:val="00B6412B"/>
    <w:rsid w:val="00B64209"/>
    <w:rsid w:val="00B65194"/>
    <w:rsid w:val="00B65776"/>
    <w:rsid w:val="00B662C0"/>
    <w:rsid w:val="00B7090B"/>
    <w:rsid w:val="00B70F01"/>
    <w:rsid w:val="00B71018"/>
    <w:rsid w:val="00B7311B"/>
    <w:rsid w:val="00B744CD"/>
    <w:rsid w:val="00B806DC"/>
    <w:rsid w:val="00B8200A"/>
    <w:rsid w:val="00B822B8"/>
    <w:rsid w:val="00B83DCD"/>
    <w:rsid w:val="00B85A30"/>
    <w:rsid w:val="00B85B23"/>
    <w:rsid w:val="00B85C94"/>
    <w:rsid w:val="00B861ED"/>
    <w:rsid w:val="00B867B1"/>
    <w:rsid w:val="00B86C45"/>
    <w:rsid w:val="00B87B5D"/>
    <w:rsid w:val="00B87D3E"/>
    <w:rsid w:val="00B90277"/>
    <w:rsid w:val="00B90885"/>
    <w:rsid w:val="00B908C2"/>
    <w:rsid w:val="00B91BAD"/>
    <w:rsid w:val="00B92D03"/>
    <w:rsid w:val="00B93EFB"/>
    <w:rsid w:val="00BA0DB5"/>
    <w:rsid w:val="00BA13FD"/>
    <w:rsid w:val="00BA379F"/>
    <w:rsid w:val="00BA4025"/>
    <w:rsid w:val="00BA63E4"/>
    <w:rsid w:val="00BA6BA0"/>
    <w:rsid w:val="00BA7E3E"/>
    <w:rsid w:val="00BB02AA"/>
    <w:rsid w:val="00BB0E5C"/>
    <w:rsid w:val="00BB1B09"/>
    <w:rsid w:val="00BB30A1"/>
    <w:rsid w:val="00BB3408"/>
    <w:rsid w:val="00BB5576"/>
    <w:rsid w:val="00BB5B60"/>
    <w:rsid w:val="00BB6C0B"/>
    <w:rsid w:val="00BB75E4"/>
    <w:rsid w:val="00BC0CE5"/>
    <w:rsid w:val="00BC2BE9"/>
    <w:rsid w:val="00BC717C"/>
    <w:rsid w:val="00BC72FA"/>
    <w:rsid w:val="00BC7C31"/>
    <w:rsid w:val="00BD18E7"/>
    <w:rsid w:val="00BD1AC6"/>
    <w:rsid w:val="00BD4A7D"/>
    <w:rsid w:val="00BD4D7D"/>
    <w:rsid w:val="00BD4FB9"/>
    <w:rsid w:val="00BD5393"/>
    <w:rsid w:val="00BD79C7"/>
    <w:rsid w:val="00BD7B0F"/>
    <w:rsid w:val="00BE2B0D"/>
    <w:rsid w:val="00BE58DC"/>
    <w:rsid w:val="00BF0BE8"/>
    <w:rsid w:val="00BF0D33"/>
    <w:rsid w:val="00BF1093"/>
    <w:rsid w:val="00BF1B98"/>
    <w:rsid w:val="00BF1C48"/>
    <w:rsid w:val="00BF2CA0"/>
    <w:rsid w:val="00BF5152"/>
    <w:rsid w:val="00BF590E"/>
    <w:rsid w:val="00BF5BC0"/>
    <w:rsid w:val="00BF6A3F"/>
    <w:rsid w:val="00BF6F09"/>
    <w:rsid w:val="00BF795D"/>
    <w:rsid w:val="00BF7A65"/>
    <w:rsid w:val="00BF7C4D"/>
    <w:rsid w:val="00C01085"/>
    <w:rsid w:val="00C01857"/>
    <w:rsid w:val="00C01AE1"/>
    <w:rsid w:val="00C03393"/>
    <w:rsid w:val="00C04E96"/>
    <w:rsid w:val="00C116A1"/>
    <w:rsid w:val="00C1199A"/>
    <w:rsid w:val="00C11E77"/>
    <w:rsid w:val="00C128C8"/>
    <w:rsid w:val="00C138F5"/>
    <w:rsid w:val="00C13E5D"/>
    <w:rsid w:val="00C14837"/>
    <w:rsid w:val="00C17ACD"/>
    <w:rsid w:val="00C17FA4"/>
    <w:rsid w:val="00C2328E"/>
    <w:rsid w:val="00C26915"/>
    <w:rsid w:val="00C27B1A"/>
    <w:rsid w:val="00C35AC8"/>
    <w:rsid w:val="00C36D85"/>
    <w:rsid w:val="00C36DFA"/>
    <w:rsid w:val="00C3706C"/>
    <w:rsid w:val="00C37337"/>
    <w:rsid w:val="00C37589"/>
    <w:rsid w:val="00C4068C"/>
    <w:rsid w:val="00C41020"/>
    <w:rsid w:val="00C41CC6"/>
    <w:rsid w:val="00C41D05"/>
    <w:rsid w:val="00C442B2"/>
    <w:rsid w:val="00C447E6"/>
    <w:rsid w:val="00C44B58"/>
    <w:rsid w:val="00C44E3F"/>
    <w:rsid w:val="00C46993"/>
    <w:rsid w:val="00C46E16"/>
    <w:rsid w:val="00C508F6"/>
    <w:rsid w:val="00C50CFC"/>
    <w:rsid w:val="00C51F1E"/>
    <w:rsid w:val="00C5236D"/>
    <w:rsid w:val="00C536FE"/>
    <w:rsid w:val="00C5457A"/>
    <w:rsid w:val="00C5686C"/>
    <w:rsid w:val="00C56AE7"/>
    <w:rsid w:val="00C609F8"/>
    <w:rsid w:val="00C61DF5"/>
    <w:rsid w:val="00C61EF4"/>
    <w:rsid w:val="00C6425F"/>
    <w:rsid w:val="00C6456F"/>
    <w:rsid w:val="00C64619"/>
    <w:rsid w:val="00C64875"/>
    <w:rsid w:val="00C6492E"/>
    <w:rsid w:val="00C64ADD"/>
    <w:rsid w:val="00C64E17"/>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2B4"/>
    <w:rsid w:val="00C859B4"/>
    <w:rsid w:val="00C87D46"/>
    <w:rsid w:val="00C91208"/>
    <w:rsid w:val="00C91617"/>
    <w:rsid w:val="00C91E48"/>
    <w:rsid w:val="00C9683B"/>
    <w:rsid w:val="00C9697C"/>
    <w:rsid w:val="00CA097C"/>
    <w:rsid w:val="00CA1956"/>
    <w:rsid w:val="00CA1AA6"/>
    <w:rsid w:val="00CA4909"/>
    <w:rsid w:val="00CA5920"/>
    <w:rsid w:val="00CA650C"/>
    <w:rsid w:val="00CA7546"/>
    <w:rsid w:val="00CB0A34"/>
    <w:rsid w:val="00CB1936"/>
    <w:rsid w:val="00CB2E45"/>
    <w:rsid w:val="00CB2EE8"/>
    <w:rsid w:val="00CB47A3"/>
    <w:rsid w:val="00CB4B04"/>
    <w:rsid w:val="00CB4B78"/>
    <w:rsid w:val="00CB57A0"/>
    <w:rsid w:val="00CC1502"/>
    <w:rsid w:val="00CC1B37"/>
    <w:rsid w:val="00CC3505"/>
    <w:rsid w:val="00CC528E"/>
    <w:rsid w:val="00CC5A46"/>
    <w:rsid w:val="00CC6C81"/>
    <w:rsid w:val="00CC773A"/>
    <w:rsid w:val="00CC7882"/>
    <w:rsid w:val="00CD0E86"/>
    <w:rsid w:val="00CD1A11"/>
    <w:rsid w:val="00CD2019"/>
    <w:rsid w:val="00CD2A3F"/>
    <w:rsid w:val="00CD3028"/>
    <w:rsid w:val="00CD52C5"/>
    <w:rsid w:val="00CD7CFC"/>
    <w:rsid w:val="00CE145F"/>
    <w:rsid w:val="00CE18B0"/>
    <w:rsid w:val="00CE3609"/>
    <w:rsid w:val="00CE3648"/>
    <w:rsid w:val="00CE42BB"/>
    <w:rsid w:val="00CE5E55"/>
    <w:rsid w:val="00CE5E66"/>
    <w:rsid w:val="00CE6BE1"/>
    <w:rsid w:val="00CE6D94"/>
    <w:rsid w:val="00CE6F5B"/>
    <w:rsid w:val="00CF01D6"/>
    <w:rsid w:val="00CF03B0"/>
    <w:rsid w:val="00CF044D"/>
    <w:rsid w:val="00CF15DE"/>
    <w:rsid w:val="00CF2BC2"/>
    <w:rsid w:val="00CF4A3D"/>
    <w:rsid w:val="00CF617C"/>
    <w:rsid w:val="00CF74E2"/>
    <w:rsid w:val="00CF7FBE"/>
    <w:rsid w:val="00D03913"/>
    <w:rsid w:val="00D04281"/>
    <w:rsid w:val="00D05E3F"/>
    <w:rsid w:val="00D0696A"/>
    <w:rsid w:val="00D07ABA"/>
    <w:rsid w:val="00D126B8"/>
    <w:rsid w:val="00D134B7"/>
    <w:rsid w:val="00D13EB7"/>
    <w:rsid w:val="00D145F9"/>
    <w:rsid w:val="00D1647D"/>
    <w:rsid w:val="00D17018"/>
    <w:rsid w:val="00D20E64"/>
    <w:rsid w:val="00D20F45"/>
    <w:rsid w:val="00D21BD9"/>
    <w:rsid w:val="00D257C3"/>
    <w:rsid w:val="00D2599C"/>
    <w:rsid w:val="00D25DAA"/>
    <w:rsid w:val="00D30579"/>
    <w:rsid w:val="00D30B08"/>
    <w:rsid w:val="00D31511"/>
    <w:rsid w:val="00D31B88"/>
    <w:rsid w:val="00D352A0"/>
    <w:rsid w:val="00D40760"/>
    <w:rsid w:val="00D41CA1"/>
    <w:rsid w:val="00D426E5"/>
    <w:rsid w:val="00D42E0B"/>
    <w:rsid w:val="00D45ACD"/>
    <w:rsid w:val="00D508DA"/>
    <w:rsid w:val="00D50A94"/>
    <w:rsid w:val="00D51D39"/>
    <w:rsid w:val="00D51D61"/>
    <w:rsid w:val="00D52F1B"/>
    <w:rsid w:val="00D5379C"/>
    <w:rsid w:val="00D54D94"/>
    <w:rsid w:val="00D6198E"/>
    <w:rsid w:val="00D64BE0"/>
    <w:rsid w:val="00D64D32"/>
    <w:rsid w:val="00D650C8"/>
    <w:rsid w:val="00D660D5"/>
    <w:rsid w:val="00D71469"/>
    <w:rsid w:val="00D71999"/>
    <w:rsid w:val="00D71E3E"/>
    <w:rsid w:val="00D73C69"/>
    <w:rsid w:val="00D76160"/>
    <w:rsid w:val="00D76C74"/>
    <w:rsid w:val="00D76E36"/>
    <w:rsid w:val="00D807C3"/>
    <w:rsid w:val="00D81A8F"/>
    <w:rsid w:val="00D81FC6"/>
    <w:rsid w:val="00D82640"/>
    <w:rsid w:val="00D8329A"/>
    <w:rsid w:val="00D84C89"/>
    <w:rsid w:val="00D856B2"/>
    <w:rsid w:val="00D85980"/>
    <w:rsid w:val="00D86B00"/>
    <w:rsid w:val="00D91BB6"/>
    <w:rsid w:val="00D92601"/>
    <w:rsid w:val="00D92A22"/>
    <w:rsid w:val="00D940CB"/>
    <w:rsid w:val="00D96669"/>
    <w:rsid w:val="00DA0C3B"/>
    <w:rsid w:val="00DA1BB2"/>
    <w:rsid w:val="00DA3297"/>
    <w:rsid w:val="00DA36DF"/>
    <w:rsid w:val="00DA479E"/>
    <w:rsid w:val="00DA63C3"/>
    <w:rsid w:val="00DB0898"/>
    <w:rsid w:val="00DB1439"/>
    <w:rsid w:val="00DB18C8"/>
    <w:rsid w:val="00DB1DB0"/>
    <w:rsid w:val="00DB24B6"/>
    <w:rsid w:val="00DB3CEB"/>
    <w:rsid w:val="00DB4044"/>
    <w:rsid w:val="00DB4E19"/>
    <w:rsid w:val="00DB4FD6"/>
    <w:rsid w:val="00DB5552"/>
    <w:rsid w:val="00DB7020"/>
    <w:rsid w:val="00DB70BF"/>
    <w:rsid w:val="00DC0C49"/>
    <w:rsid w:val="00DC261A"/>
    <w:rsid w:val="00DC3DC5"/>
    <w:rsid w:val="00DC4328"/>
    <w:rsid w:val="00DC4E0E"/>
    <w:rsid w:val="00DC5893"/>
    <w:rsid w:val="00DC5948"/>
    <w:rsid w:val="00DD095E"/>
    <w:rsid w:val="00DD1C0F"/>
    <w:rsid w:val="00DD29FF"/>
    <w:rsid w:val="00DD3B3F"/>
    <w:rsid w:val="00DD5728"/>
    <w:rsid w:val="00DD5A5F"/>
    <w:rsid w:val="00DD5E8E"/>
    <w:rsid w:val="00DE0BCD"/>
    <w:rsid w:val="00DE15C2"/>
    <w:rsid w:val="00DE1D2D"/>
    <w:rsid w:val="00DE1FC2"/>
    <w:rsid w:val="00DE2DF3"/>
    <w:rsid w:val="00DE35ED"/>
    <w:rsid w:val="00DE4C92"/>
    <w:rsid w:val="00DE747C"/>
    <w:rsid w:val="00DE7BE9"/>
    <w:rsid w:val="00DE7C42"/>
    <w:rsid w:val="00DF2091"/>
    <w:rsid w:val="00DF2B8B"/>
    <w:rsid w:val="00DF2E05"/>
    <w:rsid w:val="00DF318E"/>
    <w:rsid w:val="00DF3CD6"/>
    <w:rsid w:val="00DF505F"/>
    <w:rsid w:val="00DF6324"/>
    <w:rsid w:val="00DF6B72"/>
    <w:rsid w:val="00E00C0D"/>
    <w:rsid w:val="00E0208D"/>
    <w:rsid w:val="00E02982"/>
    <w:rsid w:val="00E038E6"/>
    <w:rsid w:val="00E04EF6"/>
    <w:rsid w:val="00E053E0"/>
    <w:rsid w:val="00E05AC4"/>
    <w:rsid w:val="00E05E02"/>
    <w:rsid w:val="00E06B9E"/>
    <w:rsid w:val="00E07E09"/>
    <w:rsid w:val="00E07E44"/>
    <w:rsid w:val="00E10865"/>
    <w:rsid w:val="00E10CF2"/>
    <w:rsid w:val="00E12875"/>
    <w:rsid w:val="00E14FE1"/>
    <w:rsid w:val="00E151E8"/>
    <w:rsid w:val="00E15BC7"/>
    <w:rsid w:val="00E163A1"/>
    <w:rsid w:val="00E1651C"/>
    <w:rsid w:val="00E2260B"/>
    <w:rsid w:val="00E232C4"/>
    <w:rsid w:val="00E243D1"/>
    <w:rsid w:val="00E24875"/>
    <w:rsid w:val="00E25925"/>
    <w:rsid w:val="00E27942"/>
    <w:rsid w:val="00E27993"/>
    <w:rsid w:val="00E31117"/>
    <w:rsid w:val="00E32CF1"/>
    <w:rsid w:val="00E3458E"/>
    <w:rsid w:val="00E35BB9"/>
    <w:rsid w:val="00E40FC4"/>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1B44"/>
    <w:rsid w:val="00E62B1D"/>
    <w:rsid w:val="00E63287"/>
    <w:rsid w:val="00E63634"/>
    <w:rsid w:val="00E6458E"/>
    <w:rsid w:val="00E64613"/>
    <w:rsid w:val="00E65DD1"/>
    <w:rsid w:val="00E66432"/>
    <w:rsid w:val="00E675AD"/>
    <w:rsid w:val="00E70270"/>
    <w:rsid w:val="00E70513"/>
    <w:rsid w:val="00E70DEB"/>
    <w:rsid w:val="00E73290"/>
    <w:rsid w:val="00E75E99"/>
    <w:rsid w:val="00E76540"/>
    <w:rsid w:val="00E77FCD"/>
    <w:rsid w:val="00E80092"/>
    <w:rsid w:val="00E8141C"/>
    <w:rsid w:val="00E85642"/>
    <w:rsid w:val="00E85A5B"/>
    <w:rsid w:val="00E86445"/>
    <w:rsid w:val="00E8691D"/>
    <w:rsid w:val="00E86D97"/>
    <w:rsid w:val="00E90B65"/>
    <w:rsid w:val="00E926E0"/>
    <w:rsid w:val="00E9384B"/>
    <w:rsid w:val="00E9447E"/>
    <w:rsid w:val="00E94B0A"/>
    <w:rsid w:val="00E9794C"/>
    <w:rsid w:val="00EA1365"/>
    <w:rsid w:val="00EA1B8F"/>
    <w:rsid w:val="00EA1F60"/>
    <w:rsid w:val="00EA1F94"/>
    <w:rsid w:val="00EA3529"/>
    <w:rsid w:val="00EA35D5"/>
    <w:rsid w:val="00EA4061"/>
    <w:rsid w:val="00EA44D3"/>
    <w:rsid w:val="00EA4863"/>
    <w:rsid w:val="00EA4A15"/>
    <w:rsid w:val="00EA4CC1"/>
    <w:rsid w:val="00EA6F5A"/>
    <w:rsid w:val="00EA7784"/>
    <w:rsid w:val="00EB0409"/>
    <w:rsid w:val="00EB3B5E"/>
    <w:rsid w:val="00EB3BE0"/>
    <w:rsid w:val="00EB430C"/>
    <w:rsid w:val="00EB4DC3"/>
    <w:rsid w:val="00EB5156"/>
    <w:rsid w:val="00EB6DD0"/>
    <w:rsid w:val="00EC223B"/>
    <w:rsid w:val="00EC339F"/>
    <w:rsid w:val="00EC33BF"/>
    <w:rsid w:val="00EC4E51"/>
    <w:rsid w:val="00ED5895"/>
    <w:rsid w:val="00ED5AD3"/>
    <w:rsid w:val="00ED61F2"/>
    <w:rsid w:val="00EE2F5D"/>
    <w:rsid w:val="00EE4031"/>
    <w:rsid w:val="00EE4861"/>
    <w:rsid w:val="00EE5C5E"/>
    <w:rsid w:val="00EE6086"/>
    <w:rsid w:val="00EE6315"/>
    <w:rsid w:val="00EF053C"/>
    <w:rsid w:val="00EF13B7"/>
    <w:rsid w:val="00EF31A0"/>
    <w:rsid w:val="00EF68F4"/>
    <w:rsid w:val="00F0038C"/>
    <w:rsid w:val="00F01204"/>
    <w:rsid w:val="00F036BD"/>
    <w:rsid w:val="00F03D95"/>
    <w:rsid w:val="00F04C96"/>
    <w:rsid w:val="00F056B9"/>
    <w:rsid w:val="00F05C02"/>
    <w:rsid w:val="00F071E3"/>
    <w:rsid w:val="00F113AA"/>
    <w:rsid w:val="00F13770"/>
    <w:rsid w:val="00F14866"/>
    <w:rsid w:val="00F14A8C"/>
    <w:rsid w:val="00F153DA"/>
    <w:rsid w:val="00F15B07"/>
    <w:rsid w:val="00F1693C"/>
    <w:rsid w:val="00F17242"/>
    <w:rsid w:val="00F2179C"/>
    <w:rsid w:val="00F23198"/>
    <w:rsid w:val="00F235A4"/>
    <w:rsid w:val="00F2528D"/>
    <w:rsid w:val="00F26716"/>
    <w:rsid w:val="00F27EE2"/>
    <w:rsid w:val="00F31475"/>
    <w:rsid w:val="00F31B4A"/>
    <w:rsid w:val="00F32C98"/>
    <w:rsid w:val="00F3359D"/>
    <w:rsid w:val="00F336B2"/>
    <w:rsid w:val="00F33B4F"/>
    <w:rsid w:val="00F36556"/>
    <w:rsid w:val="00F36E22"/>
    <w:rsid w:val="00F37DF2"/>
    <w:rsid w:val="00F41ECF"/>
    <w:rsid w:val="00F42B8B"/>
    <w:rsid w:val="00F44AE3"/>
    <w:rsid w:val="00F46022"/>
    <w:rsid w:val="00F47FF5"/>
    <w:rsid w:val="00F51E1F"/>
    <w:rsid w:val="00F530C1"/>
    <w:rsid w:val="00F5527C"/>
    <w:rsid w:val="00F56372"/>
    <w:rsid w:val="00F57033"/>
    <w:rsid w:val="00F60E66"/>
    <w:rsid w:val="00F61470"/>
    <w:rsid w:val="00F616EC"/>
    <w:rsid w:val="00F63AD0"/>
    <w:rsid w:val="00F659CE"/>
    <w:rsid w:val="00F66F31"/>
    <w:rsid w:val="00F70775"/>
    <w:rsid w:val="00F71588"/>
    <w:rsid w:val="00F767F5"/>
    <w:rsid w:val="00F8209F"/>
    <w:rsid w:val="00F82F41"/>
    <w:rsid w:val="00F83440"/>
    <w:rsid w:val="00F839A9"/>
    <w:rsid w:val="00F8402E"/>
    <w:rsid w:val="00F84CE1"/>
    <w:rsid w:val="00F84CF0"/>
    <w:rsid w:val="00F84F89"/>
    <w:rsid w:val="00F852E5"/>
    <w:rsid w:val="00F854EE"/>
    <w:rsid w:val="00F85FD1"/>
    <w:rsid w:val="00F86718"/>
    <w:rsid w:val="00F87E22"/>
    <w:rsid w:val="00F90398"/>
    <w:rsid w:val="00F90BA3"/>
    <w:rsid w:val="00F91771"/>
    <w:rsid w:val="00F91DAE"/>
    <w:rsid w:val="00F946B1"/>
    <w:rsid w:val="00F96359"/>
    <w:rsid w:val="00F965AC"/>
    <w:rsid w:val="00F97DDC"/>
    <w:rsid w:val="00FA5427"/>
    <w:rsid w:val="00FA684C"/>
    <w:rsid w:val="00FA6BA3"/>
    <w:rsid w:val="00FB00BF"/>
    <w:rsid w:val="00FB0AD1"/>
    <w:rsid w:val="00FB2F99"/>
    <w:rsid w:val="00FB325E"/>
    <w:rsid w:val="00FB4BC3"/>
    <w:rsid w:val="00FB66E6"/>
    <w:rsid w:val="00FC073A"/>
    <w:rsid w:val="00FC12D7"/>
    <w:rsid w:val="00FC17A9"/>
    <w:rsid w:val="00FC1C6D"/>
    <w:rsid w:val="00FC1D1F"/>
    <w:rsid w:val="00FC2670"/>
    <w:rsid w:val="00FC5325"/>
    <w:rsid w:val="00FC5E64"/>
    <w:rsid w:val="00FC6532"/>
    <w:rsid w:val="00FD00C9"/>
    <w:rsid w:val="00FD0387"/>
    <w:rsid w:val="00FD0D42"/>
    <w:rsid w:val="00FD113C"/>
    <w:rsid w:val="00FD13BB"/>
    <w:rsid w:val="00FD147B"/>
    <w:rsid w:val="00FD17A6"/>
    <w:rsid w:val="00FD29C0"/>
    <w:rsid w:val="00FD3155"/>
    <w:rsid w:val="00FD3B27"/>
    <w:rsid w:val="00FD3D69"/>
    <w:rsid w:val="00FD43F8"/>
    <w:rsid w:val="00FD5EDD"/>
    <w:rsid w:val="00FD661E"/>
    <w:rsid w:val="00FD68C6"/>
    <w:rsid w:val="00FD7C60"/>
    <w:rsid w:val="00FD7DD6"/>
    <w:rsid w:val="00FE0EFA"/>
    <w:rsid w:val="00FE15C0"/>
    <w:rsid w:val="00FE279C"/>
    <w:rsid w:val="00FE3BEB"/>
    <w:rsid w:val="00FE3DBD"/>
    <w:rsid w:val="00FE6662"/>
    <w:rsid w:val="00FE6F56"/>
    <w:rsid w:val="00FF08F6"/>
    <w:rsid w:val="00FF1197"/>
    <w:rsid w:val="00FF11FB"/>
    <w:rsid w:val="00FF1495"/>
    <w:rsid w:val="00FF178F"/>
    <w:rsid w:val="00FF263F"/>
    <w:rsid w:val="00FF2D2B"/>
    <w:rsid w:val="00FF3C3E"/>
    <w:rsid w:val="00FF5704"/>
    <w:rsid w:val="016022B4"/>
    <w:rsid w:val="017C011F"/>
    <w:rsid w:val="01B3161D"/>
    <w:rsid w:val="01EB5915"/>
    <w:rsid w:val="02182ED7"/>
    <w:rsid w:val="025D4D8E"/>
    <w:rsid w:val="043843A1"/>
    <w:rsid w:val="04AA5E4E"/>
    <w:rsid w:val="04F82025"/>
    <w:rsid w:val="05312CB9"/>
    <w:rsid w:val="053F0F3C"/>
    <w:rsid w:val="067C20BB"/>
    <w:rsid w:val="06C80966"/>
    <w:rsid w:val="07AA3675"/>
    <w:rsid w:val="08693410"/>
    <w:rsid w:val="089745D6"/>
    <w:rsid w:val="08E84EF1"/>
    <w:rsid w:val="09412D13"/>
    <w:rsid w:val="0A8235E3"/>
    <w:rsid w:val="0ACF1886"/>
    <w:rsid w:val="0B4B60CB"/>
    <w:rsid w:val="0B8E420A"/>
    <w:rsid w:val="0BC23F01"/>
    <w:rsid w:val="0C786F42"/>
    <w:rsid w:val="0EA855E3"/>
    <w:rsid w:val="0F3E7ED6"/>
    <w:rsid w:val="0F5F3AAE"/>
    <w:rsid w:val="0FB56CEA"/>
    <w:rsid w:val="0FCD4501"/>
    <w:rsid w:val="10964F66"/>
    <w:rsid w:val="118D7F73"/>
    <w:rsid w:val="11EE5E19"/>
    <w:rsid w:val="1203041E"/>
    <w:rsid w:val="12323B41"/>
    <w:rsid w:val="12363F6F"/>
    <w:rsid w:val="12601C36"/>
    <w:rsid w:val="128F01D6"/>
    <w:rsid w:val="130354DD"/>
    <w:rsid w:val="137C2A53"/>
    <w:rsid w:val="145412D3"/>
    <w:rsid w:val="14BA74DA"/>
    <w:rsid w:val="152E66D7"/>
    <w:rsid w:val="15746553"/>
    <w:rsid w:val="15CF7F33"/>
    <w:rsid w:val="16322ABD"/>
    <w:rsid w:val="176435AF"/>
    <w:rsid w:val="179B3F36"/>
    <w:rsid w:val="18031D95"/>
    <w:rsid w:val="18480AED"/>
    <w:rsid w:val="18F56038"/>
    <w:rsid w:val="19812123"/>
    <w:rsid w:val="19AA4271"/>
    <w:rsid w:val="1A632C0C"/>
    <w:rsid w:val="1BA60B00"/>
    <w:rsid w:val="1BB85CB8"/>
    <w:rsid w:val="1BC3390D"/>
    <w:rsid w:val="1BE4077B"/>
    <w:rsid w:val="1C83336F"/>
    <w:rsid w:val="1D302DD4"/>
    <w:rsid w:val="1D9A259A"/>
    <w:rsid w:val="1F8D1B58"/>
    <w:rsid w:val="1FA43022"/>
    <w:rsid w:val="20C40840"/>
    <w:rsid w:val="21C3522A"/>
    <w:rsid w:val="22342CF6"/>
    <w:rsid w:val="22C95DFC"/>
    <w:rsid w:val="22CF384A"/>
    <w:rsid w:val="24523BCF"/>
    <w:rsid w:val="259F4BF2"/>
    <w:rsid w:val="26634398"/>
    <w:rsid w:val="26E946A3"/>
    <w:rsid w:val="276F67FC"/>
    <w:rsid w:val="295D07F2"/>
    <w:rsid w:val="29F35717"/>
    <w:rsid w:val="2A3458EC"/>
    <w:rsid w:val="2AC670C5"/>
    <w:rsid w:val="2BE55033"/>
    <w:rsid w:val="2C1D0F66"/>
    <w:rsid w:val="2D972170"/>
    <w:rsid w:val="2E2F35C9"/>
    <w:rsid w:val="2EFF4953"/>
    <w:rsid w:val="300A0D8D"/>
    <w:rsid w:val="30476B7D"/>
    <w:rsid w:val="31263B4A"/>
    <w:rsid w:val="33A256C8"/>
    <w:rsid w:val="34A86C7B"/>
    <w:rsid w:val="35E2272C"/>
    <w:rsid w:val="36887AF4"/>
    <w:rsid w:val="3784323A"/>
    <w:rsid w:val="38517759"/>
    <w:rsid w:val="3856040A"/>
    <w:rsid w:val="38F463A1"/>
    <w:rsid w:val="396D4258"/>
    <w:rsid w:val="3C956DB4"/>
    <w:rsid w:val="3CB60D47"/>
    <w:rsid w:val="3CF00B88"/>
    <w:rsid w:val="3D55126E"/>
    <w:rsid w:val="3D762284"/>
    <w:rsid w:val="3DF850D2"/>
    <w:rsid w:val="3E7B7FE0"/>
    <w:rsid w:val="3E997B5D"/>
    <w:rsid w:val="3EF7024F"/>
    <w:rsid w:val="3FD0375B"/>
    <w:rsid w:val="4001677D"/>
    <w:rsid w:val="403C6EEE"/>
    <w:rsid w:val="40503261"/>
    <w:rsid w:val="40524E9C"/>
    <w:rsid w:val="40706E2B"/>
    <w:rsid w:val="411512B3"/>
    <w:rsid w:val="414F0E71"/>
    <w:rsid w:val="41710606"/>
    <w:rsid w:val="41B46ADA"/>
    <w:rsid w:val="41BA6182"/>
    <w:rsid w:val="42AD7F63"/>
    <w:rsid w:val="43273C06"/>
    <w:rsid w:val="436E7263"/>
    <w:rsid w:val="43B703F2"/>
    <w:rsid w:val="43CC2F6A"/>
    <w:rsid w:val="43DF4E23"/>
    <w:rsid w:val="451F1218"/>
    <w:rsid w:val="452A2CE6"/>
    <w:rsid w:val="45627AAD"/>
    <w:rsid w:val="457D012D"/>
    <w:rsid w:val="457E510C"/>
    <w:rsid w:val="45FD27A1"/>
    <w:rsid w:val="48B54D35"/>
    <w:rsid w:val="4AC9433B"/>
    <w:rsid w:val="4BBD535F"/>
    <w:rsid w:val="4BD85A65"/>
    <w:rsid w:val="4C013C65"/>
    <w:rsid w:val="4C8156FE"/>
    <w:rsid w:val="4DE329CA"/>
    <w:rsid w:val="51392C27"/>
    <w:rsid w:val="5180629F"/>
    <w:rsid w:val="5221410F"/>
    <w:rsid w:val="52A25FA4"/>
    <w:rsid w:val="530B7DEB"/>
    <w:rsid w:val="532B74AA"/>
    <w:rsid w:val="55097A7F"/>
    <w:rsid w:val="566A08F3"/>
    <w:rsid w:val="5698667B"/>
    <w:rsid w:val="57215678"/>
    <w:rsid w:val="57B13423"/>
    <w:rsid w:val="59782984"/>
    <w:rsid w:val="59F64346"/>
    <w:rsid w:val="5A07278A"/>
    <w:rsid w:val="5A3D61AC"/>
    <w:rsid w:val="5B1F380C"/>
    <w:rsid w:val="5C2E710D"/>
    <w:rsid w:val="5DB25F7C"/>
    <w:rsid w:val="5E3D2C0C"/>
    <w:rsid w:val="5E524C74"/>
    <w:rsid w:val="5E61684F"/>
    <w:rsid w:val="5F68269D"/>
    <w:rsid w:val="60422DD1"/>
    <w:rsid w:val="60583D40"/>
    <w:rsid w:val="608E7761"/>
    <w:rsid w:val="60BB6E78"/>
    <w:rsid w:val="63F51C30"/>
    <w:rsid w:val="63F70003"/>
    <w:rsid w:val="63FA10AA"/>
    <w:rsid w:val="644236D4"/>
    <w:rsid w:val="646A0F46"/>
    <w:rsid w:val="648435DF"/>
    <w:rsid w:val="649B308B"/>
    <w:rsid w:val="663B0CDB"/>
    <w:rsid w:val="66FB505F"/>
    <w:rsid w:val="687F330A"/>
    <w:rsid w:val="6882447F"/>
    <w:rsid w:val="68874E63"/>
    <w:rsid w:val="69392062"/>
    <w:rsid w:val="6A2E73C3"/>
    <w:rsid w:val="6B9132BE"/>
    <w:rsid w:val="6BFA7885"/>
    <w:rsid w:val="6F494779"/>
    <w:rsid w:val="6F5E6124"/>
    <w:rsid w:val="6F70246F"/>
    <w:rsid w:val="6F9577F8"/>
    <w:rsid w:val="70D0658A"/>
    <w:rsid w:val="716530FF"/>
    <w:rsid w:val="72917B3F"/>
    <w:rsid w:val="73451141"/>
    <w:rsid w:val="735842EF"/>
    <w:rsid w:val="73F1457A"/>
    <w:rsid w:val="74521887"/>
    <w:rsid w:val="74A12766"/>
    <w:rsid w:val="76C75323"/>
    <w:rsid w:val="780E734E"/>
    <w:rsid w:val="786E4382"/>
    <w:rsid w:val="78EF2A09"/>
    <w:rsid w:val="7A40506E"/>
    <w:rsid w:val="7C1853B7"/>
    <w:rsid w:val="7D6E320A"/>
    <w:rsid w:val="7E2272E3"/>
    <w:rsid w:val="7E816B6D"/>
    <w:rsid w:val="7EE73615"/>
    <w:rsid w:val="7F897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01057C1"/>
  <w15:docId w15:val="{87345144-2C43-402C-B05B-0EB0AAF3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rsid w:val="00400E98"/>
    <w:pPr>
      <w:keepNext/>
      <w:keepLines/>
      <w:spacing w:before="40"/>
      <w:outlineLvl w:val="6"/>
    </w:pPr>
    <w:rPr>
      <w:rFonts w:asciiTheme="minorHAnsi" w:eastAsiaTheme="minorEastAsia" w:hAnsiTheme="minorHAnsi" w:cstheme="majorBidi"/>
      <w:b/>
      <w:bCs/>
      <w:color w:val="595959" w:themeColor="text1" w:themeTint="A6"/>
      <w:szCs w:val="22"/>
    </w:rPr>
  </w:style>
  <w:style w:type="paragraph" w:styleId="8">
    <w:name w:val="heading 8"/>
    <w:basedOn w:val="a"/>
    <w:next w:val="a"/>
    <w:link w:val="80"/>
    <w:uiPriority w:val="9"/>
    <w:semiHidden/>
    <w:unhideWhenUsed/>
    <w:qFormat/>
    <w:rsid w:val="00400E98"/>
    <w:pPr>
      <w:keepNext/>
      <w:keepLines/>
      <w:outlineLvl w:val="7"/>
    </w:pPr>
    <w:rPr>
      <w:rFonts w:asciiTheme="minorHAnsi" w:eastAsiaTheme="minorEastAsia" w:hAnsiTheme="minorHAnsi" w:cstheme="majorBidi"/>
      <w:color w:val="595959" w:themeColor="text1" w:themeTint="A6"/>
      <w:szCs w:val="22"/>
    </w:rPr>
  </w:style>
  <w:style w:type="paragraph" w:styleId="9">
    <w:name w:val="heading 9"/>
    <w:basedOn w:val="a"/>
    <w:next w:val="a"/>
    <w:link w:val="90"/>
    <w:uiPriority w:val="9"/>
    <w:semiHidden/>
    <w:unhideWhenUsed/>
    <w:qFormat/>
    <w:rsid w:val="00400E98"/>
    <w:pPr>
      <w:keepNext/>
      <w:keepLines/>
      <w:outlineLvl w:val="8"/>
    </w:pPr>
    <w:rPr>
      <w:rFonts w:asciiTheme="minorHAnsi" w:eastAsiaTheme="majorEastAsia" w:hAnsiTheme="minorHAnsi" w:cstheme="majorBidi"/>
      <w:color w:val="595959" w:themeColor="text1" w:themeTint="A6"/>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Hyperlink"/>
    <w:basedOn w:val="a0"/>
    <w:uiPriority w:val="99"/>
    <w:unhideWhenUsed/>
    <w:qFormat/>
    <w:rPr>
      <w:color w:val="0000FF"/>
      <w:u w:val="single"/>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qFormat/>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qFormat/>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qFormat/>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qFormat/>
    <w:rPr>
      <w:rFonts w:ascii="Arial" w:eastAsia="宋体" w:hAnsi="Arial" w:cs="Arial"/>
      <w:vanish/>
      <w:sz w:val="16"/>
      <w:szCs w:val="16"/>
    </w:rPr>
  </w:style>
  <w:style w:type="character" w:customStyle="1" w:styleId="z-0">
    <w:name w:val="z-窗体底端 字符"/>
    <w:basedOn w:val="a0"/>
    <w:link w:val="z-10"/>
    <w:uiPriority w:val="99"/>
    <w:semiHidden/>
    <w:qFormat/>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qFormat/>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qFormat/>
    <w:pPr>
      <w:widowControl/>
      <w:spacing w:before="100" w:beforeAutospacing="1" w:after="100" w:afterAutospacing="1"/>
      <w:jc w:val="left"/>
    </w:pPr>
    <w:rPr>
      <w:rFonts w:ascii="宋体" w:hAnsi="宋体" w:cs="宋体"/>
      <w:kern w:val="0"/>
      <w:sz w:val="24"/>
    </w:rPr>
  </w:style>
  <w:style w:type="character" w:customStyle="1" w:styleId="info">
    <w:name w:val="info"/>
    <w:basedOn w:val="a0"/>
    <w:qFormat/>
  </w:style>
  <w:style w:type="character" w:customStyle="1" w:styleId="infoen">
    <w:name w:val="infoen"/>
    <w:basedOn w:val="a0"/>
    <w:qFormat/>
  </w:style>
  <w:style w:type="character" w:customStyle="1" w:styleId="richmediametalink">
    <w:name w:val="rich_media_meta_link"/>
    <w:basedOn w:val="a0"/>
    <w:qFormat/>
  </w:style>
  <w:style w:type="character" w:customStyle="1" w:styleId="source">
    <w:name w:val="source"/>
    <w:basedOn w:val="a0"/>
    <w:qFormat/>
  </w:style>
  <w:style w:type="paragraph" w:customStyle="1" w:styleId="one-p">
    <w:name w:val="one-p"/>
    <w:basedOn w:val="a"/>
    <w:qFormat/>
    <w:pPr>
      <w:widowControl/>
      <w:spacing w:before="100" w:beforeAutospacing="1" w:after="100" w:afterAutospacing="1"/>
      <w:jc w:val="left"/>
    </w:pPr>
    <w:rPr>
      <w:rFonts w:ascii="宋体" w:hAnsi="宋体" w:cs="宋体"/>
      <w:kern w:val="0"/>
      <w:sz w:val="24"/>
    </w:rPr>
  </w:style>
  <w:style w:type="character" w:customStyle="1" w:styleId="vm">
    <w:name w:val="vm"/>
    <w:basedOn w:val="a0"/>
    <w:qFormat/>
  </w:style>
  <w:style w:type="character" w:customStyle="1" w:styleId="articletitle3">
    <w:name w:val="article_title3"/>
    <w:basedOn w:val="a0"/>
    <w:qFormat/>
  </w:style>
  <w:style w:type="character" w:customStyle="1" w:styleId="a4">
    <w:name w:val="正文文本 字符"/>
    <w:basedOn w:val="a0"/>
    <w:link w:val="a3"/>
    <w:uiPriority w:val="1"/>
    <w:qFormat/>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qFormat/>
    <w:pPr>
      <w:widowControl/>
      <w:spacing w:before="100" w:beforeAutospacing="1" w:after="100" w:afterAutospacing="1"/>
      <w:jc w:val="left"/>
    </w:pPr>
    <w:rPr>
      <w:rFonts w:ascii="宋体" w:hAnsi="宋体" w:cs="宋体"/>
      <w:kern w:val="0"/>
      <w:sz w:val="24"/>
    </w:rPr>
  </w:style>
  <w:style w:type="character" w:customStyle="1" w:styleId="anchor-a">
    <w:name w:val="anchor-a"/>
    <w:basedOn w:val="a0"/>
    <w:qFormat/>
  </w:style>
  <w:style w:type="character" w:customStyle="1" w:styleId="12">
    <w:name w:val="未处理的提及1"/>
    <w:basedOn w:val="a0"/>
    <w:uiPriority w:val="99"/>
    <w:semiHidden/>
    <w:unhideWhenUsed/>
    <w:qFormat/>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qFormat/>
    <w:pPr>
      <w:widowControl/>
      <w:spacing w:before="100" w:beforeAutospacing="1" w:after="100" w:afterAutospacing="1"/>
      <w:jc w:val="left"/>
    </w:pPr>
    <w:rPr>
      <w:rFonts w:ascii="宋体" w:hAnsi="宋体" w:cs="宋体"/>
      <w:kern w:val="0"/>
      <w:sz w:val="24"/>
    </w:rPr>
  </w:style>
  <w:style w:type="character" w:customStyle="1" w:styleId="s2">
    <w:name w:val="s2"/>
    <w:basedOn w:val="a0"/>
    <w:qFormat/>
  </w:style>
  <w:style w:type="character" w:customStyle="1" w:styleId="s3">
    <w:name w:val="s3"/>
    <w:basedOn w:val="a0"/>
    <w:qFormat/>
  </w:style>
  <w:style w:type="paragraph" w:customStyle="1" w:styleId="s4">
    <w:name w:val="s4"/>
    <w:basedOn w:val="a"/>
    <w:qFormat/>
    <w:pPr>
      <w:widowControl/>
      <w:spacing w:before="100" w:beforeAutospacing="1" w:after="100" w:afterAutospacing="1"/>
      <w:jc w:val="left"/>
    </w:pPr>
    <w:rPr>
      <w:rFonts w:ascii="宋体" w:hAnsi="宋体" w:cs="宋体"/>
      <w:kern w:val="0"/>
      <w:sz w:val="24"/>
    </w:rPr>
  </w:style>
  <w:style w:type="character" w:customStyle="1" w:styleId="s5">
    <w:name w:val="s5"/>
    <w:basedOn w:val="a0"/>
    <w:qFormat/>
  </w:style>
  <w:style w:type="character" w:customStyle="1" w:styleId="s6">
    <w:name w:val="s6"/>
    <w:basedOn w:val="a0"/>
    <w:qFormat/>
  </w:style>
  <w:style w:type="character" w:customStyle="1" w:styleId="p">
    <w:name w:val="p"/>
    <w:basedOn w:val="a0"/>
    <w:qFormat/>
  </w:style>
  <w:style w:type="paragraph" w:customStyle="1" w:styleId="s7">
    <w:name w:val="s7"/>
    <w:basedOn w:val="a"/>
    <w:qFormat/>
    <w:pPr>
      <w:widowControl/>
      <w:spacing w:before="100" w:beforeAutospacing="1" w:after="100" w:afterAutospacing="1"/>
      <w:jc w:val="left"/>
    </w:pPr>
    <w:rPr>
      <w:rFonts w:ascii="宋体" w:hAnsi="宋体" w:cs="宋体"/>
      <w:kern w:val="0"/>
      <w:sz w:val="24"/>
    </w:rPr>
  </w:style>
  <w:style w:type="character" w:customStyle="1" w:styleId="s41">
    <w:name w:val="s41"/>
    <w:basedOn w:val="a0"/>
    <w:qFormat/>
  </w:style>
  <w:style w:type="character" w:customStyle="1" w:styleId="h2">
    <w:name w:val="h2"/>
    <w:basedOn w:val="a0"/>
    <w:qFormat/>
  </w:style>
  <w:style w:type="paragraph" w:customStyle="1" w:styleId="s10">
    <w:name w:val="s10"/>
    <w:basedOn w:val="a"/>
    <w:qFormat/>
    <w:pPr>
      <w:widowControl/>
      <w:spacing w:before="100" w:beforeAutospacing="1" w:after="100" w:afterAutospacing="1"/>
      <w:jc w:val="left"/>
    </w:pPr>
    <w:rPr>
      <w:rFonts w:ascii="宋体" w:hAnsi="宋体" w:cs="宋体"/>
      <w:kern w:val="0"/>
      <w:sz w:val="24"/>
    </w:rPr>
  </w:style>
  <w:style w:type="paragraph" w:customStyle="1" w:styleId="s9">
    <w:name w:val="s9"/>
    <w:basedOn w:val="a"/>
    <w:qFormat/>
    <w:pPr>
      <w:widowControl/>
      <w:spacing w:before="100" w:beforeAutospacing="1" w:after="100" w:afterAutospacing="1"/>
      <w:jc w:val="left"/>
    </w:pPr>
    <w:rPr>
      <w:rFonts w:ascii="宋体" w:hAnsi="宋体" w:cs="宋体"/>
      <w:kern w:val="0"/>
      <w:sz w:val="24"/>
    </w:rPr>
  </w:style>
  <w:style w:type="character" w:customStyle="1" w:styleId="s11">
    <w:name w:val="s11"/>
    <w:basedOn w:val="a0"/>
    <w:qFormat/>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character" w:customStyle="1" w:styleId="s12">
    <w:name w:val="s12"/>
    <w:basedOn w:val="a0"/>
    <w:qFormat/>
  </w:style>
  <w:style w:type="character" w:customStyle="1" w:styleId="s13">
    <w:name w:val="s13"/>
    <w:basedOn w:val="a0"/>
    <w:qFormat/>
  </w:style>
  <w:style w:type="paragraph" w:customStyle="1" w:styleId="s131">
    <w:name w:val="s131"/>
    <w:basedOn w:val="a"/>
    <w:qFormat/>
    <w:pPr>
      <w:widowControl/>
      <w:spacing w:before="100" w:beforeAutospacing="1" w:after="100" w:afterAutospacing="1"/>
      <w:jc w:val="left"/>
    </w:pPr>
    <w:rPr>
      <w:rFonts w:ascii="宋体" w:hAnsi="宋体" w:cs="宋体"/>
      <w:kern w:val="0"/>
      <w:sz w:val="24"/>
    </w:rPr>
  </w:style>
  <w:style w:type="character" w:customStyle="1" w:styleId="h4">
    <w:name w:val="h4"/>
    <w:basedOn w:val="a0"/>
    <w:qFormat/>
  </w:style>
  <w:style w:type="character" w:customStyle="1" w:styleId="s141">
    <w:name w:val="s141"/>
    <w:basedOn w:val="a0"/>
    <w:qFormat/>
  </w:style>
  <w:style w:type="paragraph" w:customStyle="1" w:styleId="s121">
    <w:name w:val="s121"/>
    <w:basedOn w:val="a"/>
    <w:qFormat/>
    <w:pPr>
      <w:widowControl/>
      <w:spacing w:before="100" w:beforeAutospacing="1" w:after="100" w:afterAutospacing="1"/>
      <w:jc w:val="left"/>
    </w:pPr>
    <w:rPr>
      <w:rFonts w:ascii="宋体" w:hAnsi="宋体" w:cs="宋体"/>
      <w:kern w:val="0"/>
      <w:sz w:val="24"/>
    </w:rPr>
  </w:style>
  <w:style w:type="paragraph" w:customStyle="1" w:styleId="s16">
    <w:name w:val="s16"/>
    <w:basedOn w:val="a"/>
    <w:qFormat/>
    <w:pPr>
      <w:widowControl/>
      <w:spacing w:before="100" w:beforeAutospacing="1" w:after="100" w:afterAutospacing="1"/>
      <w:jc w:val="left"/>
    </w:pPr>
    <w:rPr>
      <w:rFonts w:ascii="宋体" w:hAnsi="宋体" w:cs="宋体"/>
      <w:kern w:val="0"/>
      <w:sz w:val="24"/>
    </w:rPr>
  </w:style>
  <w:style w:type="character" w:customStyle="1" w:styleId="s17">
    <w:name w:val="s17"/>
    <w:basedOn w:val="a0"/>
    <w:qFormat/>
  </w:style>
  <w:style w:type="character" w:customStyle="1" w:styleId="s18">
    <w:name w:val="s18"/>
    <w:basedOn w:val="a0"/>
    <w:qFormat/>
  </w:style>
  <w:style w:type="character" w:customStyle="1" w:styleId="s19">
    <w:name w:val="s19"/>
    <w:basedOn w:val="a0"/>
    <w:qFormat/>
  </w:style>
  <w:style w:type="character" w:customStyle="1" w:styleId="s20">
    <w:name w:val="s20"/>
    <w:basedOn w:val="a0"/>
    <w:qFormat/>
  </w:style>
  <w:style w:type="character" w:customStyle="1" w:styleId="s21">
    <w:name w:val="s21"/>
    <w:basedOn w:val="a0"/>
    <w:qFormat/>
  </w:style>
  <w:style w:type="paragraph" w:customStyle="1" w:styleId="s22">
    <w:name w:val="s22"/>
    <w:basedOn w:val="a"/>
    <w:qFormat/>
    <w:pPr>
      <w:widowControl/>
      <w:spacing w:before="100" w:beforeAutospacing="1" w:after="100" w:afterAutospacing="1"/>
      <w:jc w:val="left"/>
    </w:pPr>
    <w:rPr>
      <w:rFonts w:ascii="宋体" w:hAnsi="宋体" w:cs="宋体"/>
      <w:kern w:val="0"/>
      <w:sz w:val="24"/>
    </w:rPr>
  </w:style>
  <w:style w:type="character" w:customStyle="1" w:styleId="s23">
    <w:name w:val="s23"/>
    <w:basedOn w:val="a0"/>
    <w:qFormat/>
  </w:style>
  <w:style w:type="character" w:customStyle="1" w:styleId="s24">
    <w:name w:val="s24"/>
    <w:basedOn w:val="a0"/>
    <w:qFormat/>
  </w:style>
  <w:style w:type="paragraph" w:customStyle="1" w:styleId="s25">
    <w:name w:val="s25"/>
    <w:basedOn w:val="a"/>
    <w:qFormat/>
    <w:pPr>
      <w:widowControl/>
      <w:spacing w:before="100" w:beforeAutospacing="1" w:after="100" w:afterAutospacing="1"/>
      <w:jc w:val="left"/>
    </w:pPr>
    <w:rPr>
      <w:rFonts w:ascii="宋体" w:hAnsi="宋体" w:cs="宋体"/>
      <w:kern w:val="0"/>
      <w:sz w:val="24"/>
    </w:rPr>
  </w:style>
  <w:style w:type="character" w:customStyle="1" w:styleId="s221">
    <w:name w:val="s221"/>
    <w:basedOn w:val="a0"/>
    <w:qFormat/>
  </w:style>
  <w:style w:type="paragraph" w:customStyle="1" w:styleId="s27">
    <w:name w:val="s27"/>
    <w:basedOn w:val="a"/>
    <w:qFormat/>
    <w:pPr>
      <w:widowControl/>
      <w:spacing w:before="100" w:beforeAutospacing="1" w:after="100" w:afterAutospacing="1"/>
      <w:jc w:val="left"/>
    </w:pPr>
    <w:rPr>
      <w:rFonts w:ascii="宋体" w:hAnsi="宋体" w:cs="宋体"/>
      <w:kern w:val="0"/>
      <w:sz w:val="24"/>
    </w:rPr>
  </w:style>
  <w:style w:type="paragraph" w:customStyle="1" w:styleId="s28">
    <w:name w:val="s28"/>
    <w:basedOn w:val="a"/>
    <w:qFormat/>
    <w:pPr>
      <w:widowControl/>
      <w:spacing w:before="100" w:beforeAutospacing="1" w:after="100" w:afterAutospacing="1"/>
      <w:jc w:val="left"/>
    </w:pPr>
    <w:rPr>
      <w:rFonts w:ascii="宋体" w:hAnsi="宋体" w:cs="宋体"/>
      <w:kern w:val="0"/>
      <w:sz w:val="24"/>
    </w:rPr>
  </w:style>
  <w:style w:type="character" w:customStyle="1" w:styleId="s30">
    <w:name w:val="s30"/>
    <w:basedOn w:val="a0"/>
    <w:qFormat/>
  </w:style>
  <w:style w:type="paragraph" w:customStyle="1" w:styleId="s171">
    <w:name w:val="s171"/>
    <w:basedOn w:val="a"/>
    <w:qFormat/>
    <w:pPr>
      <w:widowControl/>
      <w:spacing w:before="100" w:beforeAutospacing="1" w:after="100" w:afterAutospacing="1"/>
      <w:jc w:val="left"/>
    </w:pPr>
    <w:rPr>
      <w:rFonts w:ascii="宋体" w:hAnsi="宋体" w:cs="宋体"/>
      <w:kern w:val="0"/>
      <w:sz w:val="24"/>
    </w:rPr>
  </w:style>
  <w:style w:type="character" w:customStyle="1" w:styleId="s161">
    <w:name w:val="s161"/>
    <w:basedOn w:val="a0"/>
    <w:qFormat/>
  </w:style>
  <w:style w:type="paragraph" w:customStyle="1" w:styleId="s31">
    <w:name w:val="s31"/>
    <w:basedOn w:val="a"/>
    <w:qFormat/>
    <w:pPr>
      <w:widowControl/>
      <w:spacing w:before="100" w:beforeAutospacing="1" w:after="100" w:afterAutospacing="1"/>
      <w:jc w:val="left"/>
    </w:pPr>
    <w:rPr>
      <w:rFonts w:ascii="宋体" w:hAnsi="宋体" w:cs="宋体"/>
      <w:kern w:val="0"/>
      <w:sz w:val="24"/>
    </w:rPr>
  </w:style>
  <w:style w:type="character" w:customStyle="1" w:styleId="s32">
    <w:name w:val="s32"/>
    <w:basedOn w:val="a0"/>
    <w:qFormat/>
  </w:style>
  <w:style w:type="paragraph" w:customStyle="1" w:styleId="s33">
    <w:name w:val="s33"/>
    <w:basedOn w:val="a"/>
    <w:qFormat/>
    <w:pPr>
      <w:widowControl/>
      <w:spacing w:before="100" w:beforeAutospacing="1" w:after="100" w:afterAutospacing="1"/>
      <w:jc w:val="left"/>
    </w:pPr>
    <w:rPr>
      <w:rFonts w:ascii="宋体" w:hAnsi="宋体" w:cs="宋体"/>
      <w:kern w:val="0"/>
      <w:sz w:val="24"/>
    </w:rPr>
  </w:style>
  <w:style w:type="paragraph" w:customStyle="1" w:styleId="s34">
    <w:name w:val="s34"/>
    <w:basedOn w:val="a"/>
    <w:qFormat/>
    <w:pPr>
      <w:widowControl/>
      <w:spacing w:before="100" w:beforeAutospacing="1" w:after="100" w:afterAutospacing="1"/>
      <w:jc w:val="left"/>
    </w:pPr>
    <w:rPr>
      <w:rFonts w:ascii="宋体" w:hAnsi="宋体" w:cs="宋体"/>
      <w:kern w:val="0"/>
      <w:sz w:val="24"/>
    </w:rPr>
  </w:style>
  <w:style w:type="character" w:customStyle="1" w:styleId="s331">
    <w:name w:val="s331"/>
    <w:basedOn w:val="a0"/>
    <w:qFormat/>
  </w:style>
  <w:style w:type="character" w:customStyle="1" w:styleId="s35">
    <w:name w:val="s35"/>
    <w:basedOn w:val="a0"/>
    <w:qFormat/>
  </w:style>
  <w:style w:type="character" w:customStyle="1" w:styleId="s36">
    <w:name w:val="s36"/>
    <w:basedOn w:val="a0"/>
    <w:qFormat/>
  </w:style>
  <w:style w:type="character" w:customStyle="1" w:styleId="s37">
    <w:name w:val="s37"/>
    <w:basedOn w:val="a0"/>
    <w:qFormat/>
  </w:style>
  <w:style w:type="character" w:customStyle="1" w:styleId="s38">
    <w:name w:val="s38"/>
    <w:basedOn w:val="a0"/>
    <w:qFormat/>
  </w:style>
  <w:style w:type="character" w:customStyle="1" w:styleId="s39">
    <w:name w:val="s39"/>
    <w:basedOn w:val="a0"/>
    <w:qFormat/>
  </w:style>
  <w:style w:type="character" w:customStyle="1" w:styleId="s40">
    <w:name w:val="s40"/>
    <w:basedOn w:val="a0"/>
    <w:qFormat/>
  </w:style>
  <w:style w:type="paragraph" w:customStyle="1" w:styleId="s42">
    <w:name w:val="s42"/>
    <w:basedOn w:val="a"/>
    <w:qFormat/>
    <w:pPr>
      <w:widowControl/>
      <w:spacing w:before="100" w:beforeAutospacing="1" w:after="100" w:afterAutospacing="1"/>
      <w:jc w:val="left"/>
    </w:pPr>
    <w:rPr>
      <w:rFonts w:ascii="宋体" w:hAnsi="宋体" w:cs="宋体"/>
      <w:kern w:val="0"/>
      <w:sz w:val="24"/>
    </w:rPr>
  </w:style>
  <w:style w:type="character" w:customStyle="1" w:styleId="s43">
    <w:name w:val="s43"/>
    <w:basedOn w:val="a0"/>
    <w:qFormat/>
  </w:style>
  <w:style w:type="character" w:customStyle="1" w:styleId="s341">
    <w:name w:val="s341"/>
    <w:basedOn w:val="a0"/>
    <w:qFormat/>
  </w:style>
  <w:style w:type="paragraph" w:customStyle="1" w:styleId="s44">
    <w:name w:val="s44"/>
    <w:basedOn w:val="a"/>
    <w:qFormat/>
    <w:pPr>
      <w:widowControl/>
      <w:spacing w:before="100" w:beforeAutospacing="1" w:after="100" w:afterAutospacing="1"/>
      <w:jc w:val="left"/>
    </w:pPr>
    <w:rPr>
      <w:rFonts w:ascii="宋体" w:hAnsi="宋体" w:cs="宋体"/>
      <w:kern w:val="0"/>
      <w:sz w:val="24"/>
    </w:rPr>
  </w:style>
  <w:style w:type="character" w:customStyle="1" w:styleId="s45">
    <w:name w:val="s45"/>
    <w:basedOn w:val="a0"/>
    <w:qFormat/>
  </w:style>
  <w:style w:type="character" w:customStyle="1" w:styleId="s46">
    <w:name w:val="s46"/>
    <w:basedOn w:val="a0"/>
    <w:qFormat/>
  </w:style>
  <w:style w:type="character" w:customStyle="1" w:styleId="s47">
    <w:name w:val="s47"/>
    <w:basedOn w:val="a0"/>
    <w:qFormat/>
  </w:style>
  <w:style w:type="character" w:customStyle="1" w:styleId="s48">
    <w:name w:val="s48"/>
    <w:basedOn w:val="a0"/>
    <w:qFormat/>
  </w:style>
  <w:style w:type="character" w:customStyle="1" w:styleId="s29">
    <w:name w:val="s29"/>
    <w:basedOn w:val="a0"/>
    <w:qFormat/>
  </w:style>
  <w:style w:type="character" w:customStyle="1" w:styleId="s50">
    <w:name w:val="s50"/>
    <w:basedOn w:val="a0"/>
    <w:qFormat/>
  </w:style>
  <w:style w:type="paragraph" w:customStyle="1" w:styleId="s241">
    <w:name w:val="s241"/>
    <w:basedOn w:val="a"/>
    <w:qFormat/>
    <w:pPr>
      <w:widowControl/>
      <w:spacing w:before="100" w:beforeAutospacing="1" w:after="100" w:afterAutospacing="1"/>
      <w:jc w:val="left"/>
    </w:pPr>
    <w:rPr>
      <w:rFonts w:ascii="宋体" w:hAnsi="宋体" w:cs="宋体"/>
      <w:kern w:val="0"/>
      <w:sz w:val="24"/>
    </w:rPr>
  </w:style>
  <w:style w:type="character" w:customStyle="1" w:styleId="s51">
    <w:name w:val="s51"/>
    <w:basedOn w:val="a0"/>
    <w:qFormat/>
  </w:style>
  <w:style w:type="paragraph" w:customStyle="1" w:styleId="s511">
    <w:name w:val="s511"/>
    <w:basedOn w:val="a"/>
    <w:qFormat/>
    <w:pPr>
      <w:widowControl/>
      <w:spacing w:before="100" w:beforeAutospacing="1" w:after="100" w:afterAutospacing="1"/>
      <w:jc w:val="left"/>
    </w:pPr>
    <w:rPr>
      <w:rFonts w:ascii="宋体" w:hAnsi="宋体" w:cs="宋体"/>
      <w:kern w:val="0"/>
      <w:sz w:val="24"/>
    </w:rPr>
  </w:style>
  <w:style w:type="paragraph" w:customStyle="1" w:styleId="s52">
    <w:name w:val="s52"/>
    <w:basedOn w:val="a"/>
    <w:qFormat/>
    <w:pPr>
      <w:widowControl/>
      <w:spacing w:before="100" w:beforeAutospacing="1" w:after="100" w:afterAutospacing="1"/>
      <w:jc w:val="left"/>
    </w:pPr>
    <w:rPr>
      <w:rFonts w:ascii="宋体" w:hAnsi="宋体" w:cs="宋体"/>
      <w:kern w:val="0"/>
      <w:sz w:val="24"/>
    </w:rPr>
  </w:style>
  <w:style w:type="character" w:customStyle="1" w:styleId="s53">
    <w:name w:val="s53"/>
    <w:basedOn w:val="a0"/>
    <w:qFormat/>
  </w:style>
  <w:style w:type="paragraph" w:customStyle="1" w:styleId="s531">
    <w:name w:val="s531"/>
    <w:basedOn w:val="a"/>
    <w:qFormat/>
    <w:pPr>
      <w:widowControl/>
      <w:spacing w:before="100" w:beforeAutospacing="1" w:after="100" w:afterAutospacing="1"/>
      <w:jc w:val="left"/>
    </w:pPr>
    <w:rPr>
      <w:rFonts w:ascii="宋体" w:hAnsi="宋体" w:cs="宋体"/>
      <w:kern w:val="0"/>
      <w:sz w:val="24"/>
    </w:rPr>
  </w:style>
  <w:style w:type="character" w:customStyle="1" w:styleId="s521">
    <w:name w:val="s521"/>
    <w:basedOn w:val="a0"/>
    <w:qFormat/>
  </w:style>
  <w:style w:type="paragraph" w:customStyle="1" w:styleId="s501">
    <w:name w:val="s501"/>
    <w:basedOn w:val="a"/>
    <w:qFormat/>
    <w:pPr>
      <w:widowControl/>
      <w:spacing w:before="100" w:beforeAutospacing="1" w:after="100" w:afterAutospacing="1"/>
      <w:jc w:val="left"/>
    </w:pPr>
    <w:rPr>
      <w:rFonts w:ascii="宋体" w:hAnsi="宋体" w:cs="宋体"/>
      <w:kern w:val="0"/>
      <w:sz w:val="24"/>
    </w:rPr>
  </w:style>
  <w:style w:type="paragraph" w:customStyle="1" w:styleId="s8">
    <w:name w:val="s8"/>
    <w:basedOn w:val="a"/>
    <w:qFormat/>
    <w:pPr>
      <w:widowControl/>
      <w:spacing w:before="100" w:beforeAutospacing="1" w:after="100" w:afterAutospacing="1"/>
      <w:jc w:val="left"/>
    </w:pPr>
    <w:rPr>
      <w:rFonts w:ascii="宋体" w:hAnsi="宋体" w:cs="宋体"/>
      <w:kern w:val="0"/>
      <w:sz w:val="24"/>
    </w:rPr>
  </w:style>
  <w:style w:type="paragraph" w:customStyle="1" w:styleId="s15">
    <w:name w:val="s15"/>
    <w:basedOn w:val="a"/>
    <w:qFormat/>
    <w:pPr>
      <w:widowControl/>
      <w:spacing w:before="100" w:beforeAutospacing="1" w:after="100" w:afterAutospacing="1"/>
      <w:jc w:val="left"/>
    </w:pPr>
    <w:rPr>
      <w:rFonts w:ascii="宋体" w:hAnsi="宋体" w:cs="宋体"/>
      <w:kern w:val="0"/>
      <w:sz w:val="24"/>
    </w:rPr>
  </w:style>
  <w:style w:type="character" w:customStyle="1" w:styleId="h3">
    <w:name w:val="h3"/>
    <w:basedOn w:val="a0"/>
    <w:qFormat/>
  </w:style>
  <w:style w:type="paragraph" w:customStyle="1" w:styleId="s61">
    <w:name w:val="s61"/>
    <w:basedOn w:val="a"/>
    <w:qFormat/>
    <w:pPr>
      <w:widowControl/>
      <w:spacing w:before="100" w:beforeAutospacing="1" w:after="100" w:afterAutospacing="1"/>
      <w:jc w:val="left"/>
    </w:pPr>
    <w:rPr>
      <w:rFonts w:ascii="宋体" w:hAnsi="宋体" w:cs="宋体"/>
      <w:kern w:val="0"/>
      <w:sz w:val="24"/>
    </w:rPr>
  </w:style>
  <w:style w:type="character" w:customStyle="1" w:styleId="s26">
    <w:name w:val="s26"/>
    <w:basedOn w:val="a0"/>
    <w:qFormat/>
  </w:style>
  <w:style w:type="paragraph" w:customStyle="1" w:styleId="s261">
    <w:name w:val="s261"/>
    <w:basedOn w:val="a"/>
    <w:qFormat/>
    <w:pPr>
      <w:widowControl/>
      <w:spacing w:before="100" w:beforeAutospacing="1" w:after="100" w:afterAutospacing="1"/>
      <w:jc w:val="left"/>
    </w:pPr>
    <w:rPr>
      <w:rFonts w:ascii="宋体" w:hAnsi="宋体" w:cs="宋体"/>
      <w:kern w:val="0"/>
      <w:sz w:val="24"/>
    </w:rPr>
  </w:style>
  <w:style w:type="paragraph" w:customStyle="1" w:styleId="s291">
    <w:name w:val="s291"/>
    <w:basedOn w:val="a"/>
    <w:qFormat/>
    <w:pPr>
      <w:widowControl/>
      <w:spacing w:before="100" w:beforeAutospacing="1" w:after="100" w:afterAutospacing="1"/>
      <w:jc w:val="left"/>
    </w:pPr>
    <w:rPr>
      <w:rFonts w:ascii="宋体" w:hAnsi="宋体" w:cs="宋体"/>
      <w:kern w:val="0"/>
      <w:sz w:val="24"/>
    </w:rPr>
  </w:style>
  <w:style w:type="character" w:customStyle="1" w:styleId="s281">
    <w:name w:val="s281"/>
    <w:basedOn w:val="a0"/>
    <w:qFormat/>
  </w:style>
  <w:style w:type="paragraph" w:customStyle="1" w:styleId="s211">
    <w:name w:val="s211"/>
    <w:basedOn w:val="a"/>
    <w:qFormat/>
    <w:pPr>
      <w:widowControl/>
      <w:spacing w:before="100" w:beforeAutospacing="1" w:after="100" w:afterAutospacing="1"/>
      <w:jc w:val="left"/>
    </w:pPr>
    <w:rPr>
      <w:rFonts w:ascii="宋体" w:hAnsi="宋体" w:cs="宋体"/>
      <w:kern w:val="0"/>
      <w:sz w:val="24"/>
    </w:rPr>
  </w:style>
  <w:style w:type="paragraph" w:customStyle="1" w:styleId="s201">
    <w:name w:val="s201"/>
    <w:basedOn w:val="a"/>
    <w:qFormat/>
    <w:pPr>
      <w:widowControl/>
      <w:spacing w:before="100" w:beforeAutospacing="1" w:after="100" w:afterAutospacing="1"/>
      <w:jc w:val="left"/>
    </w:pPr>
    <w:rPr>
      <w:rFonts w:ascii="宋体" w:hAnsi="宋体" w:cs="宋体"/>
      <w:kern w:val="0"/>
      <w:sz w:val="24"/>
    </w:rPr>
  </w:style>
  <w:style w:type="character" w:customStyle="1" w:styleId="s231">
    <w:name w:val="s231"/>
    <w:basedOn w:val="a0"/>
    <w:qFormat/>
  </w:style>
  <w:style w:type="character" w:customStyle="1" w:styleId="s271">
    <w:name w:val="s271"/>
    <w:basedOn w:val="a0"/>
    <w:qFormat/>
  </w:style>
  <w:style w:type="character" w:customStyle="1" w:styleId="s301">
    <w:name w:val="s301"/>
    <w:basedOn w:val="a0"/>
    <w:qFormat/>
  </w:style>
  <w:style w:type="character" w:customStyle="1" w:styleId="s351">
    <w:name w:val="s351"/>
    <w:basedOn w:val="a0"/>
    <w:qFormat/>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TimesNewRomanPSMT" w:hAnsi="TimesNewRomanPSMT" w:hint="default"/>
      <w:color w:val="0000FF"/>
      <w:sz w:val="22"/>
      <w:szCs w:val="22"/>
    </w:rPr>
  </w:style>
  <w:style w:type="character" w:customStyle="1" w:styleId="fontstyle31">
    <w:name w:val="fontstyle31"/>
    <w:basedOn w:val="a0"/>
    <w:qFormat/>
    <w:rPr>
      <w:rFonts w:ascii="TimesNewRomanPS-ItalicMT" w:hAnsi="TimesNewRomanPS-ItalicMT" w:hint="default"/>
      <w:i/>
      <w:iCs/>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41">
    <w:name w:val="fontstyle41"/>
    <w:basedOn w:val="a0"/>
    <w:qFormat/>
    <w:rPr>
      <w:rFonts w:ascii="TimesNewRomanPSMT" w:hAnsi="TimesNewRomanPSMT" w:hint="default"/>
      <w:color w:val="000000"/>
      <w:sz w:val="20"/>
      <w:szCs w:val="20"/>
    </w:rPr>
  </w:style>
  <w:style w:type="paragraph" w:customStyle="1" w:styleId="cur">
    <w:name w:val="cur"/>
    <w:basedOn w:val="a"/>
    <w:qFormat/>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qFormat/>
  </w:style>
  <w:style w:type="character" w:customStyle="1" w:styleId="msqrt">
    <w:name w:val="msqrt"/>
    <w:basedOn w:val="a0"/>
    <w:qFormat/>
  </w:style>
  <w:style w:type="paragraph" w:customStyle="1" w:styleId="ql-align-justify">
    <w:name w:val="ql-align-justify"/>
    <w:basedOn w:val="a"/>
    <w:qFormat/>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qFormat/>
    <w:pPr>
      <w:widowControl/>
      <w:spacing w:before="100" w:beforeAutospacing="1" w:after="100" w:afterAutospacing="1"/>
      <w:jc w:val="left"/>
    </w:pPr>
    <w:rPr>
      <w:rFonts w:ascii="宋体" w:hAnsi="宋体" w:cs="宋体"/>
      <w:kern w:val="0"/>
      <w:sz w:val="24"/>
    </w:rPr>
  </w:style>
  <w:style w:type="character" w:customStyle="1" w:styleId="mtext">
    <w:name w:val="mtext"/>
    <w:basedOn w:val="a0"/>
    <w:qFormat/>
  </w:style>
  <w:style w:type="character" w:customStyle="1" w:styleId="22">
    <w:name w:val="正文文本缩进 2 字符"/>
    <w:basedOn w:val="a0"/>
    <w:link w:val="21"/>
    <w:uiPriority w:val="99"/>
    <w:semiHidden/>
    <w:qFormat/>
    <w:rPr>
      <w:rFonts w:ascii="Times New Roman" w:eastAsia="宋体" w:hAnsi="Times New Roman" w:cs="Times New Roman"/>
      <w:szCs w:val="24"/>
    </w:rPr>
  </w:style>
  <w:style w:type="character" w:customStyle="1" w:styleId="HTML0">
    <w:name w:val="HTML 预设格式 字符"/>
    <w:basedOn w:val="a0"/>
    <w:link w:val="HTML"/>
    <w:qFormat/>
    <w:rPr>
      <w:rFonts w:ascii="黑体" w:eastAsia="黑体" w:hAnsi="Courier New" w:cs="Courier New"/>
      <w:color w:val="000000"/>
      <w:kern w:val="0"/>
      <w:sz w:val="20"/>
      <w:szCs w:val="20"/>
    </w:rPr>
  </w:style>
  <w:style w:type="character" w:customStyle="1" w:styleId="rowtit">
    <w:name w:val="rowtit"/>
    <w:basedOn w:val="a0"/>
    <w:qFormat/>
  </w:style>
  <w:style w:type="character" w:customStyle="1" w:styleId="abstract-text">
    <w:name w:val="abstract-text"/>
    <w:basedOn w:val="a0"/>
    <w:qFormat/>
  </w:style>
  <w:style w:type="paragraph" w:customStyle="1" w:styleId="keywords">
    <w:name w:val="keywords"/>
    <w:basedOn w:val="a"/>
    <w:qFormat/>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qFormat/>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qFormat/>
    <w:rPr>
      <w:color w:val="605E5C"/>
      <w:shd w:val="clear" w:color="auto" w:fill="E1DFDD"/>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4"/>
    </w:rPr>
  </w:style>
  <w:style w:type="character" w:customStyle="1" w:styleId="70">
    <w:name w:val="标题 7 字符"/>
    <w:basedOn w:val="a0"/>
    <w:link w:val="7"/>
    <w:uiPriority w:val="9"/>
    <w:semiHidden/>
    <w:rsid w:val="00400E98"/>
    <w:rPr>
      <w:rFonts w:asciiTheme="minorHAnsi" w:eastAsiaTheme="minorEastAsia" w:hAnsiTheme="minorHAnsi" w:cstheme="majorBidi"/>
      <w:b/>
      <w:bCs/>
      <w:color w:val="595959" w:themeColor="text1" w:themeTint="A6"/>
      <w:kern w:val="2"/>
      <w:sz w:val="21"/>
      <w:szCs w:val="22"/>
    </w:rPr>
  </w:style>
  <w:style w:type="character" w:customStyle="1" w:styleId="80">
    <w:name w:val="标题 8 字符"/>
    <w:basedOn w:val="a0"/>
    <w:link w:val="8"/>
    <w:uiPriority w:val="9"/>
    <w:semiHidden/>
    <w:rsid w:val="00400E98"/>
    <w:rPr>
      <w:rFonts w:asciiTheme="minorHAnsi" w:eastAsiaTheme="minorEastAsia" w:hAnsiTheme="minorHAnsi" w:cstheme="majorBidi"/>
      <w:color w:val="595959" w:themeColor="text1" w:themeTint="A6"/>
      <w:kern w:val="2"/>
      <w:sz w:val="21"/>
      <w:szCs w:val="22"/>
    </w:rPr>
  </w:style>
  <w:style w:type="character" w:customStyle="1" w:styleId="90">
    <w:name w:val="标题 9 字符"/>
    <w:basedOn w:val="a0"/>
    <w:link w:val="9"/>
    <w:uiPriority w:val="9"/>
    <w:semiHidden/>
    <w:rsid w:val="00400E98"/>
    <w:rPr>
      <w:rFonts w:asciiTheme="minorHAnsi" w:eastAsiaTheme="majorEastAsia" w:hAnsiTheme="minorHAnsi" w:cstheme="majorBidi"/>
      <w:color w:val="595959" w:themeColor="text1" w:themeTint="A6"/>
      <w:kern w:val="2"/>
      <w:sz w:val="21"/>
      <w:szCs w:val="22"/>
    </w:rPr>
  </w:style>
  <w:style w:type="paragraph" w:styleId="af6">
    <w:name w:val="Title"/>
    <w:basedOn w:val="a"/>
    <w:next w:val="a"/>
    <w:link w:val="af7"/>
    <w:uiPriority w:val="10"/>
    <w:qFormat/>
    <w:rsid w:val="00400E98"/>
    <w:pPr>
      <w:spacing w:after="80"/>
      <w:contextualSpacing/>
      <w:jc w:val="center"/>
    </w:pPr>
    <w:rPr>
      <w:rFonts w:asciiTheme="majorHAnsi" w:eastAsiaTheme="majorEastAsia" w:hAnsiTheme="majorHAnsi" w:cstheme="majorBidi"/>
      <w:spacing w:val="-10"/>
      <w:kern w:val="28"/>
      <w:sz w:val="56"/>
      <w:szCs w:val="56"/>
    </w:rPr>
  </w:style>
  <w:style w:type="character" w:customStyle="1" w:styleId="af7">
    <w:name w:val="标题 字符"/>
    <w:basedOn w:val="a0"/>
    <w:link w:val="af6"/>
    <w:uiPriority w:val="10"/>
    <w:rsid w:val="00400E98"/>
    <w:rPr>
      <w:rFonts w:asciiTheme="majorHAnsi" w:eastAsiaTheme="majorEastAsia" w:hAnsiTheme="majorHAnsi" w:cstheme="majorBidi"/>
      <w:spacing w:val="-10"/>
      <w:kern w:val="28"/>
      <w:sz w:val="56"/>
      <w:szCs w:val="56"/>
    </w:rPr>
  </w:style>
  <w:style w:type="paragraph" w:styleId="af8">
    <w:name w:val="Subtitle"/>
    <w:basedOn w:val="a"/>
    <w:next w:val="a"/>
    <w:link w:val="af9"/>
    <w:uiPriority w:val="11"/>
    <w:qFormat/>
    <w:rsid w:val="00400E9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9">
    <w:name w:val="副标题 字符"/>
    <w:basedOn w:val="a0"/>
    <w:link w:val="af8"/>
    <w:uiPriority w:val="11"/>
    <w:rsid w:val="00400E98"/>
    <w:rPr>
      <w:rFonts w:asciiTheme="majorHAnsi" w:eastAsiaTheme="majorEastAsia" w:hAnsiTheme="majorHAnsi" w:cstheme="majorBidi"/>
      <w:color w:val="595959" w:themeColor="text1" w:themeTint="A6"/>
      <w:spacing w:val="15"/>
      <w:kern w:val="2"/>
      <w:sz w:val="28"/>
      <w:szCs w:val="28"/>
    </w:rPr>
  </w:style>
  <w:style w:type="paragraph" w:styleId="afa">
    <w:name w:val="Quote"/>
    <w:basedOn w:val="a"/>
    <w:next w:val="a"/>
    <w:link w:val="afb"/>
    <w:uiPriority w:val="29"/>
    <w:qFormat/>
    <w:rsid w:val="00400E98"/>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fb">
    <w:name w:val="引用 字符"/>
    <w:basedOn w:val="a0"/>
    <w:link w:val="afa"/>
    <w:uiPriority w:val="29"/>
    <w:rsid w:val="00400E98"/>
    <w:rPr>
      <w:rFonts w:asciiTheme="minorHAnsi" w:eastAsiaTheme="minorEastAsia" w:hAnsiTheme="minorHAnsi" w:cstheme="minorBidi"/>
      <w:i/>
      <w:iCs/>
      <w:color w:val="404040" w:themeColor="text1" w:themeTint="BF"/>
      <w:kern w:val="2"/>
      <w:sz w:val="21"/>
      <w:szCs w:val="22"/>
    </w:rPr>
  </w:style>
  <w:style w:type="character" w:styleId="afc">
    <w:name w:val="Intense Emphasis"/>
    <w:basedOn w:val="a0"/>
    <w:uiPriority w:val="21"/>
    <w:qFormat/>
    <w:rsid w:val="00400E98"/>
    <w:rPr>
      <w:i/>
      <w:iCs/>
      <w:color w:val="365F91" w:themeColor="accent1" w:themeShade="BF"/>
    </w:rPr>
  </w:style>
  <w:style w:type="paragraph" w:styleId="afd">
    <w:name w:val="Intense Quote"/>
    <w:basedOn w:val="a"/>
    <w:next w:val="a"/>
    <w:link w:val="afe"/>
    <w:uiPriority w:val="30"/>
    <w:qFormat/>
    <w:rsid w:val="00400E98"/>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EastAsia" w:hAnsiTheme="minorHAnsi" w:cstheme="minorBidi"/>
      <w:i/>
      <w:iCs/>
      <w:color w:val="365F91" w:themeColor="accent1" w:themeShade="BF"/>
      <w:szCs w:val="22"/>
    </w:rPr>
  </w:style>
  <w:style w:type="character" w:customStyle="1" w:styleId="afe">
    <w:name w:val="明显引用 字符"/>
    <w:basedOn w:val="a0"/>
    <w:link w:val="afd"/>
    <w:uiPriority w:val="30"/>
    <w:rsid w:val="00400E98"/>
    <w:rPr>
      <w:rFonts w:asciiTheme="minorHAnsi" w:eastAsiaTheme="minorEastAsia" w:hAnsiTheme="minorHAnsi" w:cstheme="minorBidi"/>
      <w:i/>
      <w:iCs/>
      <w:color w:val="365F91" w:themeColor="accent1" w:themeShade="BF"/>
      <w:kern w:val="2"/>
      <w:sz w:val="21"/>
      <w:szCs w:val="22"/>
    </w:rPr>
  </w:style>
  <w:style w:type="character" w:styleId="aff">
    <w:name w:val="Intense Reference"/>
    <w:basedOn w:val="a0"/>
    <w:uiPriority w:val="32"/>
    <w:qFormat/>
    <w:rsid w:val="00400E98"/>
    <w:rPr>
      <w:b/>
      <w:bCs/>
      <w:smallCaps/>
      <w:color w:val="365F91" w:themeColor="accent1" w:themeShade="BF"/>
      <w:spacing w:val="5"/>
    </w:rPr>
  </w:style>
  <w:style w:type="paragraph" w:styleId="TOC">
    <w:name w:val="TOC Heading"/>
    <w:basedOn w:val="1"/>
    <w:next w:val="a"/>
    <w:uiPriority w:val="39"/>
    <w:unhideWhenUsed/>
    <w:qFormat/>
    <w:rsid w:val="00C116A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C116A1"/>
    <w:pPr>
      <w:tabs>
        <w:tab w:val="right" w:leader="dot" w:pos="9402"/>
      </w:tabs>
    </w:pPr>
    <w:rPr>
      <w:rFonts w:eastAsia="黑体"/>
      <w:b/>
      <w:bCs/>
      <w:noProof/>
    </w:rPr>
  </w:style>
  <w:style w:type="paragraph" w:styleId="TOC2">
    <w:name w:val="toc 2"/>
    <w:basedOn w:val="a"/>
    <w:next w:val="a"/>
    <w:autoRedefine/>
    <w:uiPriority w:val="39"/>
    <w:unhideWhenUsed/>
    <w:rsid w:val="00C116A1"/>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06614BF-1805-498F-BA73-BF7C705B3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80</Pages>
  <Words>35842</Words>
  <Characters>46238</Characters>
  <Application>Microsoft Office Word</Application>
  <DocSecurity>0</DocSecurity>
  <Lines>1249</Lines>
  <Paragraphs>603</Paragraphs>
  <ScaleCrop>false</ScaleCrop>
  <Company>Win10NeT.COM</Company>
  <LinksUpToDate>false</LinksUpToDate>
  <CharactersWithSpaces>81477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ZHAI Shao-Wei</cp:lastModifiedBy>
  <cp:revision>488</cp:revision>
  <cp:lastPrinted>2026-02-02T06:26:00Z</cp:lastPrinted>
  <dcterms:created xsi:type="dcterms:W3CDTF">2021-01-25T14:14:00Z</dcterms:created>
  <dcterms:modified xsi:type="dcterms:W3CDTF">2026-02-02T06:26:00Z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AB4334ED5FD54086BA35BE835A757B6F</vt:lpwstr>
  </property>
  <property fmtid="{D5CDD505-2E9C-101B-9397-08002B2CF9AE}" pid="4" name="KSOTemplateDocerSaveRecord">
    <vt:lpwstr>eyJoZGlkIjoiYWViMzQ5M2ZlYTk3N2UxYjU3MDlmMDQwNmI3MjNiYWIiLCJ1c2VySWQiOiIyMjIwOTE1NjAifQ==</vt:lpwstr>
  </property>
</Properties>
</file>