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0C9C84">
      <w:pPr>
        <w:spacing w:line="360" w:lineRule="auto"/>
        <w:ind w:left="-94" w:leftChars="-45" w:right="-334" w:rightChars="-159"/>
        <w:jc w:val="left"/>
        <w:rPr>
          <w:b/>
          <w:bCs/>
          <w:sz w:val="32"/>
          <w:szCs w:val="32"/>
        </w:rPr>
      </w:pPr>
      <w:bookmarkStart w:id="0" w:name="_Hlk21261980"/>
      <w:bookmarkEnd w:id="0"/>
      <w:r>
        <w:rPr>
          <w:b/>
          <w:bCs/>
          <w:sz w:val="32"/>
          <w:szCs w:val="32"/>
        </w:rPr>
        <mc:AlternateContent>
          <mc:Choice Requires="wps">
            <w:drawing>
              <wp:anchor distT="0" distB="0" distL="114300" distR="114300" simplePos="0" relativeHeight="251662336" behindDoc="0" locked="0" layoutInCell="1" allowOverlap="1">
                <wp:simplePos x="0" y="0"/>
                <wp:positionH relativeFrom="column">
                  <wp:posOffset>-113030</wp:posOffset>
                </wp:positionH>
                <wp:positionV relativeFrom="paragraph">
                  <wp:posOffset>1882775</wp:posOffset>
                </wp:positionV>
                <wp:extent cx="6212205" cy="0"/>
                <wp:effectExtent l="0" t="19050" r="55880" b="38100"/>
                <wp:wrapNone/>
                <wp:docPr id="24" name="直线 5"/>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8.9pt;margin-top:148.25pt;height:0pt;width:489.15pt;z-index:251662336;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2Jj/9YAAAALAQAA&#10;DwAAAAAAAAABACAAAAAiAAAAZHJzL2Rvd25yZXYueG1sUEsBAhQAFAAAAAgAh07iQBx5xE3iAQAA&#10;tAMAAA4AAAAAAAAAAQAgAAAAJQEAAGRycy9lMm9Eb2MueG1sUEsFBgAAAAAGAAYAWQEAAHkFAAAA&#10;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1312"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10</w:t>
      </w:r>
      <w:r>
        <w:rPr>
          <w:b/>
          <w:bCs/>
          <w:sz w:val="32"/>
          <w:szCs w:val="32"/>
        </w:rPr>
        <w:t>期  (总第</w:t>
      </w:r>
      <w:r>
        <w:rPr>
          <w:rFonts w:hint="eastAsia"/>
          <w:b/>
          <w:bCs/>
          <w:sz w:val="32"/>
          <w:szCs w:val="32"/>
        </w:rPr>
        <w:t>455</w:t>
      </w:r>
      <w:r>
        <w:rPr>
          <w:b/>
          <w:bCs/>
          <w:sz w:val="32"/>
          <w:szCs w:val="32"/>
        </w:rPr>
        <w:t>期)</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5</w:t>
      </w:r>
      <w:r>
        <w:rPr>
          <w:b/>
          <w:bCs/>
          <w:sz w:val="32"/>
          <w:szCs w:val="32"/>
        </w:rPr>
        <w:t>月</w:t>
      </w:r>
      <w:r>
        <w:rPr>
          <w:rFonts w:hint="eastAsia"/>
          <w:b/>
          <w:bCs/>
          <w:sz w:val="32"/>
          <w:szCs w:val="32"/>
        </w:rPr>
        <w:t>31</w:t>
      </w:r>
      <w:r>
        <w:rPr>
          <w:b/>
          <w:bCs/>
          <w:sz w:val="32"/>
          <w:szCs w:val="32"/>
        </w:rPr>
        <w:t>日</w:t>
      </w:r>
    </w:p>
    <w:sdt>
      <w:sdtPr>
        <w:rPr>
          <w:rFonts w:ascii="Times New Roman" w:hAnsi="Times New Roman" w:eastAsia="宋体" w:cs="Times New Roman"/>
          <w:color w:val="auto"/>
          <w:kern w:val="2"/>
          <w:sz w:val="21"/>
          <w:szCs w:val="24"/>
          <w:lang w:val="zh-CN"/>
        </w:rPr>
        <w:id w:val="336666750"/>
        <w:docPartObj>
          <w:docPartGallery w:val="Table of Contents"/>
          <w:docPartUnique/>
        </w:docPartObj>
      </w:sdtPr>
      <w:sdtEndPr>
        <w:rPr>
          <w:rFonts w:ascii="Times New Roman" w:hAnsi="Times New Roman" w:eastAsia="宋体" w:cs="Times New Roman"/>
          <w:color w:val="auto"/>
          <w:kern w:val="2"/>
          <w:sz w:val="21"/>
          <w:szCs w:val="24"/>
          <w:lang w:val="zh-CN"/>
        </w:rPr>
      </w:sdtEndPr>
      <w:sdtContent>
        <w:p w14:paraId="68DD6BFC">
          <w:pPr>
            <w:pStyle w:val="202"/>
            <w:jc w:val="center"/>
            <w:rPr>
              <w:rFonts w:hint="eastAsia" w:ascii="黑体" w:hAnsi="黑体" w:eastAsia="黑体"/>
              <w:b/>
              <w:bCs/>
              <w:color w:val="auto"/>
            </w:rPr>
          </w:pPr>
          <w:bookmarkStart w:id="1" w:name="_Hlk95645129"/>
          <w:r>
            <w:rPr>
              <w:rFonts w:ascii="黑体" w:hAnsi="黑体" w:eastAsia="黑体"/>
              <w:b/>
              <w:bCs/>
              <w:color w:val="auto"/>
              <w:lang w:val="zh-CN"/>
            </w:rPr>
            <w:t>目录</w:t>
          </w:r>
        </w:p>
        <w:p w14:paraId="3F5E1454">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TOC \o "1-3" \h \z \u </w:instrText>
          </w:r>
          <w:r>
            <w:fldChar w:fldCharType="separate"/>
          </w:r>
          <w:r>
            <w:fldChar w:fldCharType="begin"/>
          </w:r>
          <w:r>
            <w:instrText xml:space="preserve"> HYPERLINK \l "_Toc230941918" </w:instrText>
          </w:r>
          <w:r>
            <w:fldChar w:fldCharType="separate"/>
          </w:r>
          <w:r>
            <w:rPr>
              <w:rStyle w:val="24"/>
              <w:rFonts w:hint="eastAsia" w:eastAsia="黑体"/>
              <w:b/>
              <w:bCs/>
              <w:bdr w:val="single" w:color="auto" w:sz="4" w:space="0"/>
            </w:rPr>
            <w:t>重要资讯</w:t>
          </w:r>
          <w:r>
            <w:rPr>
              <w:rFonts w:hint="eastAsia"/>
            </w:rPr>
            <w:tab/>
          </w:r>
          <w:r>
            <w:rPr>
              <w:rFonts w:hint="eastAsia"/>
            </w:rPr>
            <w:fldChar w:fldCharType="begin"/>
          </w:r>
          <w:r>
            <w:rPr>
              <w:rFonts w:hint="eastAsia"/>
            </w:rPr>
            <w:instrText xml:space="preserve"> </w:instrText>
          </w:r>
          <w:r>
            <w:instrText xml:space="preserve">PAGEREF _Toc230941918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73EA034">
          <w:pPr>
            <w:pStyle w:val="15"/>
            <w:rPr>
              <w:rFonts w:asciiTheme="minorHAnsi" w:hAnsiTheme="minorHAnsi" w:eastAsiaTheme="minorEastAsia" w:cstheme="minorBidi"/>
              <w:sz w:val="22"/>
              <w14:ligatures w14:val="standardContextual"/>
            </w:rPr>
          </w:pPr>
          <w:r>
            <w:fldChar w:fldCharType="begin"/>
          </w:r>
          <w:r>
            <w:instrText xml:space="preserve"> HYPERLINK \l "_Toc230941919" </w:instrText>
          </w:r>
          <w:r>
            <w:fldChar w:fldCharType="separate"/>
          </w:r>
          <w:r>
            <w:rPr>
              <w:rStyle w:val="24"/>
              <w:rFonts w:hint="eastAsia"/>
            </w:rPr>
            <w:t>农业农村部渔业渔政管理局提出了水产养殖暴雨防灾减灾技术指引</w:t>
          </w:r>
          <w:r>
            <w:rPr>
              <w:rFonts w:hint="eastAsia"/>
            </w:rPr>
            <w:tab/>
          </w:r>
          <w:r>
            <w:rPr>
              <w:rFonts w:hint="eastAsia"/>
            </w:rPr>
            <w:fldChar w:fldCharType="begin"/>
          </w:r>
          <w:r>
            <w:rPr>
              <w:rFonts w:hint="eastAsia"/>
            </w:rPr>
            <w:instrText xml:space="preserve"> </w:instrText>
          </w:r>
          <w:r>
            <w:instrText xml:space="preserve">PAGEREF _Toc230941919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8949B85">
          <w:pPr>
            <w:pStyle w:val="15"/>
            <w:rPr>
              <w:rFonts w:asciiTheme="minorHAnsi" w:hAnsiTheme="minorHAnsi" w:eastAsiaTheme="minorEastAsia" w:cstheme="minorBidi"/>
              <w:sz w:val="22"/>
              <w14:ligatures w14:val="standardContextual"/>
            </w:rPr>
          </w:pPr>
          <w:r>
            <w:fldChar w:fldCharType="begin"/>
          </w:r>
          <w:r>
            <w:instrText xml:space="preserve"> HYPERLINK \l "_Toc230941920" </w:instrText>
          </w:r>
          <w:r>
            <w:fldChar w:fldCharType="separate"/>
          </w:r>
          <w:r>
            <w:rPr>
              <w:rStyle w:val="24"/>
              <w:rFonts w:hint="eastAsia"/>
            </w:rPr>
            <w:t>2026年拟审定通过水产新品种的公示</w:t>
          </w:r>
          <w:r>
            <w:rPr>
              <w:rFonts w:hint="eastAsia"/>
            </w:rPr>
            <w:tab/>
          </w:r>
          <w:r>
            <w:rPr>
              <w:rFonts w:hint="eastAsia"/>
            </w:rPr>
            <w:fldChar w:fldCharType="begin"/>
          </w:r>
          <w:r>
            <w:rPr>
              <w:rFonts w:hint="eastAsia"/>
            </w:rPr>
            <w:instrText xml:space="preserve"> </w:instrText>
          </w:r>
          <w:r>
            <w:instrText xml:space="preserve">PAGEREF _Toc230941920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81F12BC">
          <w:pPr>
            <w:pStyle w:val="15"/>
            <w:rPr>
              <w:rFonts w:asciiTheme="minorHAnsi" w:hAnsiTheme="minorHAnsi" w:eastAsiaTheme="minorEastAsia" w:cstheme="minorBidi"/>
              <w:sz w:val="22"/>
              <w14:ligatures w14:val="standardContextual"/>
            </w:rPr>
          </w:pPr>
          <w:r>
            <w:fldChar w:fldCharType="begin"/>
          </w:r>
          <w:r>
            <w:instrText xml:space="preserve"> HYPERLINK \l "_Toc230941921" </w:instrText>
          </w:r>
          <w:r>
            <w:fldChar w:fldCharType="separate"/>
          </w:r>
          <w:r>
            <w:rPr>
              <w:rStyle w:val="24"/>
              <w:rFonts w:hint="eastAsia"/>
            </w:rPr>
            <w:t>2026年6月全国水产养殖病害预测预报</w:t>
          </w:r>
          <w:r>
            <w:rPr>
              <w:rFonts w:hint="eastAsia"/>
            </w:rPr>
            <w:tab/>
          </w:r>
          <w:r>
            <w:rPr>
              <w:rFonts w:hint="eastAsia"/>
            </w:rPr>
            <w:fldChar w:fldCharType="begin"/>
          </w:r>
          <w:r>
            <w:rPr>
              <w:rFonts w:hint="eastAsia"/>
            </w:rPr>
            <w:instrText xml:space="preserve"> </w:instrText>
          </w:r>
          <w:r>
            <w:instrText xml:space="preserve">PAGEREF _Toc230941921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B1E92D5">
          <w:pPr>
            <w:pStyle w:val="15"/>
            <w:rPr>
              <w:rFonts w:asciiTheme="minorHAnsi" w:hAnsiTheme="minorHAnsi" w:eastAsiaTheme="minorEastAsia" w:cstheme="minorBidi"/>
              <w:sz w:val="22"/>
              <w14:ligatures w14:val="standardContextual"/>
            </w:rPr>
          </w:pPr>
          <w:r>
            <w:fldChar w:fldCharType="begin"/>
          </w:r>
          <w:r>
            <w:instrText xml:space="preserve"> HYPERLINK \l "_Toc230941922" </w:instrText>
          </w:r>
          <w:r>
            <w:fldChar w:fldCharType="separate"/>
          </w:r>
          <w:r>
            <w:rPr>
              <w:rStyle w:val="24"/>
              <w:rFonts w:hint="eastAsia"/>
            </w:rPr>
            <w:t>农业农村部渔业渔政管理局负责人就新修订的《中华人民共和国渔业法》实施答记者问</w:t>
          </w:r>
          <w:r>
            <w:rPr>
              <w:rFonts w:hint="eastAsia"/>
            </w:rPr>
            <w:tab/>
          </w:r>
          <w:r>
            <w:rPr>
              <w:rFonts w:hint="eastAsia"/>
            </w:rPr>
            <w:fldChar w:fldCharType="begin"/>
          </w:r>
          <w:r>
            <w:rPr>
              <w:rFonts w:hint="eastAsia"/>
            </w:rPr>
            <w:instrText xml:space="preserve"> </w:instrText>
          </w:r>
          <w:r>
            <w:instrText xml:space="preserve">PAGEREF _Toc230941922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EF3DBBC">
          <w:pPr>
            <w:pStyle w:val="15"/>
            <w:rPr>
              <w:rFonts w:asciiTheme="minorHAnsi" w:hAnsiTheme="minorHAnsi" w:eastAsiaTheme="minorEastAsia" w:cstheme="minorBidi"/>
              <w:sz w:val="22"/>
              <w14:ligatures w14:val="standardContextual"/>
            </w:rPr>
          </w:pPr>
          <w:r>
            <w:fldChar w:fldCharType="begin"/>
          </w:r>
          <w:r>
            <w:instrText xml:space="preserve"> HYPERLINK \l "_Toc230941923" </w:instrText>
          </w:r>
          <w:r>
            <w:fldChar w:fldCharType="separate"/>
          </w:r>
          <w:r>
            <w:rPr>
              <w:rStyle w:val="24"/>
              <w:rFonts w:hint="eastAsia"/>
            </w:rPr>
            <w:t>全国渔船标准化技术委员会启动换届及征集委员工作</w:t>
          </w:r>
          <w:r>
            <w:rPr>
              <w:rFonts w:hint="eastAsia"/>
            </w:rPr>
            <w:tab/>
          </w:r>
          <w:r>
            <w:rPr>
              <w:rFonts w:hint="eastAsia"/>
            </w:rPr>
            <w:fldChar w:fldCharType="begin"/>
          </w:r>
          <w:r>
            <w:rPr>
              <w:rFonts w:hint="eastAsia"/>
            </w:rPr>
            <w:instrText xml:space="preserve"> </w:instrText>
          </w:r>
          <w:r>
            <w:instrText xml:space="preserve">PAGEREF _Toc230941923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0C41736C">
          <w:pPr>
            <w:pStyle w:val="15"/>
            <w:rPr>
              <w:rFonts w:asciiTheme="minorHAnsi" w:hAnsiTheme="minorHAnsi" w:eastAsiaTheme="minorEastAsia" w:cstheme="minorBidi"/>
              <w:sz w:val="22"/>
              <w14:ligatures w14:val="standardContextual"/>
            </w:rPr>
          </w:pPr>
          <w:r>
            <w:fldChar w:fldCharType="begin"/>
          </w:r>
          <w:r>
            <w:instrText xml:space="preserve"> HYPERLINK \l "_Toc230941924" </w:instrText>
          </w:r>
          <w:r>
            <w:fldChar w:fldCharType="separate"/>
          </w:r>
          <w:r>
            <w:rPr>
              <w:rStyle w:val="24"/>
              <w:rFonts w:hint="eastAsia"/>
            </w:rPr>
            <w:t>自然资源部等八部门联合印发国家层面首部支持海洋生物医药产业发展政策文件</w:t>
          </w:r>
          <w:r>
            <w:rPr>
              <w:rFonts w:hint="eastAsia"/>
            </w:rPr>
            <w:tab/>
          </w:r>
          <w:r>
            <w:rPr>
              <w:rFonts w:hint="eastAsia"/>
            </w:rPr>
            <w:fldChar w:fldCharType="begin"/>
          </w:r>
          <w:r>
            <w:rPr>
              <w:rFonts w:hint="eastAsia"/>
            </w:rPr>
            <w:instrText xml:space="preserve"> </w:instrText>
          </w:r>
          <w:r>
            <w:instrText xml:space="preserve">PAGEREF _Toc230941924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45F5AB95">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"_Toc230941925" </w:instrText>
          </w:r>
          <w:r>
            <w:fldChar w:fldCharType="separate"/>
          </w:r>
          <w:r>
            <w:rPr>
              <w:rStyle w:val="24"/>
              <w:rFonts w:hint="eastAsia" w:eastAsia="黑体"/>
              <w:b/>
              <w:bCs/>
              <w:bdr w:val="single" w:color="auto" w:sz="4" w:space="0"/>
            </w:rPr>
            <w:t>行业资讯</w:t>
          </w:r>
          <w:r>
            <w:rPr>
              <w:rFonts w:hint="eastAsia"/>
            </w:rPr>
            <w:tab/>
          </w:r>
          <w:r>
            <w:rPr>
              <w:rFonts w:hint="eastAsia"/>
            </w:rPr>
            <w:fldChar w:fldCharType="begin"/>
          </w:r>
          <w:r>
            <w:rPr>
              <w:rFonts w:hint="eastAsia"/>
            </w:rPr>
            <w:instrText xml:space="preserve"> </w:instrText>
          </w:r>
          <w:r>
            <w:instrText xml:space="preserve">PAGEREF _Toc230941925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7CC4598D">
          <w:pPr>
            <w:pStyle w:val="15"/>
            <w:rPr>
              <w:rFonts w:asciiTheme="minorHAnsi" w:hAnsiTheme="minorHAnsi" w:eastAsiaTheme="minorEastAsia" w:cstheme="minorBidi"/>
              <w:sz w:val="22"/>
              <w14:ligatures w14:val="standardContextual"/>
            </w:rPr>
          </w:pPr>
          <w:r>
            <w:fldChar w:fldCharType="begin"/>
          </w:r>
          <w:r>
            <w:instrText xml:space="preserve"> HYPERLINK \l "_Toc230941926" </w:instrText>
          </w:r>
          <w:r>
            <w:fldChar w:fldCharType="separate"/>
          </w:r>
          <w:r>
            <w:rPr>
              <w:rStyle w:val="24"/>
              <w:rFonts w:hint="eastAsia"/>
            </w:rPr>
            <w:t>我国鳗鲡人工繁育研究取得突破</w:t>
          </w:r>
          <w:r>
            <w:rPr>
              <w:rFonts w:hint="eastAsia"/>
            </w:rPr>
            <w:tab/>
          </w:r>
          <w:r>
            <w:rPr>
              <w:rFonts w:hint="eastAsia"/>
            </w:rPr>
            <w:fldChar w:fldCharType="begin"/>
          </w:r>
          <w:r>
            <w:rPr>
              <w:rFonts w:hint="eastAsia"/>
            </w:rPr>
            <w:instrText xml:space="preserve"> </w:instrText>
          </w:r>
          <w:r>
            <w:instrText xml:space="preserve">PAGEREF _Toc230941926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13AC820B">
          <w:pPr>
            <w:pStyle w:val="15"/>
            <w:rPr>
              <w:rFonts w:asciiTheme="minorHAnsi" w:hAnsiTheme="minorHAnsi" w:eastAsiaTheme="minorEastAsia" w:cstheme="minorBidi"/>
              <w:sz w:val="22"/>
              <w14:ligatures w14:val="standardContextual"/>
            </w:rPr>
          </w:pPr>
          <w:r>
            <w:fldChar w:fldCharType="begin"/>
          </w:r>
          <w:r>
            <w:instrText xml:space="preserve"> HYPERLINK \l "_Toc230941927" </w:instrText>
          </w:r>
          <w:r>
            <w:fldChar w:fldCharType="separate"/>
          </w:r>
          <w:r>
            <w:rPr>
              <w:rStyle w:val="24"/>
              <w:rFonts w:hint="eastAsia"/>
            </w:rPr>
            <w:t>2026第四届无为小龙虾品牌推介消费季活动举办</w:t>
          </w:r>
          <w:r>
            <w:rPr>
              <w:rFonts w:hint="eastAsia"/>
            </w:rPr>
            <w:tab/>
          </w:r>
          <w:r>
            <w:rPr>
              <w:rFonts w:hint="eastAsia"/>
            </w:rPr>
            <w:fldChar w:fldCharType="begin"/>
          </w:r>
          <w:r>
            <w:rPr>
              <w:rFonts w:hint="eastAsia"/>
            </w:rPr>
            <w:instrText xml:space="preserve"> </w:instrText>
          </w:r>
          <w:r>
            <w:instrText xml:space="preserve">PAGEREF _Toc230941927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5C05915F">
          <w:pPr>
            <w:pStyle w:val="15"/>
            <w:rPr>
              <w:rFonts w:asciiTheme="minorHAnsi" w:hAnsiTheme="minorHAnsi" w:eastAsiaTheme="minorEastAsia" w:cstheme="minorBidi"/>
              <w:sz w:val="22"/>
              <w14:ligatures w14:val="standardContextual"/>
            </w:rPr>
          </w:pPr>
          <w:r>
            <w:fldChar w:fldCharType="begin"/>
          </w:r>
          <w:r>
            <w:instrText xml:space="preserve"> HYPERLINK \l "_Toc230941928" </w:instrText>
          </w:r>
          <w:r>
            <w:fldChar w:fldCharType="separate"/>
          </w:r>
          <w:r>
            <w:rPr>
              <w:rStyle w:val="24"/>
              <w:rFonts w:hint="eastAsia"/>
            </w:rPr>
            <w:t>中越联合举行2026年北部湾渔业资源增殖放流活动</w:t>
          </w:r>
          <w:r>
            <w:rPr>
              <w:rFonts w:hint="eastAsia"/>
            </w:rPr>
            <w:tab/>
          </w:r>
          <w:r>
            <w:rPr>
              <w:rFonts w:hint="eastAsia"/>
            </w:rPr>
            <w:fldChar w:fldCharType="begin"/>
          </w:r>
          <w:r>
            <w:rPr>
              <w:rFonts w:hint="eastAsia"/>
            </w:rPr>
            <w:instrText xml:space="preserve"> </w:instrText>
          </w:r>
          <w:r>
            <w:instrText xml:space="preserve">PAGEREF _Toc230941928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5CA6DE40">
          <w:pPr>
            <w:pStyle w:val="15"/>
            <w:rPr>
              <w:rFonts w:asciiTheme="minorHAnsi" w:hAnsiTheme="minorHAnsi" w:eastAsiaTheme="minorEastAsia" w:cstheme="minorBidi"/>
              <w:sz w:val="22"/>
              <w14:ligatures w14:val="standardContextual"/>
            </w:rPr>
          </w:pPr>
          <w:r>
            <w:fldChar w:fldCharType="begin"/>
          </w:r>
          <w:r>
            <w:instrText xml:space="preserve"> HYPERLINK \l "_Toc230941929" </w:instrText>
          </w:r>
          <w:r>
            <w:fldChar w:fldCharType="separate"/>
          </w:r>
          <w:r>
            <w:rPr>
              <w:rStyle w:val="24"/>
              <w:rFonts w:hint="eastAsia"/>
            </w:rPr>
            <w:t>全国首个！福建发布高品质大黄鱼等级标准</w:t>
          </w:r>
          <w:r>
            <w:rPr>
              <w:rFonts w:hint="eastAsia"/>
            </w:rPr>
            <w:tab/>
          </w:r>
          <w:r>
            <w:rPr>
              <w:rFonts w:hint="eastAsia"/>
            </w:rPr>
            <w:fldChar w:fldCharType="begin"/>
          </w:r>
          <w:r>
            <w:rPr>
              <w:rFonts w:hint="eastAsia"/>
            </w:rPr>
            <w:instrText xml:space="preserve"> </w:instrText>
          </w:r>
          <w:r>
            <w:instrText xml:space="preserve">PAGEREF _Toc230941929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8A916F1">
          <w:pPr>
            <w:pStyle w:val="15"/>
            <w:rPr>
              <w:rFonts w:asciiTheme="minorHAnsi" w:hAnsiTheme="minorHAnsi" w:eastAsiaTheme="minorEastAsia" w:cstheme="minorBidi"/>
              <w:sz w:val="22"/>
              <w14:ligatures w14:val="standardContextual"/>
            </w:rPr>
          </w:pPr>
          <w:r>
            <w:fldChar w:fldCharType="begin"/>
          </w:r>
          <w:r>
            <w:instrText xml:space="preserve"> HYPERLINK \l "_Toc230941930" </w:instrText>
          </w:r>
          <w:r>
            <w:fldChar w:fldCharType="separate"/>
          </w:r>
          <w:r>
            <w:rPr>
              <w:rStyle w:val="24"/>
              <w:rFonts w:hint="eastAsia"/>
            </w:rPr>
            <w:t>打造福建“向海图强”海洋文化品牌</w:t>
          </w:r>
          <w:r>
            <w:rPr>
              <w:rFonts w:hint="eastAsia"/>
            </w:rPr>
            <w:tab/>
          </w:r>
          <w:r>
            <w:rPr>
              <w:rFonts w:hint="eastAsia"/>
            </w:rPr>
            <w:fldChar w:fldCharType="begin"/>
          </w:r>
          <w:r>
            <w:rPr>
              <w:rFonts w:hint="eastAsia"/>
            </w:rPr>
            <w:instrText xml:space="preserve"> </w:instrText>
          </w:r>
          <w:r>
            <w:instrText xml:space="preserve">PAGEREF _Toc230941930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59E1DF49">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"_Toc230941931" </w:instrText>
          </w:r>
          <w:r>
            <w:fldChar w:fldCharType="separate"/>
          </w:r>
          <w:r>
            <w:rPr>
              <w:rStyle w:val="24"/>
              <w:rFonts w:hint="eastAsia" w:eastAsia="黑体"/>
              <w:b/>
              <w:bCs/>
              <w:bdr w:val="single" w:color="auto" w:sz="4" w:space="0"/>
            </w:rPr>
            <w:t>本会动态</w:t>
          </w:r>
          <w:r>
            <w:rPr>
              <w:rFonts w:hint="eastAsia"/>
            </w:rPr>
            <w:tab/>
          </w:r>
          <w:r>
            <w:rPr>
              <w:rFonts w:hint="eastAsia"/>
            </w:rPr>
            <w:fldChar w:fldCharType="begin"/>
          </w:r>
          <w:r>
            <w:rPr>
              <w:rFonts w:hint="eastAsia"/>
            </w:rPr>
            <w:instrText xml:space="preserve"> </w:instrText>
          </w:r>
          <w:r>
            <w:instrText xml:space="preserve">PAGEREF _Toc230941931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93FD527">
          <w:pPr>
            <w:pStyle w:val="15"/>
            <w:rPr>
              <w:rFonts w:asciiTheme="minorHAnsi" w:hAnsiTheme="minorHAnsi" w:eastAsiaTheme="minorEastAsia" w:cstheme="minorBidi"/>
              <w:sz w:val="22"/>
              <w14:ligatures w14:val="standardContextual"/>
            </w:rPr>
          </w:pPr>
          <w:r>
            <w:fldChar w:fldCharType="begin"/>
          </w:r>
          <w:r>
            <w:instrText xml:space="preserve"> HYPERLINK \l "_Toc230941932" </w:instrText>
          </w:r>
          <w:r>
            <w:fldChar w:fldCharType="separate"/>
          </w:r>
          <w:r>
            <w:rPr>
              <w:rStyle w:val="24"/>
              <w:rFonts w:hint="eastAsia"/>
            </w:rPr>
            <w:t>闽宁携手话水产 科技协作谱新篇</w:t>
          </w:r>
          <w:r>
            <w:rPr>
              <w:rFonts w:hint="eastAsia"/>
            </w:rPr>
            <w:tab/>
          </w:r>
          <w:r>
            <w:rPr>
              <w:rFonts w:hint="eastAsia"/>
            </w:rPr>
            <w:fldChar w:fldCharType="begin"/>
          </w:r>
          <w:r>
            <w:rPr>
              <w:rFonts w:hint="eastAsia"/>
            </w:rPr>
            <w:instrText xml:space="preserve"> </w:instrText>
          </w:r>
          <w:r>
            <w:instrText xml:space="preserve">PAGEREF _Toc230941932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0E106A5">
          <w:pPr>
            <w:pStyle w:val="15"/>
            <w:rPr>
              <w:rFonts w:asciiTheme="minorHAnsi" w:hAnsiTheme="minorHAnsi" w:eastAsiaTheme="minorEastAsia" w:cstheme="minorBidi"/>
              <w:sz w:val="22"/>
              <w14:ligatures w14:val="standardContextual"/>
            </w:rPr>
          </w:pPr>
          <w:r>
            <w:fldChar w:fldCharType="begin"/>
          </w:r>
          <w:r>
            <w:instrText xml:space="preserve"> HYPERLINK \l "_Toc230941933" </w:instrText>
          </w:r>
          <w:r>
            <w:fldChar w:fldCharType="separate"/>
          </w:r>
          <w:r>
            <w:rPr>
              <w:rStyle w:val="24"/>
              <w:rFonts w:hint="eastAsia"/>
            </w:rPr>
            <w:t>本会召开换届大会暨第九届会员代表大会第一次会议</w:t>
          </w:r>
          <w:r>
            <w:rPr>
              <w:rFonts w:hint="eastAsia"/>
            </w:rPr>
            <w:tab/>
          </w:r>
          <w:r>
            <w:rPr>
              <w:rFonts w:hint="eastAsia"/>
            </w:rPr>
            <w:fldChar w:fldCharType="begin"/>
          </w:r>
          <w:r>
            <w:rPr>
              <w:rFonts w:hint="eastAsia"/>
            </w:rPr>
            <w:instrText xml:space="preserve"> </w:instrText>
          </w:r>
          <w:r>
            <w:instrText xml:space="preserve">PAGEREF _Toc230941933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43C8BABD">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"_Toc230941934" </w:instrText>
          </w:r>
          <w:r>
            <w:fldChar w:fldCharType="separate"/>
          </w:r>
          <w:r>
            <w:rPr>
              <w:rStyle w:val="24"/>
              <w:rFonts w:hint="eastAsia" w:eastAsia="黑体"/>
              <w:b/>
              <w:bCs/>
              <w:bdr w:val="single" w:color="auto" w:sz="4" w:space="0"/>
            </w:rPr>
            <w:t>研究进展</w:t>
          </w:r>
          <w:r>
            <w:rPr>
              <w:rFonts w:hint="eastAsia"/>
            </w:rPr>
            <w:tab/>
          </w:r>
          <w:r>
            <w:rPr>
              <w:rFonts w:hint="eastAsia"/>
            </w:rPr>
            <w:fldChar w:fldCharType="begin"/>
          </w:r>
          <w:r>
            <w:rPr>
              <w:rFonts w:hint="eastAsia"/>
            </w:rPr>
            <w:instrText xml:space="preserve"> </w:instrText>
          </w:r>
          <w:r>
            <w:instrText xml:space="preserve">PAGEREF _Toc230941934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06B0B37D">
          <w:pPr>
            <w:pStyle w:val="15"/>
            <w:rPr>
              <w:rFonts w:asciiTheme="minorHAnsi" w:hAnsiTheme="minorHAnsi" w:eastAsiaTheme="minorEastAsia" w:cstheme="minorBidi"/>
              <w:sz w:val="22"/>
              <w14:ligatures w14:val="standardContextual"/>
            </w:rPr>
          </w:pPr>
          <w:r>
            <w:fldChar w:fldCharType="begin"/>
          </w:r>
          <w:r>
            <w:instrText xml:space="preserve"> HYPERLINK \l "_Toc230941935" </w:instrText>
          </w:r>
          <w:r>
            <w:fldChar w:fldCharType="separate"/>
          </w:r>
          <w:r>
            <w:rPr>
              <w:rStyle w:val="24"/>
              <w:rFonts w:hint="eastAsia"/>
            </w:rPr>
            <w:t>黄芩在水产动物生产中的应用研究进展</w:t>
          </w:r>
          <w:r>
            <w:rPr>
              <w:rFonts w:hint="eastAsia"/>
            </w:rPr>
            <w:tab/>
          </w:r>
          <w:r>
            <w:rPr>
              <w:rFonts w:hint="eastAsia"/>
            </w:rPr>
            <w:fldChar w:fldCharType="begin"/>
          </w:r>
          <w:r>
            <w:rPr>
              <w:rFonts w:hint="eastAsia"/>
            </w:rPr>
            <w:instrText xml:space="preserve"> </w:instrText>
          </w:r>
          <w:r>
            <w:instrText xml:space="preserve">PAGEREF _Toc230941935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43E2792F">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"_Toc230941936" </w:instrText>
          </w:r>
          <w:r>
            <w:fldChar w:fldCharType="separate"/>
          </w:r>
          <w:r>
            <w:rPr>
              <w:rStyle w:val="24"/>
              <w:rFonts w:hint="eastAsia" w:eastAsia="黑体"/>
              <w:b/>
              <w:bCs/>
              <w:bdr w:val="single" w:color="auto" w:sz="4" w:space="0"/>
            </w:rPr>
            <w:t>科学研究</w:t>
          </w:r>
          <w:r>
            <w:rPr>
              <w:rFonts w:hint="eastAsia"/>
            </w:rPr>
            <w:tab/>
          </w:r>
          <w:r>
            <w:rPr>
              <w:rFonts w:hint="eastAsia"/>
            </w:rPr>
            <w:fldChar w:fldCharType="begin"/>
          </w:r>
          <w:r>
            <w:rPr>
              <w:rFonts w:hint="eastAsia"/>
            </w:rPr>
            <w:instrText xml:space="preserve"> </w:instrText>
          </w:r>
          <w:r>
            <w:instrText xml:space="preserve">PAGEREF _Toc230941936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24FD172">
          <w:pPr>
            <w:pStyle w:val="15"/>
            <w:rPr>
              <w:rFonts w:asciiTheme="minorHAnsi" w:hAnsiTheme="minorHAnsi" w:eastAsiaTheme="minorEastAsia" w:cstheme="minorBidi"/>
              <w:sz w:val="22"/>
              <w14:ligatures w14:val="standardContextual"/>
            </w:rPr>
          </w:pPr>
          <w:r>
            <w:fldChar w:fldCharType="begin"/>
          </w:r>
          <w:r>
            <w:instrText xml:space="preserve"> HYPERLINK \l "_Toc230941937" </w:instrText>
          </w:r>
          <w:r>
            <w:fldChar w:fldCharType="separate"/>
          </w:r>
          <w:r>
            <w:rPr>
              <w:rStyle w:val="24"/>
              <w:rFonts w:hint="eastAsia" w:ascii="黑体" w:hAnsi="黑体"/>
            </w:rPr>
            <w:t>牛磺酸对鳜生长及肠道结构和功能的影响</w:t>
          </w:r>
          <w:r>
            <w:rPr>
              <w:rFonts w:hint="eastAsia"/>
            </w:rPr>
            <w:tab/>
          </w:r>
          <w:r>
            <w:rPr>
              <w:rFonts w:hint="eastAsia"/>
            </w:rPr>
            <w:fldChar w:fldCharType="begin"/>
          </w:r>
          <w:r>
            <w:rPr>
              <w:rFonts w:hint="eastAsia"/>
            </w:rPr>
            <w:instrText xml:space="preserve"> </w:instrText>
          </w:r>
          <w:r>
            <w:instrText xml:space="preserve">PAGEREF _Toc230941937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2B22E64C">
          <w:pPr>
            <w:pStyle w:val="15"/>
            <w:rPr>
              <w:rFonts w:asciiTheme="minorHAnsi" w:hAnsiTheme="minorHAnsi" w:eastAsiaTheme="minorEastAsia" w:cstheme="minorBidi"/>
              <w:sz w:val="22"/>
              <w14:ligatures w14:val="standardContextual"/>
            </w:rPr>
          </w:pPr>
          <w:r>
            <w:fldChar w:fldCharType="begin"/>
          </w:r>
          <w:r>
            <w:instrText xml:space="preserve"> HYPERLINK \l "_Toc230941938" </w:instrText>
          </w:r>
          <w:r>
            <w:fldChar w:fldCharType="separate"/>
          </w:r>
          <w:r>
            <w:rPr>
              <w:rStyle w:val="24"/>
              <w:rFonts w:hint="eastAsia" w:ascii="黑体" w:hAnsi="黑体" w:cs="黑体"/>
            </w:rPr>
            <w:t>黄粉虫粉替代鱼粉对凡纳滨对虾生长、免疫和营养品质的影响</w:t>
          </w:r>
          <w:r>
            <w:rPr>
              <w:rFonts w:hint="eastAsia"/>
            </w:rPr>
            <w:tab/>
          </w:r>
          <w:r>
            <w:rPr>
              <w:rFonts w:hint="eastAsia"/>
            </w:rPr>
            <w:fldChar w:fldCharType="begin"/>
          </w:r>
          <w:r>
            <w:rPr>
              <w:rFonts w:hint="eastAsia"/>
            </w:rPr>
            <w:instrText xml:space="preserve"> </w:instrText>
          </w:r>
          <w:r>
            <w:instrText xml:space="preserve">PAGEREF _Toc230941938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74E9A9F4">
          <w:pPr>
            <w:pStyle w:val="14"/>
            <w:tabs>
              <w:tab w:val="right" w:leader="dot" w:pos="9402"/>
            </w:tabs>
            <w:rPr>
              <w:rFonts w:asciiTheme="minorHAnsi" w:hAnsiTheme="minorHAnsi" w:eastAsiaTheme="minorEastAsia" w:cstheme="minorBidi"/>
              <w:sz w:val="22"/>
              <w14:ligatures w14:val="standardContextual"/>
            </w:rPr>
          </w:pPr>
          <w:r>
            <w:fldChar w:fldCharType="begin"/>
          </w:r>
          <w:r>
            <w:instrText xml:space="preserve"> HYPERLINK \l "_Toc230941939" </w:instrText>
          </w:r>
          <w:r>
            <w:fldChar w:fldCharType="separate"/>
          </w:r>
          <w:r>
            <w:rPr>
              <w:rStyle w:val="24"/>
              <w:rFonts w:hint="eastAsia" w:eastAsia="黑体"/>
              <w:b/>
              <w:bCs/>
              <w:bdr w:val="single" w:color="auto" w:sz="4" w:space="0"/>
            </w:rPr>
            <w:t>饲料研发</w:t>
          </w:r>
          <w:r>
            <w:rPr>
              <w:rFonts w:hint="eastAsia"/>
            </w:rPr>
            <w:tab/>
          </w:r>
          <w:r>
            <w:rPr>
              <w:rFonts w:hint="eastAsia"/>
            </w:rPr>
            <w:fldChar w:fldCharType="begin"/>
          </w:r>
          <w:r>
            <w:rPr>
              <w:rFonts w:hint="eastAsia"/>
            </w:rPr>
            <w:instrText xml:space="preserve"> </w:instrText>
          </w:r>
          <w:r>
            <w:instrText xml:space="preserve">PAGEREF _Toc230941939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4329E642">
          <w:pPr>
            <w:pStyle w:val="15"/>
            <w:rPr>
              <w:rFonts w:asciiTheme="minorHAnsi" w:hAnsiTheme="minorHAnsi" w:eastAsiaTheme="minorEastAsia" w:cstheme="minorBidi"/>
              <w:sz w:val="22"/>
              <w14:ligatures w14:val="standardContextual"/>
            </w:rPr>
          </w:pPr>
          <w:r>
            <w:fldChar w:fldCharType="begin"/>
          </w:r>
          <w:r>
            <w:instrText xml:space="preserve"> HYPERLINK \l "_Toc230941940" </w:instrText>
          </w:r>
          <w:r>
            <w:fldChar w:fldCharType="separate"/>
          </w:r>
          <w:r>
            <w:rPr>
              <w:rStyle w:val="24"/>
              <w:rFonts w:hint="eastAsia"/>
            </w:rPr>
            <w:t>不同蛋白质源替代鱼粉对牛蛙生长性能、血清生化指标及肝脏和肠道健康的影响</w:t>
          </w:r>
          <w:r>
            <w:rPr>
              <w:rFonts w:hint="eastAsia"/>
            </w:rPr>
            <w:tab/>
          </w:r>
          <w:r>
            <w:rPr>
              <w:rFonts w:hint="eastAsia"/>
            </w:rPr>
            <w:fldChar w:fldCharType="begin"/>
          </w:r>
          <w:r>
            <w:rPr>
              <w:rFonts w:hint="eastAsia"/>
            </w:rPr>
            <w:instrText xml:space="preserve"> </w:instrText>
          </w:r>
          <w:r>
            <w:instrText xml:space="preserve">PAGEREF _Toc230941940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5410D19C">
          <w:r>
            <w:rPr>
              <w:lang w:val="zh-CN"/>
            </w:rPr>
            <w:fldChar w:fldCharType="end"/>
          </w:r>
        </w:p>
      </w:sdtContent>
    </w:sdt>
    <w:p w14:paraId="24463287">
      <w:pPr>
        <w:spacing w:line="360" w:lineRule="auto"/>
        <w:ind w:left="-94" w:leftChars="-45" w:right="-334" w:rightChars="-159"/>
        <w:jc w:val="left"/>
        <w:rPr>
          <w:rStyle w:val="96"/>
          <w:rFonts w:eastAsia="黑体"/>
          <w:b/>
          <w:bCs/>
          <w:sz w:val="32"/>
          <w:szCs w:val="32"/>
          <w:bdr w:val="single" w:color="auto" w:sz="4" w:space="0"/>
        </w:rPr>
      </w:pPr>
    </w:p>
    <w:p w14:paraId="340D2B40">
      <w:pPr>
        <w:spacing w:line="360" w:lineRule="auto"/>
        <w:ind w:left="-94" w:leftChars="-45" w:right="-334" w:rightChars="-159"/>
        <w:jc w:val="left"/>
        <w:rPr>
          <w:rStyle w:val="96"/>
          <w:rFonts w:eastAsia="黑体"/>
          <w:b/>
          <w:bCs/>
          <w:sz w:val="32"/>
          <w:szCs w:val="32"/>
          <w:bdr w:val="single" w:color="auto" w:sz="4" w:space="0"/>
        </w:rPr>
      </w:pPr>
    </w:p>
    <w:p w14:paraId="784117A7">
      <w:pPr>
        <w:spacing w:line="360" w:lineRule="auto"/>
        <w:ind w:right="-334" w:rightChars="-159"/>
        <w:jc w:val="left"/>
        <w:rPr>
          <w:rStyle w:val="96"/>
          <w:rFonts w:eastAsia="黑体"/>
          <w:b/>
          <w:bCs/>
          <w:sz w:val="32"/>
          <w:szCs w:val="32"/>
          <w:bdr w:val="single" w:color="auto" w:sz="4" w:space="0"/>
        </w:rPr>
      </w:pPr>
    </w:p>
    <w:p w14:paraId="743566F6">
      <w:pPr>
        <w:spacing w:line="360" w:lineRule="auto"/>
        <w:ind w:left="-94" w:leftChars="-45" w:right="-334" w:rightChars="-159"/>
        <w:jc w:val="left"/>
        <w:rPr>
          <w:b/>
          <w:bCs/>
          <w:sz w:val="32"/>
          <w:szCs w:val="32"/>
        </w:rPr>
      </w:pPr>
      <w:r>
        <w:rPr>
          <w:b/>
          <w:bCs/>
          <w:sz w:val="32"/>
          <w:szCs w:val="32"/>
        </w:rPr>
        <mc:AlternateContent>
          <mc:Choice Requires="wps">
            <w:drawing>
              <wp:anchor distT="0" distB="0" distL="114300" distR="114300" simplePos="0" relativeHeight="251666432" behindDoc="0" locked="0" layoutInCell="1" allowOverlap="1">
                <wp:simplePos x="0" y="0"/>
                <wp:positionH relativeFrom="column">
                  <wp:posOffset>-113030</wp:posOffset>
                </wp:positionH>
                <wp:positionV relativeFrom="paragraph">
                  <wp:posOffset>1882775</wp:posOffset>
                </wp:positionV>
                <wp:extent cx="6212205" cy="0"/>
                <wp:effectExtent l="0" t="19050" r="55880" b="38100"/>
                <wp:wrapNone/>
                <wp:docPr id="929722742" name="直线 5"/>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w:pict>
              <v:line id="直线 5" o:spid="_x0000_s1026" o:spt="20" style="position:absolute;left:0pt;margin-left:-8.9pt;margin-top:148.25pt;height:0pt;width:489.15pt;z-index:251666432;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iY//W&#10;AAAACwEAAA8AAAAAAAAAAQAgAAAAIgAAAGRycy9kb3ducmV2LnhtbFBLAQIUABQAAAAIAIdO4kBy&#10;cuhJ6QEAALsDAAAOAAAAAAAAAAEAIAAAACUBAABkcnMvZTJvRG9jLnhtbFBLBQYAAAAABgAGAFkB&#10;AACABQAAAAA=&#10;">
                <v:fill on="f" focussize="0,0"/>
                <v:stroke weight="4.5pt" color="#000000" linestyle="thickThin" joinstyle="round"/>
                <v:imagedata o:title=""/>
                <o:lock v:ext="edit" aspectratio="f"/>
              </v:line>
            </w:pict>
          </mc:Fallback>
        </mc:AlternateContent>
      </w:r>
      <w:r>
        <w:rPr>
          <w:b/>
          <w:bCs/>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1257300" cy="1257300"/>
            <wp:effectExtent l="0" t="0" r="0" b="0"/>
            <wp:wrapTopAndBottom/>
            <wp:docPr id="1025840065" name="图片 102584006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0065" name="图片 1025840065" descr="徽标（白边）"/>
                    <pic:cNvPicPr>
                      <a:picLocks noChangeAspect="1" noChangeArrowheads="1"/>
                    </pic:cNvPicPr>
                  </pic:nvPicPr>
                  <pic:blipFill>
                    <a:blip r:embed="rId5"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4384" behindDoc="0" locked="0" layoutInCell="1" allowOverlap="1">
            <wp:simplePos x="0" y="0"/>
            <wp:positionH relativeFrom="column">
              <wp:posOffset>1714500</wp:posOffset>
            </wp:positionH>
            <wp:positionV relativeFrom="paragraph">
              <wp:posOffset>693420</wp:posOffset>
            </wp:positionV>
            <wp:extent cx="3200400" cy="805180"/>
            <wp:effectExtent l="0" t="0" r="0" b="0"/>
            <wp:wrapTopAndBottom/>
            <wp:docPr id="2082212569" name="图片 2082212569"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12569" name="图片 2082212569" descr="信息简报"/>
                    <pic:cNvPicPr>
                      <a:picLocks noChangeAspect="1" noChangeArrowheads="1"/>
                    </pic:cNvPicPr>
                  </pic:nvPicPr>
                  <pic:blipFill>
                    <a:blip r:embed="rId6"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5408" behindDoc="0" locked="0" layoutInCell="1" allowOverlap="1">
            <wp:simplePos x="0" y="0"/>
            <wp:positionH relativeFrom="column">
              <wp:posOffset>914400</wp:posOffset>
            </wp:positionH>
            <wp:positionV relativeFrom="paragraph">
              <wp:posOffset>0</wp:posOffset>
            </wp:positionV>
            <wp:extent cx="5029200" cy="783590"/>
            <wp:effectExtent l="0" t="0" r="0" b="0"/>
            <wp:wrapNone/>
            <wp:docPr id="962329013" name="图片 962329013"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29013" name="图片 962329013" descr="福建省水产饲料研究会 - 刘中一题—红色"/>
                    <pic:cNvPicPr>
                      <a:picLocks noChangeAspect="1" noChangeArrowheads="1"/>
                    </pic:cNvPicPr>
                  </pic:nvPicPr>
                  <pic:blipFill>
                    <a:blip r:embed="rId7"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10</w:t>
      </w:r>
      <w:r>
        <w:rPr>
          <w:b/>
          <w:bCs/>
          <w:sz w:val="32"/>
          <w:szCs w:val="32"/>
        </w:rPr>
        <w:t>期  (总第</w:t>
      </w:r>
      <w:r>
        <w:rPr>
          <w:rFonts w:hint="eastAsia"/>
          <w:b/>
          <w:bCs/>
          <w:sz w:val="32"/>
          <w:szCs w:val="32"/>
        </w:rPr>
        <w:t>455</w:t>
      </w:r>
      <w:r>
        <w:rPr>
          <w:b/>
          <w:bCs/>
          <w:sz w:val="32"/>
          <w:szCs w:val="32"/>
        </w:rPr>
        <w:t>期)</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5</w:t>
      </w:r>
      <w:r>
        <w:rPr>
          <w:b/>
          <w:bCs/>
          <w:sz w:val="32"/>
          <w:szCs w:val="32"/>
        </w:rPr>
        <w:t>月</w:t>
      </w:r>
      <w:r>
        <w:rPr>
          <w:rFonts w:hint="eastAsia"/>
          <w:b/>
          <w:bCs/>
          <w:sz w:val="32"/>
          <w:szCs w:val="32"/>
        </w:rPr>
        <w:t>31</w:t>
      </w:r>
      <w:r>
        <w:rPr>
          <w:b/>
          <w:bCs/>
          <w:sz w:val="32"/>
          <w:szCs w:val="32"/>
        </w:rPr>
        <w:t>日</w:t>
      </w:r>
    </w:p>
    <w:p w14:paraId="3FBBF0F7">
      <w:pPr>
        <w:spacing w:line="276" w:lineRule="auto"/>
        <w:jc w:val="left"/>
        <w:outlineLvl w:val="0"/>
        <w:rPr>
          <w:rStyle w:val="96"/>
          <w:rFonts w:eastAsia="黑体"/>
          <w:b/>
          <w:bCs/>
          <w:sz w:val="32"/>
          <w:szCs w:val="32"/>
          <w:bdr w:val="single" w:color="auto" w:sz="4" w:space="0"/>
        </w:rPr>
      </w:pPr>
      <w:bookmarkStart w:id="2" w:name="_Toc230941918"/>
      <w:r>
        <w:rPr>
          <w:rStyle w:val="96"/>
          <w:rFonts w:hint="eastAsia" w:eastAsia="黑体"/>
          <w:b/>
          <w:bCs/>
          <w:sz w:val="32"/>
          <w:szCs w:val="32"/>
          <w:bdr w:val="single" w:color="auto" w:sz="4" w:space="0"/>
        </w:rPr>
        <w:t>重要资讯</w:t>
      </w:r>
      <w:bookmarkEnd w:id="2"/>
    </w:p>
    <w:p w14:paraId="2818087A">
      <w:pPr>
        <w:spacing w:line="360" w:lineRule="auto"/>
        <w:jc w:val="center"/>
        <w:outlineLvl w:val="1"/>
        <w:rPr>
          <w:rFonts w:eastAsia="黑体"/>
          <w:b/>
          <w:bCs/>
          <w:sz w:val="32"/>
          <w:szCs w:val="32"/>
        </w:rPr>
      </w:pPr>
      <w:bookmarkStart w:id="3" w:name="_Toc230941919"/>
      <w:r>
        <w:rPr>
          <w:rFonts w:hint="eastAsia" w:eastAsia="黑体"/>
          <w:b/>
          <w:bCs/>
          <w:sz w:val="32"/>
          <w:szCs w:val="32"/>
        </w:rPr>
        <w:t>农业农村部渔业渔政管理局提出了水产养殖暴雨防灾减灾技术指引</w:t>
      </w:r>
      <w:bookmarkEnd w:id="3"/>
    </w:p>
    <w:p w14:paraId="3D09F481">
      <w:pPr>
        <w:spacing w:line="360" w:lineRule="auto"/>
        <w:ind w:firstLine="426"/>
        <w:rPr>
          <w:rFonts w:eastAsiaTheme="minorEastAsia"/>
          <w:sz w:val="24"/>
        </w:rPr>
      </w:pPr>
      <w:r>
        <w:rPr>
          <w:rFonts w:hint="eastAsia" w:eastAsiaTheme="minorEastAsia"/>
          <w:sz w:val="24"/>
        </w:rPr>
        <w:t>针对强降雨天气，为最大程度减轻灾害损失，保障渔业生产安全，农业农村部渔业渔政管理局委托全国水产技术推广总站组织专家研究提出了水产养殖暴雨防灾减灾技术指引。</w:t>
      </w:r>
    </w:p>
    <w:p w14:paraId="41F5DDF1">
      <w:pPr>
        <w:spacing w:line="360" w:lineRule="auto"/>
        <w:ind w:firstLine="426"/>
        <w:rPr>
          <w:rFonts w:eastAsiaTheme="minorEastAsia"/>
          <w:sz w:val="24"/>
        </w:rPr>
      </w:pPr>
      <w:r>
        <w:rPr>
          <w:rFonts w:hint="eastAsia" w:eastAsiaTheme="minorEastAsia"/>
          <w:sz w:val="24"/>
        </w:rPr>
        <w:t>一、暴雨前预防措施</w:t>
      </w:r>
    </w:p>
    <w:p w14:paraId="105041AB">
      <w:pPr>
        <w:spacing w:line="360" w:lineRule="auto"/>
        <w:ind w:firstLine="426"/>
        <w:rPr>
          <w:rFonts w:eastAsiaTheme="minorEastAsia"/>
          <w:sz w:val="24"/>
        </w:rPr>
      </w:pPr>
      <w:r>
        <w:rPr>
          <w:rFonts w:hint="eastAsia" w:eastAsiaTheme="minorEastAsia"/>
          <w:sz w:val="24"/>
        </w:rPr>
        <w:t>（一）密切监测气象预警。暴雨洪涝灾害到来前，要随时关注天气变化情况，通过手机、电视、广播等渠道，密切关注当地气象部门发布的降雨量、降雨时长及预警信息，做到心中有数、提前谋划，预判暴雨洪涝对养殖场所可能造成的影响，制定针对性防灾预案。</w:t>
      </w:r>
    </w:p>
    <w:p w14:paraId="71F3EBCC">
      <w:pPr>
        <w:spacing w:line="360" w:lineRule="auto"/>
        <w:ind w:firstLine="426"/>
        <w:rPr>
          <w:rFonts w:eastAsiaTheme="minorEastAsia"/>
          <w:sz w:val="24"/>
        </w:rPr>
      </w:pPr>
      <w:r>
        <w:rPr>
          <w:rFonts w:hint="eastAsia" w:eastAsiaTheme="minorEastAsia"/>
          <w:sz w:val="24"/>
        </w:rPr>
        <w:t>（二）全面疏通排水系统。提前清理进排水渠道，清除渠道内淤泥、杂草、杂物，确保自家池塘排水畅通；同时重点排查周边区域，加固池塘堤坝薄弱段，防范外来洪水漫灌、倒灌入塘的风险。</w:t>
      </w:r>
    </w:p>
    <w:p w14:paraId="35A9F788">
      <w:pPr>
        <w:spacing w:line="360" w:lineRule="auto"/>
        <w:ind w:firstLine="426"/>
        <w:rPr>
          <w:rFonts w:eastAsiaTheme="minorEastAsia"/>
          <w:sz w:val="24"/>
        </w:rPr>
      </w:pPr>
      <w:r>
        <w:rPr>
          <w:rFonts w:hint="eastAsia" w:eastAsiaTheme="minorEastAsia"/>
          <w:sz w:val="24"/>
        </w:rPr>
        <w:t>（三）科学预降池塘水位。根据天气预报的降雨量提前排水。例如：预测降雨量达500毫米（相当于池塘新增50厘米水），则需提前排掉50厘米水位，严防漫塘逃鱼。</w:t>
      </w:r>
    </w:p>
    <w:p w14:paraId="5489F126">
      <w:pPr>
        <w:spacing w:line="360" w:lineRule="auto"/>
        <w:ind w:firstLine="426"/>
        <w:rPr>
          <w:rFonts w:eastAsiaTheme="minorEastAsia"/>
          <w:sz w:val="24"/>
        </w:rPr>
      </w:pPr>
      <w:r>
        <w:rPr>
          <w:rFonts w:hint="eastAsia" w:eastAsiaTheme="minorEastAsia"/>
          <w:sz w:val="24"/>
        </w:rPr>
        <w:t>（四）及时加固和移动网箱。网箱养殖要提前加固固定绳索和网箱框架，及时清理网箱周边障碍物，防止网箱被冲走或冲垮。河口网箱养殖海参、大黄鱼等对盐度变化较敏感的品种，应提前将网箱移至外深海，远离入海口，转移过程中避免剧烈颠簸和密度过高。</w:t>
      </w:r>
    </w:p>
    <w:p w14:paraId="4AF5295A">
      <w:pPr>
        <w:spacing w:line="360" w:lineRule="auto"/>
        <w:ind w:firstLine="426"/>
        <w:rPr>
          <w:rFonts w:eastAsiaTheme="minorEastAsia"/>
          <w:sz w:val="24"/>
        </w:rPr>
      </w:pPr>
      <w:r>
        <w:rPr>
          <w:rFonts w:hint="eastAsia" w:eastAsiaTheme="minorEastAsia"/>
          <w:sz w:val="24"/>
        </w:rPr>
        <w:t>（五）备足应急发电设备。针对高密度养殖及苗种繁育场，停电极易导致全军覆没。暴雨前必须全面检修发电机、水泵等设施，备足燃油，并进行空载试运行，确保停电后15分钟内能迅速恢复供电增氧。</w:t>
      </w:r>
    </w:p>
    <w:p w14:paraId="3A4046C6">
      <w:pPr>
        <w:spacing w:line="360" w:lineRule="auto"/>
        <w:ind w:firstLine="426"/>
        <w:rPr>
          <w:rFonts w:eastAsiaTheme="minorEastAsia"/>
          <w:sz w:val="24"/>
        </w:rPr>
      </w:pPr>
      <w:r>
        <w:rPr>
          <w:rFonts w:hint="eastAsia" w:eastAsiaTheme="minorEastAsia"/>
          <w:sz w:val="24"/>
        </w:rPr>
        <w:t>二、暴雨中应对措施</w:t>
      </w:r>
    </w:p>
    <w:p w14:paraId="4EE7F50B">
      <w:pPr>
        <w:spacing w:line="360" w:lineRule="auto"/>
        <w:ind w:firstLine="426"/>
        <w:rPr>
          <w:rFonts w:eastAsiaTheme="minorEastAsia"/>
          <w:sz w:val="24"/>
        </w:rPr>
      </w:pPr>
      <w:r>
        <w:rPr>
          <w:rFonts w:hint="eastAsia" w:eastAsiaTheme="minorEastAsia"/>
          <w:sz w:val="24"/>
        </w:rPr>
        <w:t>（一）严防触电，确保人身安全。暴雨期间养殖区极度潮湿，易发生漏电、触电事故。严禁盲目涉水巡查，必须巡查时应穿戴绝缘水鞋等防护装备；保证安全前提下可利用雨歇间隙进行必要巡查与补救，重点巡查堤坝、闸门、增氧机线路和网箱固定装置。</w:t>
      </w:r>
    </w:p>
    <w:p w14:paraId="33B07C0A">
      <w:pPr>
        <w:spacing w:line="360" w:lineRule="auto"/>
        <w:ind w:firstLine="426"/>
        <w:rPr>
          <w:rFonts w:eastAsiaTheme="minorEastAsia"/>
          <w:sz w:val="24"/>
        </w:rPr>
      </w:pPr>
      <w:r>
        <w:rPr>
          <w:rFonts w:hint="eastAsia" w:eastAsiaTheme="minorEastAsia"/>
          <w:sz w:val="24"/>
        </w:rPr>
        <w:t>（二）果断停料，降低养殖应激。极端天气下水产动物极易产生强应激反应，降雨期间应全面停止投喂饲料，避免加重消化负担和水质恶化，待水质稳定后再逐步恢复投喂。</w:t>
      </w:r>
    </w:p>
    <w:p w14:paraId="14936BB2">
      <w:pPr>
        <w:spacing w:line="360" w:lineRule="auto"/>
        <w:ind w:firstLine="426"/>
        <w:rPr>
          <w:rFonts w:eastAsiaTheme="minorEastAsia"/>
          <w:sz w:val="24"/>
        </w:rPr>
      </w:pPr>
      <w:r>
        <w:rPr>
          <w:rFonts w:hint="eastAsia" w:eastAsiaTheme="minorEastAsia"/>
          <w:sz w:val="24"/>
        </w:rPr>
        <w:t>（三）及时增氧，预防浮头。暴雨洪涝发展过程中，随时巡查养殖池塘和养殖网箱，观察水质和水势变化情况，以及养殖水产品是否有浮头和应激现象。在养殖池塘中发现浮头，应及时打开增氧设施实施增氧，无机械增氧设备则可投化学增氧剂应急增氧。河道、库区网箱养殖要注意观察洪峰水位，及时将网箱拉到水质好、避风浪、远离泄洪道水域。</w:t>
      </w:r>
    </w:p>
    <w:p w14:paraId="769739E4">
      <w:pPr>
        <w:spacing w:line="360" w:lineRule="auto"/>
        <w:ind w:firstLine="426"/>
        <w:rPr>
          <w:rFonts w:eastAsiaTheme="minorEastAsia"/>
          <w:sz w:val="24"/>
        </w:rPr>
      </w:pPr>
      <w:r>
        <w:rPr>
          <w:rFonts w:hint="eastAsia" w:eastAsiaTheme="minorEastAsia"/>
          <w:sz w:val="24"/>
        </w:rPr>
        <w:t>三、暴雨后恢复措施</w:t>
      </w:r>
    </w:p>
    <w:p w14:paraId="2294E2CE">
      <w:pPr>
        <w:spacing w:line="360" w:lineRule="auto"/>
        <w:ind w:firstLine="426"/>
        <w:rPr>
          <w:rFonts w:eastAsiaTheme="minorEastAsia"/>
          <w:sz w:val="24"/>
        </w:rPr>
      </w:pPr>
      <w:r>
        <w:rPr>
          <w:rFonts w:hint="eastAsia" w:eastAsiaTheme="minorEastAsia"/>
          <w:sz w:val="24"/>
        </w:rPr>
        <w:t>（一）抢修道路，保障物流畅通。暴雨灾后第一时间的任务是清理淤泥、杂物，抢通养殖场内外道路，确保后续饲料运输、苗种调入及产品出塘等生产环节通畅。</w:t>
      </w:r>
    </w:p>
    <w:p w14:paraId="44CDBFCB">
      <w:pPr>
        <w:spacing w:line="360" w:lineRule="auto"/>
        <w:ind w:firstLine="426"/>
        <w:rPr>
          <w:rFonts w:eastAsiaTheme="minorEastAsia"/>
          <w:sz w:val="24"/>
        </w:rPr>
      </w:pPr>
      <w:r>
        <w:rPr>
          <w:rFonts w:hint="eastAsia" w:eastAsiaTheme="minorEastAsia"/>
          <w:sz w:val="24"/>
        </w:rPr>
        <w:t>（二）及时检查修复养殖设施，保障生产。暴雨洪涝过后，应及时检查养殖设施和水产品损失情况。对毁坏的池塘和网箱等生产设施要及时修复。养殖设施无法修复的，要及时捕捞，减少损失。对受损的电力线路、增氧设备、水泵等，需由专业人员检修合格后方可通电使用。</w:t>
      </w:r>
    </w:p>
    <w:p w14:paraId="2443A91D">
      <w:pPr>
        <w:spacing w:line="360" w:lineRule="auto"/>
        <w:ind w:firstLine="426"/>
        <w:rPr>
          <w:rFonts w:eastAsiaTheme="minorEastAsia"/>
          <w:sz w:val="24"/>
        </w:rPr>
      </w:pPr>
      <w:r>
        <w:rPr>
          <w:rFonts w:hint="eastAsia" w:eastAsiaTheme="minorEastAsia"/>
          <w:sz w:val="24"/>
        </w:rPr>
        <w:t>（三）消毒调水，做好疫病预防。针对雨水可能带来的酸雨及地表污染物，应及时使用生石灰、漂白粉或碘制剂对水体进行消毒调水，避免灾后出现大规模的细菌性疾病；同时在饲料中适量拌喂维生素C等免疫增强剂，提高鱼体抗病力和抗应激能力。发现养殖水产品死亡，应及时打捞，按照《病死水生动物及病害水生动物产品无害化处理规程》（SC/T 7015-2022）进行无害化处理，严禁随意丢弃或出售病死水生动物，避免出现水生动物疫情。</w:t>
      </w:r>
    </w:p>
    <w:p w14:paraId="52BB7342">
      <w:pPr>
        <w:spacing w:line="360" w:lineRule="auto"/>
        <w:ind w:firstLine="426"/>
        <w:rPr>
          <w:rFonts w:eastAsiaTheme="minorEastAsia"/>
          <w:sz w:val="24"/>
        </w:rPr>
      </w:pPr>
      <w:r>
        <w:rPr>
          <w:rFonts w:hint="eastAsia" w:eastAsiaTheme="minorEastAsia"/>
          <w:sz w:val="24"/>
        </w:rPr>
        <w:t>（四）打破分层，加大增氧力度。暴雨易导致池塘水体上下分层（表层溶氧高、底层溶氧低），需立即开启增氧机或使用化学增氧剂，增加水体上下对流，防止缺氧泛塘，增氧强度应较日常适度提高。</w:t>
      </w:r>
    </w:p>
    <w:p w14:paraId="7C418DE1">
      <w:pPr>
        <w:spacing w:line="360" w:lineRule="auto"/>
        <w:ind w:firstLine="426"/>
        <w:rPr>
          <w:rFonts w:eastAsiaTheme="minorEastAsia"/>
          <w:sz w:val="24"/>
        </w:rPr>
      </w:pPr>
      <w:r>
        <w:rPr>
          <w:rFonts w:hint="eastAsia" w:eastAsiaTheme="minorEastAsia"/>
          <w:sz w:val="24"/>
        </w:rPr>
        <w:t>（五）精准评估，及时补苗复产。对逃逸或死亡的苗种进行准确盘点和损失评估。结合塘租、劳动力等成本核算，按照年初投苗计划倒推，抢抓农时迅速补放苗种，将空塘闲置损失降到最低。</w:t>
      </w:r>
    </w:p>
    <w:p w14:paraId="79ECE7F2">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农业农村部渔业渔政管理局、全国水产技术推广总站</w:t>
      </w:r>
    </w:p>
    <w:p w14:paraId="108B2ED2">
      <w:pPr>
        <w:spacing w:line="360" w:lineRule="auto"/>
        <w:jc w:val="center"/>
        <w:outlineLvl w:val="1"/>
        <w:rPr>
          <w:rFonts w:eastAsia="黑体"/>
          <w:b/>
          <w:bCs/>
          <w:sz w:val="32"/>
          <w:szCs w:val="32"/>
        </w:rPr>
      </w:pPr>
    </w:p>
    <w:p w14:paraId="468FE42A">
      <w:pPr>
        <w:spacing w:line="360" w:lineRule="auto"/>
        <w:jc w:val="center"/>
        <w:outlineLvl w:val="1"/>
        <w:rPr>
          <w:rFonts w:eastAsia="黑体"/>
          <w:b/>
          <w:bCs/>
          <w:sz w:val="32"/>
          <w:szCs w:val="32"/>
        </w:rPr>
      </w:pPr>
    </w:p>
    <w:p w14:paraId="1930E9BD">
      <w:pPr>
        <w:spacing w:line="360" w:lineRule="auto"/>
        <w:jc w:val="center"/>
        <w:outlineLvl w:val="1"/>
        <w:rPr>
          <w:rFonts w:eastAsia="黑体"/>
          <w:b/>
          <w:bCs/>
          <w:sz w:val="32"/>
          <w:szCs w:val="32"/>
        </w:rPr>
      </w:pPr>
    </w:p>
    <w:p w14:paraId="0483C045">
      <w:pPr>
        <w:spacing w:line="360" w:lineRule="auto"/>
        <w:jc w:val="center"/>
        <w:outlineLvl w:val="1"/>
        <w:rPr>
          <w:rFonts w:eastAsia="黑体"/>
          <w:b/>
          <w:bCs/>
          <w:sz w:val="32"/>
          <w:szCs w:val="32"/>
        </w:rPr>
      </w:pPr>
      <w:bookmarkStart w:id="4" w:name="_Toc230941920"/>
      <w:r>
        <w:rPr>
          <w:rFonts w:hint="eastAsia" w:eastAsia="黑体"/>
          <w:b/>
          <w:bCs/>
          <w:sz w:val="32"/>
          <w:szCs w:val="32"/>
        </w:rPr>
        <w:t>2026年拟审定通过水产新品种的公示</w:t>
      </w:r>
      <w:bookmarkEnd w:id="4"/>
    </w:p>
    <w:p w14:paraId="4D73CAEB">
      <w:pPr>
        <w:spacing w:line="360" w:lineRule="auto"/>
        <w:ind w:firstLine="480" w:firstLineChars="200"/>
        <w:rPr>
          <w:rFonts w:eastAsiaTheme="minorEastAsia"/>
          <w:sz w:val="24"/>
        </w:rPr>
      </w:pPr>
      <w:r>
        <w:rPr>
          <w:rFonts w:hint="eastAsia" w:eastAsiaTheme="minorEastAsia"/>
          <w:sz w:val="24"/>
        </w:rPr>
        <w:t>按照《中华人民共和国渔业法》和《水产苗种管理办法》有关规定，现将2026年拟审定通过的金鲳“蓝粮1号”等30个水产新品种予以公示，公示期为14日（2026年5月22日至6月4日）。公示期间，对上述30个水产新品种有异议的，可向全国水产品种审定委员会秘书处反映。反映人需用真实姓名，并提供手机号码、电子邮件等联系方式，单位反映需提供书面材料并加盖单位公章。</w:t>
      </w:r>
    </w:p>
    <w:p w14:paraId="6E3C6785">
      <w:pPr>
        <w:spacing w:line="360" w:lineRule="auto"/>
        <w:ind w:firstLine="480" w:firstLineChars="200"/>
        <w:rPr>
          <w:rFonts w:eastAsiaTheme="minorEastAsia"/>
          <w:sz w:val="24"/>
        </w:rPr>
      </w:pPr>
      <w:r>
        <w:rPr>
          <w:rFonts w:hint="eastAsia" w:eastAsiaTheme="minorEastAsia"/>
          <w:sz w:val="24"/>
        </w:rPr>
        <w:t>联系单位：全国水产品种审定委员会秘书处</w:t>
      </w:r>
    </w:p>
    <w:p w14:paraId="1E5C4477">
      <w:pPr>
        <w:spacing w:line="360" w:lineRule="auto"/>
        <w:ind w:firstLine="480" w:firstLineChars="200"/>
        <w:rPr>
          <w:rFonts w:eastAsiaTheme="minorEastAsia"/>
          <w:sz w:val="24"/>
        </w:rPr>
      </w:pPr>
      <w:r>
        <w:rPr>
          <w:rFonts w:hint="eastAsia" w:eastAsiaTheme="minorEastAsia"/>
          <w:sz w:val="24"/>
        </w:rPr>
        <w:t>单位地址：北京市朝阳区麦子店街18号楼</w:t>
      </w:r>
    </w:p>
    <w:p w14:paraId="54BB597A">
      <w:pPr>
        <w:spacing w:line="360" w:lineRule="auto"/>
        <w:ind w:firstLine="480" w:firstLineChars="200"/>
        <w:rPr>
          <w:rFonts w:eastAsiaTheme="minorEastAsia"/>
          <w:sz w:val="24"/>
        </w:rPr>
      </w:pPr>
      <w:r>
        <w:rPr>
          <w:rFonts w:hint="eastAsia" w:eastAsiaTheme="minorEastAsia"/>
          <w:sz w:val="24"/>
        </w:rPr>
        <w:t>邮政编码：100125</w:t>
      </w:r>
    </w:p>
    <w:p w14:paraId="32648BC4">
      <w:pPr>
        <w:spacing w:line="360" w:lineRule="auto"/>
        <w:ind w:firstLine="480" w:firstLineChars="200"/>
        <w:rPr>
          <w:rFonts w:eastAsiaTheme="minorEastAsia"/>
          <w:sz w:val="24"/>
        </w:rPr>
      </w:pPr>
      <w:r>
        <w:rPr>
          <w:rFonts w:hint="eastAsia" w:eastAsiaTheme="minorEastAsia"/>
          <w:sz w:val="24"/>
        </w:rPr>
        <w:t>联系电话：010-59195032</w:t>
      </w:r>
    </w:p>
    <w:p w14:paraId="5652AE00">
      <w:pPr>
        <w:spacing w:line="360" w:lineRule="auto"/>
        <w:ind w:firstLine="480" w:firstLineChars="200"/>
        <w:rPr>
          <w:rFonts w:eastAsiaTheme="minorEastAsia"/>
          <w:sz w:val="24"/>
        </w:rPr>
      </w:pPr>
      <w:r>
        <w:rPr>
          <w:rFonts w:hint="eastAsia" w:eastAsiaTheme="minorEastAsia"/>
          <w:sz w:val="24"/>
        </w:rPr>
        <w:t>电子邮箱：aquseed＠163.com</w:t>
      </w:r>
    </w:p>
    <w:p w14:paraId="3CEA2100">
      <w:pPr>
        <w:spacing w:line="360" w:lineRule="auto"/>
        <w:ind w:firstLine="480" w:firstLineChars="200"/>
        <w:rPr>
          <w:rFonts w:eastAsiaTheme="minorEastAsia"/>
          <w:sz w:val="24"/>
        </w:rPr>
      </w:pPr>
      <w:r>
        <w:rPr>
          <w:rFonts w:hint="eastAsia" w:eastAsiaTheme="minorEastAsia"/>
          <w:sz w:val="24"/>
        </w:rPr>
        <w:t>附件详见：</w:t>
      </w:r>
      <w:r>
        <w:rPr>
          <w:rFonts w:eastAsiaTheme="minorEastAsia"/>
          <w:sz w:val="24"/>
        </w:rPr>
        <w:fldChar w:fldCharType="begin"/>
      </w:r>
      <w:r>
        <w:rPr>
          <w:rFonts w:eastAsiaTheme="minorEastAsia"/>
          <w:sz w:val="24"/>
        </w:rPr>
        <w:instrText xml:space="preserve">HYPERLINK "https://yyj.moa.gov.cn/tzgg/202605/t20260522_6484370.htm"</w:instrText>
      </w:r>
      <w:r>
        <w:rPr>
          <w:rFonts w:eastAsiaTheme="minorEastAsia"/>
          <w:sz w:val="24"/>
        </w:rPr>
        <w:fldChar w:fldCharType="separate"/>
      </w:r>
      <w:r>
        <w:rPr>
          <w:rStyle w:val="24"/>
          <w:rFonts w:eastAsiaTheme="minorEastAsia"/>
          <w:sz w:val="24"/>
        </w:rPr>
        <w:t>https://yyj.moa.gov.cn/tzgg/202605/t20260522_6484370.htm</w:t>
      </w:r>
      <w:r>
        <w:rPr>
          <w:rFonts w:eastAsiaTheme="minorEastAsia"/>
          <w:sz w:val="24"/>
        </w:rPr>
        <w:fldChar w:fldCharType="end"/>
      </w:r>
      <w:r>
        <w:rPr>
          <w:rFonts w:eastAsiaTheme="minorEastAsia"/>
          <w:sz w:val="24"/>
        </w:rPr>
        <w:t xml:space="preserve"> </w:t>
      </w:r>
    </w:p>
    <w:p w14:paraId="7D00BF29">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农业农村部渔业渔政管理局</w:t>
      </w:r>
    </w:p>
    <w:p w14:paraId="20B270A6">
      <w:pPr>
        <w:jc w:val="center"/>
        <w:outlineLvl w:val="1"/>
        <w:rPr>
          <w:rFonts w:eastAsia="黑体"/>
          <w:b/>
          <w:bCs/>
          <w:sz w:val="32"/>
          <w:szCs w:val="32"/>
        </w:rPr>
      </w:pPr>
      <w:bookmarkStart w:id="5" w:name="_Toc230941921"/>
      <w:r>
        <w:rPr>
          <w:rFonts w:hint="eastAsia" w:eastAsia="黑体"/>
          <w:b/>
          <w:bCs/>
          <w:sz w:val="32"/>
          <w:szCs w:val="32"/>
        </w:rPr>
        <w:t>2026年6月全国水产养殖病害预测预报</w:t>
      </w:r>
      <w:bookmarkEnd w:id="5"/>
    </w:p>
    <w:p w14:paraId="78984161">
      <w:pPr>
        <w:spacing w:line="360" w:lineRule="auto"/>
        <w:ind w:firstLine="480" w:firstLineChars="200"/>
        <w:rPr>
          <w:sz w:val="24"/>
        </w:rPr>
      </w:pPr>
      <w:r>
        <w:rPr>
          <w:rFonts w:hint="eastAsia"/>
          <w:sz w:val="24"/>
        </w:rPr>
        <w:t>为保障水产品质量安全，抓好水产养殖病害防控工作，从源头降低病害发生风险，减少用药，推动实现“质量安全、尾水达标、环境优美、渔民增收”相统一的高质量水产养殖。全国水产技术推广总站、农业农村部水产养殖病害防治专家委员会根据近年同期全国水产养殖病情测报数据和今年天气情况，对6月易发疾病进行了预测，供参考。</w:t>
      </w:r>
    </w:p>
    <w:p w14:paraId="04112578">
      <w:pPr>
        <w:spacing w:line="360" w:lineRule="auto"/>
        <w:ind w:firstLine="480" w:firstLineChars="200"/>
        <w:rPr>
          <w:sz w:val="24"/>
        </w:rPr>
      </w:pPr>
      <w:r>
        <w:rPr>
          <w:rFonts w:hint="eastAsia"/>
          <w:sz w:val="24"/>
        </w:rPr>
        <w:t>6月，全国进入初夏时节，气温高、湿度大，短时强降雨、雷阵雨等强对流天气多发。此阶段养殖水体易出现温度骤变、溶氧不足、水体浑浊等问题，水环境稳定性下降，病原体滋生繁殖速度加快，是水产养殖病害高发期。广大养殖场（户）应根据初夏气候特点，提前检修养殖塘口堤坝、围栏、机电等设施设备，做好防汛排涝准备，确保养殖生产平稳有序，做好防灾减灾。</w:t>
      </w:r>
    </w:p>
    <w:p w14:paraId="20D7308E">
      <w:pPr>
        <w:spacing w:line="360" w:lineRule="auto"/>
        <w:ind w:firstLine="480" w:firstLineChars="200"/>
        <w:rPr>
          <w:sz w:val="24"/>
        </w:rPr>
      </w:pPr>
      <w:r>
        <w:rPr>
          <w:rFonts w:hint="eastAsia"/>
          <w:sz w:val="24"/>
        </w:rPr>
        <w:t>一、易发疾病</w:t>
      </w:r>
    </w:p>
    <w:p w14:paraId="7A6E87C2">
      <w:pPr>
        <w:spacing w:line="360" w:lineRule="auto"/>
        <w:ind w:firstLine="480" w:firstLineChars="200"/>
        <w:rPr>
          <w:sz w:val="24"/>
        </w:rPr>
      </w:pPr>
      <w:r>
        <w:rPr>
          <w:rFonts w:hint="eastAsia"/>
          <w:sz w:val="24"/>
        </w:rPr>
        <w:t>6月水产养殖应该重点关注草鱼出血病、传染性脾肾坏死病、鲫造血器官坏死病、淡水鱼细菌性败血症、细菌性肠炎病、柱状黄杆菌病、链球菌病、车轮虫病、锚头鳋病、刺激隐核虫病、锥体虫病、白斑综合征、十足目虹彩病毒病、急性肝胰腺坏死病、虾肝肠胞虫病等。</w:t>
      </w:r>
    </w:p>
    <w:p w14:paraId="7D5B04F3">
      <w:pPr>
        <w:spacing w:line="360" w:lineRule="auto"/>
        <w:ind w:firstLine="480" w:firstLineChars="200"/>
        <w:rPr>
          <w:sz w:val="24"/>
        </w:rPr>
      </w:pPr>
      <w:r>
        <w:rPr>
          <w:rFonts w:hint="eastAsia"/>
          <w:sz w:val="24"/>
        </w:rPr>
        <w:t>（一）鱼类疾病</w:t>
      </w:r>
    </w:p>
    <w:p w14:paraId="27D9D8A3">
      <w:pPr>
        <w:spacing w:line="360" w:lineRule="auto"/>
        <w:ind w:firstLine="480" w:firstLineChars="200"/>
        <w:rPr>
          <w:sz w:val="24"/>
        </w:rPr>
      </w:pPr>
      <w:r>
        <w:rPr>
          <w:rFonts w:hint="eastAsia"/>
          <w:sz w:val="24"/>
        </w:rPr>
        <w:t>1.草鱼出血病：病原为草鱼呼肠孤病毒，主要危害草鱼及青鱼，水温20℃～30℃时易发病。患病鱼鳍基或鳃盖出血，解剖查验可见肌肉出血呈鲜红色、肠壁充血、肝脾充血等症状。广东、湖北、江西、湖南等草鱼主养区应重点予以关注并做好预防。</w:t>
      </w:r>
    </w:p>
    <w:p w14:paraId="6B58B084">
      <w:pPr>
        <w:spacing w:line="360" w:lineRule="auto"/>
        <w:ind w:firstLine="480" w:firstLineChars="200"/>
        <w:rPr>
          <w:sz w:val="24"/>
        </w:rPr>
      </w:pPr>
      <w:r>
        <w:rPr>
          <w:rFonts w:hint="eastAsia"/>
          <w:sz w:val="24"/>
        </w:rPr>
        <w:t>2.传染性脾肾坏死病：病原为传染性脾肾坏死病毒，主要危害鳜、大口黑鲈等海淡水鱼类，水温25℃～34℃时易发病。病鱼身体失去平衡，鳃贫血呈苍白色，解剖可见脾肾肿大、充血、糜烂，常见有腹水。广东、湖北、安徽、浙江等鳜、大口黑鲈主养区应予以关注并做好预防。</w:t>
      </w:r>
    </w:p>
    <w:p w14:paraId="4478A6D9">
      <w:pPr>
        <w:spacing w:line="360" w:lineRule="auto"/>
        <w:ind w:firstLine="480" w:firstLineChars="200"/>
        <w:rPr>
          <w:sz w:val="24"/>
        </w:rPr>
      </w:pPr>
      <w:r>
        <w:rPr>
          <w:rFonts w:hint="eastAsia"/>
          <w:sz w:val="24"/>
        </w:rPr>
        <w:t>3.鲫造血器官坏死病：病原为鲤疱疹病毒II型，主要危害金鱼、鲫及鲫杂交变种，水温10℃～33℃时易发病。患病鱼游动缓慢，体表广泛性充血或出血，尤其以鳃盖、下颌、前胸和腹部最为严重。患病鱼解剖后可见淡黄色或红色腹水，肝、脾、肾等器官肿大。江苏、湖北等鲫主养区应重点予以关注并做好预防。</w:t>
      </w:r>
    </w:p>
    <w:p w14:paraId="63A5A613">
      <w:pPr>
        <w:spacing w:line="360" w:lineRule="auto"/>
        <w:ind w:firstLine="480" w:firstLineChars="200"/>
        <w:rPr>
          <w:sz w:val="24"/>
        </w:rPr>
      </w:pPr>
      <w:r>
        <w:rPr>
          <w:rFonts w:hint="eastAsia"/>
          <w:sz w:val="24"/>
        </w:rPr>
        <w:t>4.淡水鱼细菌性败血症：病原为嗜水气单胞菌、温和气单胞菌等多种细菌，危害鲫、鳊、鲢、鳙、乌鳢、黄鳝等多种淡水鱼类，水温9℃～36℃时易发病。病鱼离群缓慢游动，眼球突出，体表充血，鳃、肝、肾颜色较淡，呈花斑状。病情严重时死亡率达90%以上。全国各淡水养鱼地区需重点防控。</w:t>
      </w:r>
    </w:p>
    <w:p w14:paraId="64E11F89">
      <w:pPr>
        <w:spacing w:line="360" w:lineRule="auto"/>
        <w:ind w:firstLine="480" w:firstLineChars="200"/>
        <w:rPr>
          <w:sz w:val="24"/>
        </w:rPr>
      </w:pPr>
      <w:r>
        <w:rPr>
          <w:rFonts w:hint="eastAsia"/>
          <w:sz w:val="24"/>
        </w:rPr>
        <w:t>5.细菌性肠炎病：病原为肠型点状气单胞菌、豚鼠气单胞菌、嗜水气单胞菌等革兰氏阴性短杆菌，主要危害草鱼、青鱼、鲤、大口黑鲈、泥鳅等淡水鱼类，水温在18℃以上开始流行。患病鱼肛门红肿外突，解剖查验可见肠道充血发红，尤以肠后段明显。全国各鱼类养殖地区均应重点防控。</w:t>
      </w:r>
    </w:p>
    <w:p w14:paraId="2B83B58B">
      <w:pPr>
        <w:spacing w:line="360" w:lineRule="auto"/>
        <w:ind w:firstLine="480" w:firstLineChars="200"/>
        <w:rPr>
          <w:sz w:val="24"/>
        </w:rPr>
      </w:pPr>
      <w:r>
        <w:rPr>
          <w:rFonts w:hint="eastAsia"/>
          <w:sz w:val="24"/>
        </w:rPr>
        <w:t>6.柱状黄杆菌病：俗称“烂鳃病”，是一种比较常见的鱼病，传播快，病程长，一经发病便难控制其蔓延。该病在水温15℃以上开始发病，20℃以上开始流行。危害品种主要有草鱼、青鱼、鲤、鲫、鳊、鲢、大口黑鲈等，应引起全国各淡水鱼类养殖地区的重视。</w:t>
      </w:r>
    </w:p>
    <w:p w14:paraId="76D8691D">
      <w:pPr>
        <w:spacing w:line="360" w:lineRule="auto"/>
        <w:ind w:firstLine="480" w:firstLineChars="200"/>
        <w:rPr>
          <w:sz w:val="24"/>
        </w:rPr>
      </w:pPr>
      <w:r>
        <w:rPr>
          <w:rFonts w:hint="eastAsia"/>
          <w:sz w:val="24"/>
        </w:rPr>
        <w:t>7.链球菌病：病原为海豚链球菌、无乳链球菌等革兰氏阳性菌，主要危害罗非鱼。水温25℃～35℃时流行，高于28℃时易暴发。患病鱼游动异常，眼球突出，鳃盖内侧发红、充血或出血。广东、海南等罗非鱼主养区应重点予以关注并做好预防。</w:t>
      </w:r>
    </w:p>
    <w:p w14:paraId="674572A5">
      <w:pPr>
        <w:spacing w:line="360" w:lineRule="auto"/>
        <w:ind w:firstLine="480" w:firstLineChars="200"/>
        <w:rPr>
          <w:sz w:val="24"/>
        </w:rPr>
      </w:pPr>
      <w:r>
        <w:rPr>
          <w:rFonts w:hint="eastAsia"/>
          <w:sz w:val="24"/>
        </w:rPr>
        <w:t>8.车轮虫病：病原为车轮虫，主要危害各种淡水和半咸水鱼类，一年四季均可发生，适宜水温20℃～28℃。车轮虫一般寄生在鱼类体表、鳃和鼻孔处，大量寄生时会刺激鳃丝分泌黏液，形成黏液层，妨碍病鱼呼吸。全国各淡水及半咸水养鱼地区需重点防控。</w:t>
      </w:r>
    </w:p>
    <w:p w14:paraId="6E4C208B">
      <w:pPr>
        <w:spacing w:line="360" w:lineRule="auto"/>
        <w:ind w:firstLine="480" w:firstLineChars="200"/>
        <w:rPr>
          <w:sz w:val="24"/>
        </w:rPr>
      </w:pPr>
      <w:r>
        <w:rPr>
          <w:rFonts w:hint="eastAsia"/>
          <w:sz w:val="24"/>
        </w:rPr>
        <w:t>9.锚头鳋病：病原为锚头鳋，主要危害鲤、鲫、鳊、鲢、鳙、草鱼、乌鳢等淡水鱼类，繁殖适温为12℃～33℃。锚头鳋一般寄生在鱼类肌肉、鳞下、口腔等部位，患病鱼食欲减退、身体瘦弱、烦躁不安，体表或鳞片腹面可见细针状虫体。全国各淡水鱼类养殖地区均需重视。</w:t>
      </w:r>
    </w:p>
    <w:p w14:paraId="79897751">
      <w:pPr>
        <w:spacing w:line="360" w:lineRule="auto"/>
        <w:ind w:firstLine="480" w:firstLineChars="200"/>
        <w:rPr>
          <w:sz w:val="24"/>
        </w:rPr>
      </w:pPr>
      <w:r>
        <w:rPr>
          <w:rFonts w:hint="eastAsia"/>
          <w:sz w:val="24"/>
        </w:rPr>
        <w:t>10.刺激隐核虫病：俗称“海水小瓜虫病”，病原为刺激隐核虫，主要危害大黄鱼、卵形鲳鲹和石斑鱼等海水鱼类，水温10℃～30℃时易发病，22℃～26℃时为流行高峰。患病鱼游动缓慢，鱼体瘦弱，体表、眼角膜、鳃和口腔周围可观察到小白点。沿海各省份应重点予以关注并做好预防。</w:t>
      </w:r>
    </w:p>
    <w:p w14:paraId="29B36453">
      <w:pPr>
        <w:spacing w:line="360" w:lineRule="auto"/>
        <w:ind w:firstLine="480" w:firstLineChars="200"/>
        <w:rPr>
          <w:sz w:val="24"/>
        </w:rPr>
      </w:pPr>
      <w:r>
        <w:rPr>
          <w:rFonts w:hint="eastAsia"/>
          <w:sz w:val="24"/>
        </w:rPr>
        <w:t>11.锥体虫病：病原为锥体虫，主要危害大黄鱼、石斑鱼等海淡水鱼类，一年四季均可发生，流行于6～10月。锥体虫寄生在鱼类血液中，病鱼早期不表现明显症状，严重感染时病鱼反应迟钝，血液变淡、贫血严重，鳃盖、头部及体表出现溃烂，肝、脾、肾明显肿大。福建、浙江等大黄鱼主养区应重点予以关注并做好预防。</w:t>
      </w:r>
    </w:p>
    <w:p w14:paraId="621C8E68">
      <w:pPr>
        <w:spacing w:line="360" w:lineRule="auto"/>
        <w:ind w:firstLine="480" w:firstLineChars="200"/>
        <w:rPr>
          <w:sz w:val="24"/>
        </w:rPr>
      </w:pPr>
      <w:r>
        <w:rPr>
          <w:rFonts w:hint="eastAsia"/>
          <w:sz w:val="24"/>
        </w:rPr>
        <w:t>（二）甲壳类疾病</w:t>
      </w:r>
    </w:p>
    <w:p w14:paraId="7C9005D7">
      <w:pPr>
        <w:spacing w:line="360" w:lineRule="auto"/>
        <w:ind w:firstLine="480" w:firstLineChars="200"/>
        <w:rPr>
          <w:sz w:val="24"/>
        </w:rPr>
      </w:pPr>
      <w:r>
        <w:rPr>
          <w:rFonts w:hint="eastAsia"/>
          <w:sz w:val="24"/>
        </w:rPr>
        <w:t>1.白斑综合征：病原为白斑综合征病毒，主要危害对虾、克氏原螯虾、中华绒螯蟹等甲壳类动物，水温20℃～30℃易发病。该病发病急，死亡率高。病虾行动异常，甲壳上出现白点，白点直径小于3毫米或连成片。各对虾主养区应重点予以关注并做好预防。</w:t>
      </w:r>
    </w:p>
    <w:p w14:paraId="3C3D160C">
      <w:pPr>
        <w:spacing w:line="360" w:lineRule="auto"/>
        <w:ind w:firstLine="480" w:firstLineChars="200"/>
        <w:rPr>
          <w:sz w:val="24"/>
        </w:rPr>
      </w:pPr>
      <w:r>
        <w:rPr>
          <w:rFonts w:hint="eastAsia"/>
          <w:sz w:val="24"/>
        </w:rPr>
        <w:t>2.十足目虹彩病毒病：病原为十足目虹彩病毒I型，主要危害南美白对虾、罗氏沼虾、日本沼虾、克氏原螯虾等，水温16℃～32℃易发病。病虾活力下降、停止摄食，额剑基部甲壳下呈现白色三角区域病变，俗称“白头”。各南美白对虾、罗氏沼虾主养区应重点予以关注并做好预防。</w:t>
      </w:r>
    </w:p>
    <w:p w14:paraId="0E839777">
      <w:pPr>
        <w:spacing w:line="360" w:lineRule="auto"/>
        <w:ind w:firstLine="480" w:firstLineChars="200"/>
        <w:rPr>
          <w:sz w:val="24"/>
        </w:rPr>
      </w:pPr>
      <w:r>
        <w:rPr>
          <w:rFonts w:hint="eastAsia"/>
          <w:sz w:val="24"/>
        </w:rPr>
        <w:t>3.急性肝胰腺坏死病：病原为携带特定毒力基因的弧菌，包括副溶血弧菌、哈维氏弧菌等，主要危害对虾。病虾活力下降，肝胰腺变白、萎缩并出现黑色斑点和条纹。各对虾主养区应重点予以关注并做好预防。</w:t>
      </w:r>
    </w:p>
    <w:p w14:paraId="6956602F">
      <w:pPr>
        <w:spacing w:line="360" w:lineRule="auto"/>
        <w:ind w:firstLine="480" w:firstLineChars="200"/>
        <w:rPr>
          <w:sz w:val="24"/>
        </w:rPr>
      </w:pPr>
      <w:r>
        <w:rPr>
          <w:rFonts w:hint="eastAsia"/>
          <w:sz w:val="24"/>
        </w:rPr>
        <w:t>4.虾肝肠胞虫病：病原为虾肝肠胞虫，主要危害对虾，发病水温为24℃～31℃。病虾出现个体瘦小、肝胰腺颜色深、群体中体长差异大等症状。各对虾主养区需重点防控。</w:t>
      </w:r>
    </w:p>
    <w:p w14:paraId="31B4CE81">
      <w:pPr>
        <w:spacing w:line="360" w:lineRule="auto"/>
        <w:ind w:firstLine="480" w:firstLineChars="200"/>
        <w:rPr>
          <w:sz w:val="24"/>
        </w:rPr>
      </w:pPr>
      <w:r>
        <w:rPr>
          <w:rFonts w:hint="eastAsia"/>
          <w:sz w:val="24"/>
        </w:rPr>
        <w:t>（三）部分养殖重点品种疾病</w:t>
      </w:r>
    </w:p>
    <w:p w14:paraId="00630621">
      <w:pPr>
        <w:spacing w:line="360" w:lineRule="auto"/>
        <w:ind w:firstLine="480" w:firstLineChars="200"/>
        <w:rPr>
          <w:sz w:val="24"/>
        </w:rPr>
      </w:pPr>
      <w:r>
        <w:rPr>
          <w:rFonts w:hint="eastAsia"/>
          <w:sz w:val="24"/>
        </w:rPr>
        <w:t>1.鳊：6月易发疾病有淡水鱼细菌性败血症、细菌性肠炎病、柱状黄杆菌病、指环虫病、锚头鳋病等。</w:t>
      </w:r>
    </w:p>
    <w:p w14:paraId="71EEDC9A">
      <w:pPr>
        <w:spacing w:line="360" w:lineRule="auto"/>
        <w:ind w:firstLine="480" w:firstLineChars="200"/>
        <w:rPr>
          <w:sz w:val="24"/>
        </w:rPr>
      </w:pPr>
      <w:r>
        <w:rPr>
          <w:rFonts w:hint="eastAsia"/>
          <w:sz w:val="24"/>
        </w:rPr>
        <w:t>2.大口黑鲈：6月易发疾病有蛙虹彩病毒病、鲈弹状病毒病等病毒病；诺卡氏菌病、柱状黄杆菌病、细菌性肠炎病等细菌病；车轮虫病、锚头鳋病等寄生虫病。</w:t>
      </w:r>
    </w:p>
    <w:p w14:paraId="7391FE20">
      <w:pPr>
        <w:spacing w:line="360" w:lineRule="auto"/>
        <w:ind w:firstLine="480" w:firstLineChars="200"/>
        <w:rPr>
          <w:sz w:val="24"/>
        </w:rPr>
      </w:pPr>
      <w:r>
        <w:rPr>
          <w:rFonts w:hint="eastAsia"/>
          <w:sz w:val="24"/>
        </w:rPr>
        <w:t>3.鲫：6月易发疾病有鲫造血器官坏死病、淡水鱼细菌性败血症、柱状黄杆菌病、黏孢子虫病等。</w:t>
      </w:r>
    </w:p>
    <w:p w14:paraId="42CEF55B">
      <w:pPr>
        <w:spacing w:line="360" w:lineRule="auto"/>
        <w:ind w:firstLine="480" w:firstLineChars="200"/>
        <w:rPr>
          <w:sz w:val="24"/>
        </w:rPr>
      </w:pPr>
      <w:r>
        <w:rPr>
          <w:rFonts w:hint="eastAsia"/>
          <w:sz w:val="24"/>
        </w:rPr>
        <w:t>4.乌鳢：6月易发疾病有乌鳢弹状病毒病、淡水鱼细菌性败血症、诺卡氏菌病、车轮虫病等。</w:t>
      </w:r>
    </w:p>
    <w:p w14:paraId="18A774E9">
      <w:pPr>
        <w:spacing w:line="360" w:lineRule="auto"/>
        <w:ind w:firstLine="480" w:firstLineChars="200"/>
        <w:rPr>
          <w:sz w:val="24"/>
        </w:rPr>
      </w:pPr>
      <w:r>
        <w:rPr>
          <w:rFonts w:hint="eastAsia"/>
          <w:sz w:val="24"/>
        </w:rPr>
        <w:t>5.黄鳝：6月易发疾病有淡水鱼细菌性败血症、腐皮病、车轮虫病等。</w:t>
      </w:r>
    </w:p>
    <w:p w14:paraId="6B3CC1BE">
      <w:pPr>
        <w:spacing w:line="360" w:lineRule="auto"/>
        <w:ind w:firstLine="480" w:firstLineChars="200"/>
        <w:rPr>
          <w:sz w:val="24"/>
        </w:rPr>
      </w:pPr>
      <w:r>
        <w:rPr>
          <w:rFonts w:hint="eastAsia"/>
          <w:sz w:val="24"/>
        </w:rPr>
        <w:t>6.泥鳅：6月易发疾病有细菌性肠炎病、腐皮病等。</w:t>
      </w:r>
    </w:p>
    <w:p w14:paraId="14E19195">
      <w:pPr>
        <w:spacing w:line="360" w:lineRule="auto"/>
        <w:ind w:firstLine="480" w:firstLineChars="200"/>
        <w:rPr>
          <w:sz w:val="24"/>
        </w:rPr>
      </w:pPr>
      <w:r>
        <w:rPr>
          <w:rFonts w:hint="eastAsia"/>
          <w:sz w:val="24"/>
        </w:rPr>
        <w:t>7.牛蛙：6月易发疾病有细菌性肠炎病、红腿病等。</w:t>
      </w:r>
    </w:p>
    <w:p w14:paraId="2C9AC8D6">
      <w:pPr>
        <w:spacing w:line="360" w:lineRule="auto"/>
        <w:ind w:firstLine="480" w:firstLineChars="200"/>
        <w:rPr>
          <w:sz w:val="24"/>
        </w:rPr>
      </w:pPr>
      <w:r>
        <w:rPr>
          <w:rFonts w:hint="eastAsia"/>
          <w:sz w:val="24"/>
        </w:rPr>
        <w:t>二、防控建议</w:t>
      </w:r>
    </w:p>
    <w:p w14:paraId="49178D10">
      <w:pPr>
        <w:spacing w:line="360" w:lineRule="auto"/>
        <w:ind w:firstLine="480" w:firstLineChars="200"/>
        <w:rPr>
          <w:sz w:val="24"/>
        </w:rPr>
      </w:pPr>
      <w:r>
        <w:rPr>
          <w:rFonts w:hint="eastAsia"/>
          <w:sz w:val="24"/>
        </w:rPr>
        <w:t>（一）合理控制养殖密度。结合水产养殖对象、水体循环能力、水域环境承载力等，科学核定养殖容量、控制放养密度。避免盲目高密度养殖，防范养殖负荷过高引发水质底质恶化、水体溶氧不足等问题，从源头降低病害发生风险，减少水产养殖用药。</w:t>
      </w:r>
    </w:p>
    <w:p w14:paraId="278B780E">
      <w:pPr>
        <w:spacing w:line="360" w:lineRule="auto"/>
        <w:ind w:firstLine="480" w:firstLineChars="200"/>
        <w:rPr>
          <w:sz w:val="24"/>
        </w:rPr>
      </w:pPr>
      <w:r>
        <w:rPr>
          <w:rFonts w:hint="eastAsia"/>
          <w:sz w:val="24"/>
        </w:rPr>
        <w:t>（二）做好水质管理。一是常态化监测养殖水体水质指标，实时掌握水质动态变化，做到问题早发现、早处置。二是科学调控进排水，阴雨、闷热等天气严禁大排大灌，避免水温、盐度剧烈波动，保持池塘水环境稳定。三是科学合理投喂，杜绝过量投喂、饵料残留，减少水体有机质负载，减轻水质恶化压力。</w:t>
      </w:r>
    </w:p>
    <w:p w14:paraId="2C897160">
      <w:pPr>
        <w:spacing w:line="360" w:lineRule="auto"/>
        <w:ind w:firstLine="480" w:firstLineChars="200"/>
        <w:rPr>
          <w:sz w:val="24"/>
        </w:rPr>
      </w:pPr>
      <w:r>
        <w:rPr>
          <w:rFonts w:hint="eastAsia"/>
          <w:sz w:val="24"/>
        </w:rPr>
        <w:t>（三）做好增氧措施。一是合理使用增氧机，遵循“三开两不开”原则，即晴天中午开、阴天次日清晨开、连绵阴雨半夜开；晴天傍晚不开、阴雨天中午不开。二是加强昼夜巡塘，密切关注养殖对象活动状态，一旦发现缺氧浮头、泛塘等情况，立即开机增氧。三是池底淤泥厚、投饵量大的养殖池塘，应提前储备过氧化钙等化学增氧剂，以防闷热、暴雨等天气引发缺氧。</w:t>
      </w:r>
    </w:p>
    <w:p w14:paraId="2FCF43DF">
      <w:pPr>
        <w:spacing w:line="360" w:lineRule="auto"/>
        <w:ind w:firstLine="480" w:firstLineChars="200"/>
        <w:rPr>
          <w:sz w:val="24"/>
        </w:rPr>
      </w:pPr>
      <w:r>
        <w:rPr>
          <w:rFonts w:hint="eastAsia"/>
          <w:sz w:val="24"/>
        </w:rPr>
        <w:t>（四）做好应激管理。一是在大风、暴雨等极端天气前后，及时向养殖水体中，泼洒维生素C钠粉（水产用）等已批准的水产养殖用兽药，增强养殖对象免疫力，降低其应激反应。二是在捕捞、转池、运输等生产作业时，应规范轻柔操作，尽量避免对养殖对象的机械性损伤，降低继发感染风险。</w:t>
      </w:r>
    </w:p>
    <w:p w14:paraId="3D6B8D3D">
      <w:pPr>
        <w:spacing w:line="360" w:lineRule="auto"/>
        <w:ind w:firstLine="480" w:firstLineChars="200"/>
        <w:rPr>
          <w:sz w:val="24"/>
        </w:rPr>
      </w:pPr>
      <w:r>
        <w:rPr>
          <w:rFonts w:hint="eastAsia"/>
          <w:sz w:val="24"/>
        </w:rPr>
        <w:t>（五）及时报告疫情。在养殖生产过程中，可利用快速检测产品进行水产养殖常见病原初步检测，及时掌握养殖对象健康状况，一旦发现异常，应按照规定程序及时上报，做到早发现、早报告、早预警、早处置。相关水生动物疾病防控方法，可登录“全国水生动物疾病远程辅助诊断服务网”（www.adds.org.cn），在“常见疾病”中查询，或通过“自助诊断”及“专家诊室”进行诊断或咨询。</w:t>
      </w:r>
    </w:p>
    <w:p w14:paraId="62164515">
      <w:pPr>
        <w:spacing w:line="360" w:lineRule="auto"/>
        <w:ind w:firstLine="426"/>
        <w:jc w:val="right"/>
        <w:rPr>
          <w:rStyle w:val="96"/>
          <w:rFonts w:eastAsiaTheme="minorEastAsia"/>
          <w:szCs w:val="21"/>
        </w:rPr>
      </w:pPr>
      <w:r>
        <w:rPr>
          <w:rStyle w:val="96"/>
          <w:rFonts w:hint="eastAsia" w:eastAsiaTheme="minorEastAsia"/>
          <w:szCs w:val="21"/>
        </w:rPr>
        <w:t>转摘自全国水产技术推广总站、农业农村部水产养殖病害防治专家委员会</w:t>
      </w:r>
    </w:p>
    <w:p w14:paraId="0B65345D">
      <w:pPr>
        <w:jc w:val="center"/>
        <w:outlineLvl w:val="1"/>
        <w:rPr>
          <w:rFonts w:eastAsia="黑体"/>
          <w:b/>
          <w:bCs/>
          <w:sz w:val="32"/>
          <w:szCs w:val="32"/>
        </w:rPr>
      </w:pPr>
      <w:bookmarkStart w:id="6" w:name="_Toc230941922"/>
      <w:r>
        <w:rPr>
          <w:rFonts w:hint="eastAsia" w:eastAsia="黑体"/>
          <w:b/>
          <w:bCs/>
          <w:sz w:val="32"/>
          <w:szCs w:val="32"/>
        </w:rPr>
        <w:t>农业农村部渔业渔政管理局负责人就新修订的《中华人民共和国渔业法》实施答记者问</w:t>
      </w:r>
      <w:bookmarkEnd w:id="6"/>
    </w:p>
    <w:p w14:paraId="44967F52">
      <w:pPr>
        <w:spacing w:line="360" w:lineRule="auto"/>
        <w:ind w:firstLine="426"/>
        <w:rPr>
          <w:rFonts w:eastAsiaTheme="minorEastAsia"/>
          <w:sz w:val="24"/>
        </w:rPr>
      </w:pPr>
      <w:r>
        <w:rPr>
          <w:rFonts w:hint="eastAsia" w:eastAsiaTheme="minorEastAsia"/>
          <w:sz w:val="24"/>
        </w:rPr>
        <w:t>新修订的《中华人民共和国渔业法》（以下简称《渔业法》）已于2025年12月27日经十四届全国人大常委会第十九次会议审议通过，并于今年5月1日起施行。记者就新修订的《渔业法》在保障渔民权益、渔业资源养护、渔政执法监管、渔业安全生产等方面的热点问题，专访了农业农村部渔业渔政管理局负责人。</w:t>
      </w:r>
    </w:p>
    <w:p w14:paraId="5C9F34B8">
      <w:pPr>
        <w:spacing w:line="360" w:lineRule="auto"/>
        <w:ind w:firstLine="426"/>
        <w:rPr>
          <w:rFonts w:eastAsiaTheme="minorEastAsia"/>
          <w:sz w:val="24"/>
        </w:rPr>
      </w:pPr>
      <w:r>
        <w:rPr>
          <w:rFonts w:hint="eastAsia" w:eastAsiaTheme="minorEastAsia"/>
          <w:sz w:val="24"/>
        </w:rPr>
        <w:t>记者：本次是《渔业法》颁布以来首次全面修订，请问主要有哪些亮点？</w:t>
      </w:r>
    </w:p>
    <w:p w14:paraId="62B65F11">
      <w:pPr>
        <w:spacing w:line="360" w:lineRule="auto"/>
        <w:ind w:firstLine="426"/>
        <w:rPr>
          <w:rFonts w:eastAsiaTheme="minorEastAsia"/>
          <w:sz w:val="24"/>
        </w:rPr>
      </w:pPr>
      <w:r>
        <w:rPr>
          <w:rFonts w:hint="eastAsia" w:eastAsiaTheme="minorEastAsia"/>
          <w:sz w:val="24"/>
        </w:rPr>
        <w:t>答：本次修订聚焦时代特点、行业现状和管理实际，进一步明确对渔业高质量发展的各项要求，吸纳实践中成熟有效的制度，并为行业改革发展预留政策空间。总体呈现五大亮点。</w:t>
      </w:r>
    </w:p>
    <w:p w14:paraId="096A026B">
      <w:pPr>
        <w:spacing w:line="360" w:lineRule="auto"/>
        <w:ind w:firstLine="426"/>
        <w:rPr>
          <w:rFonts w:eastAsiaTheme="minorEastAsia"/>
          <w:sz w:val="24"/>
        </w:rPr>
      </w:pPr>
      <w:r>
        <w:rPr>
          <w:rFonts w:hint="eastAsia" w:eastAsiaTheme="minorEastAsia"/>
          <w:sz w:val="24"/>
        </w:rPr>
        <w:t>一是有力保障养殖业发展。鼓励依托各类水体资源开展绿色生态增殖养殖，确立养殖水域、滩涂规划和保护制度，保障养殖生产者合法权益。完善新品种审定、苗种生产许可等制度，提升水产苗种质量。进一步明确不得使用国家禁用的饵料、饲料、饲料添加剂、药物或者其他有毒有害物质，守护水产品质量安全。</w:t>
      </w:r>
    </w:p>
    <w:p w14:paraId="42EB8449">
      <w:pPr>
        <w:spacing w:line="360" w:lineRule="auto"/>
        <w:ind w:firstLine="426"/>
        <w:rPr>
          <w:rFonts w:eastAsiaTheme="minorEastAsia"/>
          <w:sz w:val="24"/>
        </w:rPr>
      </w:pPr>
      <w:r>
        <w:rPr>
          <w:rFonts w:hint="eastAsia" w:eastAsiaTheme="minorEastAsia"/>
          <w:sz w:val="24"/>
        </w:rPr>
        <w:t>二是进一步完善捕捞业管理要求。完善捕捞限额制度，首次将渔业船网工具指标制度写入法律，从投入与产出两端协同控制捕捞强度。从设施设备、船员配备、安全生产责任保险等维度提出要求，全面提升渔业安全生产水平。首次在法律中明确禁止“三无”船舶从事渔业活动并设立法律责任，有效打击行业顽疾。</w:t>
      </w:r>
    </w:p>
    <w:p w14:paraId="603EADF3">
      <w:pPr>
        <w:spacing w:line="360" w:lineRule="auto"/>
        <w:ind w:firstLine="426"/>
        <w:rPr>
          <w:rFonts w:eastAsiaTheme="minorEastAsia"/>
          <w:sz w:val="24"/>
        </w:rPr>
      </w:pPr>
      <w:r>
        <w:rPr>
          <w:rFonts w:hint="eastAsia" w:eastAsiaTheme="minorEastAsia"/>
          <w:sz w:val="24"/>
        </w:rPr>
        <w:t>三是规定行之有效的资源养护措施。首次写入重要渔业水域制度，明确划定原则和管理要求。建立水产种质资源保护区、保种场、资源库等多元保护体系，强化水产种质资源保护。通过增殖放流、建设海洋牧场、投放人工鱼礁、种植海藻场或者海草床等有效措施，增殖渔业资源，修复水域生态。</w:t>
      </w:r>
    </w:p>
    <w:p w14:paraId="5FA41D6A">
      <w:pPr>
        <w:spacing w:line="360" w:lineRule="auto"/>
        <w:ind w:firstLine="426"/>
        <w:rPr>
          <w:rFonts w:eastAsiaTheme="minorEastAsia"/>
          <w:sz w:val="24"/>
        </w:rPr>
      </w:pPr>
      <w:r>
        <w:rPr>
          <w:rFonts w:hint="eastAsia" w:eastAsiaTheme="minorEastAsia"/>
          <w:sz w:val="24"/>
        </w:rPr>
        <w:t>四是多措并举提升执法监管力度。新设监督管理专章，明确监督检查可采取的措施与执法规范，为依法、规范、高效执法提供支撑。全面提高违法成本，加大惩戒力度和法律震慑效果。</w:t>
      </w:r>
    </w:p>
    <w:p w14:paraId="3609590E">
      <w:pPr>
        <w:spacing w:line="360" w:lineRule="auto"/>
        <w:ind w:firstLine="426"/>
        <w:rPr>
          <w:rFonts w:eastAsiaTheme="minorEastAsia"/>
          <w:sz w:val="24"/>
        </w:rPr>
      </w:pPr>
      <w:r>
        <w:rPr>
          <w:rFonts w:hint="eastAsia" w:eastAsiaTheme="minorEastAsia"/>
          <w:sz w:val="24"/>
        </w:rPr>
        <w:t>五是丰富对外渔业管理工具箱。明确鼓励渔业对外交流与合作，积极参与国际渔业治理。加强远洋渔业和周边渔业监管，严格按照国际条约、协定规定，合规发展涉外渔业。履行港口国、沿岸国等义务，严格外国籍渔船管理、港口检查等，参与打击非法捕捞的国际努力，展现负责任渔业大国形象。</w:t>
      </w:r>
    </w:p>
    <w:p w14:paraId="1FAA36FE">
      <w:pPr>
        <w:spacing w:line="360" w:lineRule="auto"/>
        <w:ind w:firstLine="426"/>
        <w:rPr>
          <w:rFonts w:eastAsiaTheme="minorEastAsia"/>
          <w:sz w:val="24"/>
        </w:rPr>
      </w:pPr>
      <w:r>
        <w:rPr>
          <w:rFonts w:hint="eastAsia" w:eastAsiaTheme="minorEastAsia"/>
          <w:sz w:val="24"/>
        </w:rPr>
        <w:t>记者：新修订《渔业法》的实施将会对水产养殖业起到怎样的积极作用？渔业渔政主管部门将如何促进水产养殖业发展，为市场提供更多优质、安全养殖水产品？</w:t>
      </w:r>
    </w:p>
    <w:p w14:paraId="600C7DFF">
      <w:pPr>
        <w:spacing w:line="360" w:lineRule="auto"/>
        <w:ind w:firstLine="426"/>
        <w:rPr>
          <w:rFonts w:eastAsiaTheme="minorEastAsia"/>
          <w:sz w:val="24"/>
        </w:rPr>
      </w:pPr>
      <w:r>
        <w:rPr>
          <w:rFonts w:hint="eastAsia" w:eastAsiaTheme="minorEastAsia"/>
          <w:sz w:val="24"/>
        </w:rPr>
        <w:t>答：新修订的《渔业法》为水产养殖业发展提供更有力法治保障，从法律层面筑牢行业发展根基。下一步，我们将聚焦水产养殖业提质增效，从养殖业态、空间规划、质量安全、种业振兴、权益保障等维度协同发力，以法治赋能养殖业现代化。</w:t>
      </w:r>
    </w:p>
    <w:p w14:paraId="5A4A83AA">
      <w:pPr>
        <w:spacing w:line="360" w:lineRule="auto"/>
        <w:ind w:firstLine="426"/>
        <w:rPr>
          <w:rFonts w:eastAsiaTheme="minorEastAsia"/>
          <w:sz w:val="24"/>
        </w:rPr>
      </w:pPr>
      <w:r>
        <w:rPr>
          <w:rFonts w:hint="eastAsia" w:eastAsiaTheme="minorEastAsia"/>
          <w:sz w:val="24"/>
        </w:rPr>
        <w:t>一是激发养殖“业态活力”。新修订的《渔业法》鼓励科学利用水域、滩涂发展绿色养殖、支持对外合作，支撑传统业态转型和深远海、设施、盐碱地养殖等新业态壮大。渔业渔政主管部门将把产业高质量发展摆在更重要的位置，制定科学适宜的养殖密度要求，推广养殖尾水治理模式，深入实施水产养殖用药减量，强化养殖规范监管，统筹产量、安全、生态与效益，加快推进高质量发展。</w:t>
      </w:r>
    </w:p>
    <w:p w14:paraId="77A9FD67">
      <w:pPr>
        <w:spacing w:line="360" w:lineRule="auto"/>
        <w:ind w:firstLine="426"/>
        <w:rPr>
          <w:rFonts w:eastAsiaTheme="minorEastAsia"/>
          <w:sz w:val="24"/>
        </w:rPr>
      </w:pPr>
      <w:r>
        <w:rPr>
          <w:rFonts w:hint="eastAsia" w:eastAsiaTheme="minorEastAsia"/>
          <w:sz w:val="24"/>
        </w:rPr>
        <w:t>二是守护从业者“发展权益”。新修订的《渔业法》首次以法律形式确立养殖水域、滩涂保护制度，明确重要养殖水域、滩涂不得擅自占用或改变用途，切实保障养殖生产空间的稳定性和连续性；优化养殖证发放、变更、撤回机制，合理确定养殖期限，稳定生产经营主体预期。渔业渔政主管部门将围绕“强主体、优环境、保权益”，优化审批流程，加快完善权益保障机制，切实保障生产经营者合法权益。</w:t>
      </w:r>
    </w:p>
    <w:p w14:paraId="4F6B40CB">
      <w:pPr>
        <w:spacing w:line="360" w:lineRule="auto"/>
        <w:ind w:firstLine="426"/>
        <w:rPr>
          <w:rFonts w:eastAsiaTheme="minorEastAsia"/>
          <w:sz w:val="24"/>
        </w:rPr>
      </w:pPr>
      <w:r>
        <w:rPr>
          <w:rFonts w:hint="eastAsia" w:eastAsiaTheme="minorEastAsia"/>
          <w:sz w:val="24"/>
        </w:rPr>
        <w:t>三是夯实养殖“发展根基”。新修订的《渔业法》首次以法律形式确立水产种质资源调查保存制度，强化品种培育和苗种生产全生命周期管理，激发种业创新活力。渔业渔政主管部门将聚焦“十年实现重大突破”的种业振兴目标任务，健全水产种质资源保护区、保种场、资源库相互衔接的保护体系，支持优良品种的选育推广，加强苗种生产和进出口监管，强化支撑服务保障，夯实水产养殖业发展基础。</w:t>
      </w:r>
    </w:p>
    <w:p w14:paraId="60A186A2">
      <w:pPr>
        <w:spacing w:line="360" w:lineRule="auto"/>
        <w:ind w:firstLine="426"/>
        <w:rPr>
          <w:rFonts w:eastAsiaTheme="minorEastAsia"/>
          <w:sz w:val="24"/>
        </w:rPr>
      </w:pPr>
      <w:r>
        <w:rPr>
          <w:rFonts w:hint="eastAsia" w:eastAsiaTheme="minorEastAsia"/>
          <w:sz w:val="24"/>
        </w:rPr>
        <w:t>四是筑起水产品“安全防线”。新修订的《渔业法》强化养殖全过程监管，夯实质量安全责任，保障人民群众对高品质水产品的需求。渔业渔政主管部门将推进生产方式改进，强化养殖用投入品管理，严厉打击违法违规用药行为，提高养殖主体规范用药能力与质量安全责任意识。</w:t>
      </w:r>
    </w:p>
    <w:p w14:paraId="2FB6DB5B">
      <w:pPr>
        <w:spacing w:line="360" w:lineRule="auto"/>
        <w:ind w:firstLine="426"/>
        <w:rPr>
          <w:rFonts w:eastAsiaTheme="minorEastAsia"/>
          <w:sz w:val="24"/>
        </w:rPr>
      </w:pPr>
      <w:r>
        <w:rPr>
          <w:rFonts w:hint="eastAsia" w:eastAsiaTheme="minorEastAsia"/>
          <w:sz w:val="24"/>
        </w:rPr>
        <w:t>记者：新修订《渔业法》的颁布实施，对促进我国捕捞业高质量发展、保障广大捕捞渔民权益将发挥哪些作用？</w:t>
      </w:r>
    </w:p>
    <w:p w14:paraId="1509F81F">
      <w:pPr>
        <w:spacing w:line="360" w:lineRule="auto"/>
        <w:ind w:firstLine="426"/>
        <w:rPr>
          <w:rFonts w:eastAsiaTheme="minorEastAsia"/>
          <w:sz w:val="24"/>
        </w:rPr>
      </w:pPr>
      <w:r>
        <w:rPr>
          <w:rFonts w:hint="eastAsia" w:eastAsiaTheme="minorEastAsia"/>
          <w:sz w:val="24"/>
        </w:rPr>
        <w:t>答：新修订的《渔业法》将成熟有效的政策法规上升为法律，重点从四方面规范捕捞业、保障渔民权益。</w:t>
      </w:r>
    </w:p>
    <w:p w14:paraId="3A806A5F">
      <w:pPr>
        <w:spacing w:line="360" w:lineRule="auto"/>
        <w:ind w:firstLine="426"/>
        <w:rPr>
          <w:rFonts w:eastAsiaTheme="minorEastAsia"/>
          <w:sz w:val="24"/>
        </w:rPr>
      </w:pPr>
      <w:r>
        <w:rPr>
          <w:rFonts w:hint="eastAsia" w:eastAsiaTheme="minorEastAsia"/>
          <w:sz w:val="24"/>
        </w:rPr>
        <w:t>一是完善渔业船网工具指标制度。细化现有渔业船网工具指标制度，以此作为捕捞投入控制的制度基础。渔业生产者制造、改造渔船，需经渔业渔政主管部门审核船数、主机功率等指标，符合条件的核发渔业船网工具指标批准书，确保区域内船网工具控制指标限制不被突破。</w:t>
      </w:r>
    </w:p>
    <w:p w14:paraId="6B7D7F53">
      <w:pPr>
        <w:spacing w:line="360" w:lineRule="auto"/>
        <w:ind w:firstLine="426"/>
        <w:rPr>
          <w:rFonts w:eastAsiaTheme="minorEastAsia"/>
          <w:sz w:val="24"/>
        </w:rPr>
      </w:pPr>
      <w:r>
        <w:rPr>
          <w:rFonts w:hint="eastAsia" w:eastAsiaTheme="minorEastAsia"/>
          <w:sz w:val="24"/>
        </w:rPr>
        <w:t>二是完善捕捞许可证管理。完善捕捞许可证的审批条件，在原有船舶相关证书的基础上，对渔具和捕捞方法提出进一步要求，并兼顾徒手捕捞等无船特殊情况。此外，明确个人通过娱乐性垂钓或者手工采集的方式零星获得水产品的，不属于捕捞作业，不需要申请捕捞许可证。</w:t>
      </w:r>
    </w:p>
    <w:p w14:paraId="488A7190">
      <w:pPr>
        <w:spacing w:line="360" w:lineRule="auto"/>
        <w:ind w:firstLine="426"/>
        <w:rPr>
          <w:rFonts w:eastAsiaTheme="minorEastAsia"/>
          <w:sz w:val="24"/>
        </w:rPr>
      </w:pPr>
      <w:r>
        <w:rPr>
          <w:rFonts w:hint="eastAsia" w:eastAsiaTheme="minorEastAsia"/>
          <w:sz w:val="24"/>
        </w:rPr>
        <w:t>三是加强作业过程管理。对海洋大中型渔业船舶填写并保存作业日志提出要求，丰富管理手段。明确捕捞辅助船携带渔具航行、停泊时必须捆扎、覆盖。首次提出严禁“三无”船舶从事捕捞作业。</w:t>
      </w:r>
    </w:p>
    <w:p w14:paraId="0233760F">
      <w:pPr>
        <w:spacing w:line="360" w:lineRule="auto"/>
        <w:ind w:firstLine="426"/>
        <w:rPr>
          <w:rFonts w:eastAsiaTheme="minorEastAsia"/>
          <w:sz w:val="24"/>
        </w:rPr>
      </w:pPr>
      <w:r>
        <w:rPr>
          <w:rFonts w:hint="eastAsia" w:eastAsiaTheme="minorEastAsia"/>
          <w:sz w:val="24"/>
        </w:rPr>
        <w:t>四是保障捕捞渔民权益。明确船网工具指标可以按规定随船转让，在总量管控前提下实现生产要素市场化配置，保障从业者财产权益。同时，适当调整捕捞许可证发放层级，加大“放管服”改革力度，便利渔民办事。</w:t>
      </w:r>
    </w:p>
    <w:p w14:paraId="0B44E1A3">
      <w:pPr>
        <w:spacing w:line="360" w:lineRule="auto"/>
        <w:ind w:firstLine="426"/>
        <w:rPr>
          <w:rFonts w:eastAsiaTheme="minorEastAsia"/>
          <w:sz w:val="24"/>
        </w:rPr>
      </w:pPr>
      <w:r>
        <w:rPr>
          <w:rFonts w:hint="eastAsia" w:eastAsiaTheme="minorEastAsia"/>
          <w:sz w:val="24"/>
        </w:rPr>
        <w:t>记者：新修订《渔业法》的实施将会对渔业资源养护产生怎样的积极作用？渔业渔政主管部门将采取哪些措施养护渔业资源？</w:t>
      </w:r>
    </w:p>
    <w:p w14:paraId="6C90E8EE">
      <w:pPr>
        <w:spacing w:line="360" w:lineRule="auto"/>
        <w:ind w:firstLine="426"/>
        <w:rPr>
          <w:rFonts w:eastAsiaTheme="minorEastAsia"/>
          <w:sz w:val="24"/>
        </w:rPr>
      </w:pPr>
      <w:r>
        <w:rPr>
          <w:rFonts w:hint="eastAsia" w:eastAsiaTheme="minorEastAsia"/>
          <w:sz w:val="24"/>
        </w:rPr>
        <w:t>答：新修订《渔业法》的颁布为渔业“保护与发展并重、生产与生态同行”的可持续高质量发展提供了坚实法律保障，我们将从多维度协同发力，以法治手段保障渔业可持续发展。</w:t>
      </w:r>
    </w:p>
    <w:p w14:paraId="0E44E492">
      <w:pPr>
        <w:spacing w:line="360" w:lineRule="auto"/>
        <w:ind w:firstLine="426"/>
        <w:rPr>
          <w:rFonts w:eastAsiaTheme="minorEastAsia"/>
          <w:sz w:val="24"/>
        </w:rPr>
      </w:pPr>
      <w:r>
        <w:rPr>
          <w:rFonts w:hint="eastAsia" w:eastAsiaTheme="minorEastAsia"/>
          <w:sz w:val="24"/>
        </w:rPr>
        <w:t>一是保护重要渔业水域，维护“发展空间”。本次修订首次以法律形式构建重要渔业水域划定体系，加强水产种质资源及其生存环境保护。渔业渔政主管部门将全速推进重要渔业水域划定和水产种质资源保护区优化，推动渔业水域生态空间科学管控和合理利用。</w:t>
      </w:r>
    </w:p>
    <w:p w14:paraId="040171CF">
      <w:pPr>
        <w:spacing w:line="360" w:lineRule="auto"/>
        <w:ind w:firstLine="426"/>
        <w:rPr>
          <w:rFonts w:eastAsiaTheme="minorEastAsia"/>
          <w:sz w:val="24"/>
        </w:rPr>
      </w:pPr>
      <w:r>
        <w:rPr>
          <w:rFonts w:hint="eastAsia" w:eastAsiaTheme="minorEastAsia"/>
          <w:sz w:val="24"/>
        </w:rPr>
        <w:t>二是强化工程管控，阻断“生态破口”。本次修订首次以法律形式将渔业资源影响评价纳入工程建设审批要求，对涉及水产种质资源保护区项目增设专题论证，从源头防范生态破坏。渔业渔政主管部门将增强涉渔环境影响评价审批时效，创新生态补偿资金全流域统筹使用机制，加强新增项目论证把关，从法治层面堵牢生态漏洞。</w:t>
      </w:r>
    </w:p>
    <w:p w14:paraId="4677D197">
      <w:pPr>
        <w:spacing w:line="360" w:lineRule="auto"/>
        <w:ind w:firstLine="426"/>
        <w:rPr>
          <w:rFonts w:eastAsiaTheme="minorEastAsia"/>
          <w:sz w:val="24"/>
        </w:rPr>
      </w:pPr>
      <w:r>
        <w:rPr>
          <w:rFonts w:hint="eastAsia" w:eastAsiaTheme="minorEastAsia"/>
          <w:sz w:val="24"/>
        </w:rPr>
        <w:t>三是严控捕捞行为，斩断“掠夺之手”。新修订的《渔业法》从“行为+工具”两个维度，细化禁渔区、禁渔期制度，将渔具管理从“负面清单”转向“正面清单+负面清单”模式，构建全链条的捕捞管控体系。渔业渔政主管部门将提升执法现代化水平，深化“禁渔监管+渔获溯源”机制，严厉打击非法捕捞及其利益链条，加快制修订相关渔具目录，不断凝聚依法捕捞的行业共识。</w:t>
      </w:r>
    </w:p>
    <w:p w14:paraId="7DB05AF4">
      <w:pPr>
        <w:spacing w:line="360" w:lineRule="auto"/>
        <w:ind w:firstLine="426"/>
        <w:rPr>
          <w:rFonts w:eastAsiaTheme="minorEastAsia"/>
          <w:sz w:val="24"/>
        </w:rPr>
      </w:pPr>
      <w:r>
        <w:rPr>
          <w:rFonts w:hint="eastAsia" w:eastAsiaTheme="minorEastAsia"/>
          <w:sz w:val="24"/>
        </w:rPr>
        <w:t>四是守护水生生物，筑牢“生态屏障”。新修订的《渔业法》以立法形式禁止捕捞有重要经济价值的苗种或怀卵亲本，明确误捕放生义务，严控外来物种投放，完善了水生生物多样性保护法律体系。渔业渔政主管部门将规范渔业资源调查与环境监测工作，加强水生外来物种防治和宣传，推动形成水生生物保护闭环。</w:t>
      </w:r>
    </w:p>
    <w:p w14:paraId="719E3F52">
      <w:pPr>
        <w:spacing w:line="360" w:lineRule="auto"/>
        <w:ind w:firstLine="426"/>
        <w:rPr>
          <w:rFonts w:eastAsiaTheme="minorEastAsia"/>
          <w:sz w:val="24"/>
        </w:rPr>
      </w:pPr>
      <w:r>
        <w:rPr>
          <w:rFonts w:hint="eastAsia" w:eastAsiaTheme="minorEastAsia"/>
          <w:sz w:val="24"/>
        </w:rPr>
        <w:t>五是升级生态修复，激活“再生之力”。在原有增殖放流基础上，将人工鱼礁等措施列为修复渔业水域生态环境的法定手段，促进渔业资源保护从“资源增殖”向“生态修复”全面升级。渔业渔政主管部门将科学规范开展增殖放流，高标准建设现代海洋牧场等保护措施，协同人工修复和自然恢复，加速渔业生态修复。</w:t>
      </w:r>
    </w:p>
    <w:p w14:paraId="5EF01038">
      <w:pPr>
        <w:spacing w:line="360" w:lineRule="auto"/>
        <w:ind w:firstLine="426"/>
        <w:rPr>
          <w:rFonts w:eastAsiaTheme="minorEastAsia"/>
          <w:sz w:val="24"/>
        </w:rPr>
      </w:pPr>
      <w:r>
        <w:rPr>
          <w:rFonts w:hint="eastAsia" w:eastAsiaTheme="minorEastAsia"/>
          <w:sz w:val="24"/>
        </w:rPr>
        <w:t>记者：新修订《渔业法》的出台将对渔政执法方面产生怎样的积极作用？渔政执法机构将如何强化渔政执法，维护渔业秩序？</w:t>
      </w:r>
    </w:p>
    <w:p w14:paraId="3AAB0FAF">
      <w:pPr>
        <w:spacing w:line="360" w:lineRule="auto"/>
        <w:ind w:firstLine="426"/>
        <w:rPr>
          <w:rFonts w:eastAsiaTheme="minorEastAsia"/>
          <w:sz w:val="24"/>
        </w:rPr>
      </w:pPr>
      <w:r>
        <w:rPr>
          <w:rFonts w:hint="eastAsia" w:eastAsiaTheme="minorEastAsia"/>
          <w:sz w:val="24"/>
        </w:rPr>
        <w:t>答：严格执法是确保各项管理制度落到实处的关键，本次《渔业法》修订特别关注执法监管效能，通过多种举措予以强化。</w:t>
      </w:r>
    </w:p>
    <w:p w14:paraId="4F857029">
      <w:pPr>
        <w:spacing w:line="360" w:lineRule="auto"/>
        <w:ind w:firstLine="426"/>
        <w:rPr>
          <w:rFonts w:eastAsiaTheme="minorEastAsia"/>
          <w:sz w:val="24"/>
        </w:rPr>
      </w:pPr>
      <w:r>
        <w:rPr>
          <w:rFonts w:hint="eastAsia" w:eastAsiaTheme="minorEastAsia"/>
          <w:sz w:val="24"/>
        </w:rPr>
        <w:t>一是明确职权范围，规范执法活动。在总则中明确由县级以上人民政府渔业渔政主管部门或者县级以上人民政府明确的执法机构承担渔业执法工作，以法律的形式对渔政执法机构进行赋权。新增“监督管理”专章，授权渔政执法机构在履职过程中可以采取的五大方面措施，并对执法人员着装、证件、船舶、信用建设等方面作出规定，厘清权责边界。首次提出外国籍渔业相关船舶到我国港口相关管理要求，为我国履行港口国沿岸国义务奠定基础。</w:t>
      </w:r>
    </w:p>
    <w:p w14:paraId="4D2CA897">
      <w:pPr>
        <w:spacing w:line="360" w:lineRule="auto"/>
        <w:ind w:firstLine="426"/>
        <w:rPr>
          <w:rFonts w:eastAsiaTheme="minorEastAsia"/>
          <w:sz w:val="24"/>
        </w:rPr>
      </w:pPr>
      <w:r>
        <w:rPr>
          <w:rFonts w:hint="eastAsia" w:eastAsiaTheme="minorEastAsia"/>
          <w:sz w:val="24"/>
        </w:rPr>
        <w:t>二是强化打击力度，提升法律震慑。综合考虑行业发展实际和管理需求，在现行法的基础上普遍上调处罚金额上限并保留合理处罚下限，在提高法律震慑力的同时确保过罚相当。针对新增管理制度和部分现行法无罚则条款补齐法律责任，确保制度闭环。首次对非法捕捞“三无”船舶规定了严厉的处罚措施，为依法惩治这一顽瘴痼疾提供法律依据。</w:t>
      </w:r>
    </w:p>
    <w:p w14:paraId="454C7E93">
      <w:pPr>
        <w:spacing w:line="360" w:lineRule="auto"/>
        <w:ind w:firstLine="426"/>
        <w:rPr>
          <w:rFonts w:eastAsiaTheme="minorEastAsia"/>
          <w:sz w:val="24"/>
        </w:rPr>
      </w:pPr>
      <w:r>
        <w:rPr>
          <w:rFonts w:hint="eastAsia" w:eastAsiaTheme="minorEastAsia"/>
          <w:sz w:val="24"/>
        </w:rPr>
        <w:t>三是强调刚柔并济，坚持执法为民。充分吸收《中华人民共和国行政处罚法》有关精神，除处罚、强制等“硬手段”外，兼顾批评、教育等“柔措施”，在确保执法效果的同时释放执法温度。确立轻微不罚、初次不罚、无错不罚制度，全面推进严格规范公正文明执法。</w:t>
      </w:r>
    </w:p>
    <w:p w14:paraId="22A09F73">
      <w:pPr>
        <w:spacing w:line="360" w:lineRule="auto"/>
        <w:ind w:firstLine="426"/>
        <w:rPr>
          <w:rFonts w:eastAsiaTheme="minorEastAsia"/>
          <w:sz w:val="24"/>
        </w:rPr>
      </w:pPr>
      <w:r>
        <w:rPr>
          <w:rFonts w:hint="eastAsia" w:eastAsiaTheme="minorEastAsia"/>
          <w:sz w:val="24"/>
        </w:rPr>
        <w:t>新修订的《渔业法》生效后，农业农村部将会同公安、海警等部门完善配套制度规范，持续做好长江十年禁渔、海洋伏季休渔和黄河休禁渔、打击非法捕捞、“三无”船舶等重点领域执法监管，开展针对性练兵、比武等强化提升执法队伍能力水平。</w:t>
      </w:r>
    </w:p>
    <w:p w14:paraId="0711D4A6">
      <w:pPr>
        <w:spacing w:line="360" w:lineRule="auto"/>
        <w:ind w:firstLine="426"/>
        <w:rPr>
          <w:rFonts w:eastAsiaTheme="minorEastAsia"/>
          <w:sz w:val="24"/>
        </w:rPr>
      </w:pPr>
      <w:r>
        <w:rPr>
          <w:rFonts w:hint="eastAsia" w:eastAsiaTheme="minorEastAsia"/>
          <w:sz w:val="24"/>
        </w:rPr>
        <w:t>记者：新修订的《渔业法》明确“国家鼓励渔业对外交流与合作”，还有哪些措施，共同推动实施负责任渔业，促进全球渔业可持续发展？</w:t>
      </w:r>
    </w:p>
    <w:p w14:paraId="52179DEC">
      <w:pPr>
        <w:spacing w:line="360" w:lineRule="auto"/>
        <w:ind w:firstLine="426"/>
        <w:rPr>
          <w:rFonts w:eastAsiaTheme="minorEastAsia"/>
          <w:sz w:val="24"/>
        </w:rPr>
      </w:pPr>
      <w:r>
        <w:rPr>
          <w:rFonts w:hint="eastAsia" w:eastAsiaTheme="minorEastAsia"/>
          <w:sz w:val="24"/>
        </w:rPr>
        <w:t>答：中国是负责任渔业国家。多年来，中国政府高度重视渔业与水产养殖业可持续发展，积极为全球渔业发展贡献中国智慧、分享中国经验。新修订的《渔业法》进一步明确我国将以更加积极的姿态参与全球渔业治理，严格履行国际责任与义务。</w:t>
      </w:r>
    </w:p>
    <w:p w14:paraId="6F125AB9">
      <w:pPr>
        <w:spacing w:line="360" w:lineRule="auto"/>
        <w:ind w:firstLine="426"/>
        <w:rPr>
          <w:rFonts w:eastAsiaTheme="minorEastAsia"/>
          <w:sz w:val="24"/>
        </w:rPr>
      </w:pPr>
      <w:r>
        <w:rPr>
          <w:rFonts w:hint="eastAsia" w:eastAsiaTheme="minorEastAsia"/>
          <w:sz w:val="24"/>
        </w:rPr>
        <w:t>一是管理好中国籍渔船“涉外行为”。新修订的《渔业法》明确到公海和他国管辖海域从事捕捞作业的，应当经过有关部门批准，并遵守有关国际条约、协定规定。严肃查处未取得许可越线越界捕捞等行为，处以罚款或没收渔获物、违法所得、渔具、船舶、吊销捕捞许可证等处罚。</w:t>
      </w:r>
    </w:p>
    <w:p w14:paraId="2E2F4BF1">
      <w:pPr>
        <w:spacing w:line="360" w:lineRule="auto"/>
        <w:ind w:firstLine="426"/>
        <w:rPr>
          <w:rFonts w:eastAsiaTheme="minorEastAsia"/>
          <w:sz w:val="24"/>
        </w:rPr>
      </w:pPr>
      <w:r>
        <w:rPr>
          <w:rFonts w:hint="eastAsia" w:eastAsiaTheme="minorEastAsia"/>
          <w:sz w:val="24"/>
        </w:rPr>
        <w:t>二是筑牢沿海港口“关卡防线”。新修订的《渔业法》规定对涉渔外国籍船舶实施港口国、沿岸国监管，涉渔外国籍船舶进入我国管辖水域、进港停靠和装卸渔获物，应当经过批准、接受检查，并遵守有关国际条约、协定规定。违反有关规定的，没收渔获物、渔具、船舶等，并责令离开或驱逐，并对船舶担保措施作出规定。</w:t>
      </w:r>
    </w:p>
    <w:p w14:paraId="67812335">
      <w:pPr>
        <w:spacing w:line="360" w:lineRule="auto"/>
        <w:ind w:firstLine="426"/>
        <w:rPr>
          <w:rFonts w:eastAsiaTheme="minorEastAsia"/>
          <w:sz w:val="24"/>
        </w:rPr>
      </w:pPr>
      <w:r>
        <w:rPr>
          <w:rFonts w:hint="eastAsia" w:eastAsiaTheme="minorEastAsia"/>
          <w:sz w:val="24"/>
        </w:rPr>
        <w:t>三是积极参与渔业“全球事务”。当前国际渔业治理规则体系日趋完善，中国政府重视可持续渔业发展。新修订的《渔业法》要求，按照国际法和我国加入的《港口国措施协定》《渔业补贴协定》《海洋生物多样性协定》等国际公约和区域渔业管理组织要求，积极参加各类涉渔国际公约谈判，严厉打击非法捕捞，共同推动构建公平合理的国际渔业秩序。</w:t>
      </w:r>
    </w:p>
    <w:p w14:paraId="60308D1B">
      <w:pPr>
        <w:spacing w:line="360" w:lineRule="auto"/>
        <w:ind w:firstLine="426"/>
        <w:rPr>
          <w:rFonts w:eastAsiaTheme="minorEastAsia"/>
          <w:sz w:val="24"/>
        </w:rPr>
      </w:pPr>
      <w:r>
        <w:rPr>
          <w:rFonts w:hint="eastAsia" w:eastAsiaTheme="minorEastAsia"/>
          <w:sz w:val="24"/>
        </w:rPr>
        <w:t>四是建立渔业合作“国际朋友圈”。新修订的《渔业法》要求，根据产业发展需要，加强与重点国家渔业合作，利用现有双边机制平台，定期交流渔业政策，增进理解互信。加强与入渔国家交流，建立互利共赢合作关系。加强与“一带一路”国家合作，为发展中国家和地区培养人才，支持当地经济发展。</w:t>
      </w:r>
    </w:p>
    <w:p w14:paraId="41A23161">
      <w:pPr>
        <w:spacing w:line="360" w:lineRule="auto"/>
        <w:ind w:firstLine="426"/>
        <w:rPr>
          <w:rFonts w:eastAsiaTheme="minorEastAsia"/>
          <w:sz w:val="24"/>
        </w:rPr>
      </w:pPr>
      <w:r>
        <w:rPr>
          <w:rFonts w:hint="eastAsia" w:eastAsiaTheme="minorEastAsia"/>
          <w:sz w:val="24"/>
        </w:rPr>
        <w:t>记者：此次修订在强化渔业安全生产监管方面有哪些主要突破和导向？</w:t>
      </w:r>
    </w:p>
    <w:p w14:paraId="064D37A6">
      <w:pPr>
        <w:spacing w:line="360" w:lineRule="auto"/>
        <w:ind w:firstLine="426"/>
        <w:rPr>
          <w:rFonts w:eastAsiaTheme="minorEastAsia"/>
          <w:sz w:val="24"/>
        </w:rPr>
      </w:pPr>
      <w:r>
        <w:rPr>
          <w:rFonts w:hint="eastAsia" w:eastAsiaTheme="minorEastAsia"/>
          <w:sz w:val="24"/>
        </w:rPr>
        <w:t>答：本次《渔业法》修订的一大亮点，就是立足渔业生产特殊风险，加强与《中华人民共和国安全生产法》《中华人民共和国海上交通安全法》等法律的衔接，强化渔业安全生产相关要求，将现行规章、规范性文件中相关内容上升为法律，为渔业安全生产监管提供坚实依据。</w:t>
      </w:r>
    </w:p>
    <w:p w14:paraId="5B5C93E0">
      <w:pPr>
        <w:spacing w:line="360" w:lineRule="auto"/>
        <w:ind w:firstLine="426"/>
        <w:rPr>
          <w:rFonts w:eastAsiaTheme="minorEastAsia"/>
          <w:sz w:val="24"/>
        </w:rPr>
      </w:pPr>
      <w:r>
        <w:rPr>
          <w:rFonts w:hint="eastAsia" w:eastAsiaTheme="minorEastAsia"/>
          <w:sz w:val="24"/>
        </w:rPr>
        <w:t>一是把统筹发展和安全写入总则，进一步丰富了渔业工作的基本导向。新修订的《渔业法》第3条明确规定，渔业工作坚持统筹发展和安全。渔业发展必须以安全生产作为前提和底线，这一规定从法律总则层面确立了渔业安全生产的重要地位，为后续具体制度设计提供了基本遵循。</w:t>
      </w:r>
    </w:p>
    <w:p w14:paraId="09A1D78A">
      <w:pPr>
        <w:spacing w:line="360" w:lineRule="auto"/>
        <w:ind w:firstLine="426"/>
        <w:rPr>
          <w:rFonts w:eastAsiaTheme="minorEastAsia"/>
          <w:sz w:val="24"/>
        </w:rPr>
      </w:pPr>
      <w:r>
        <w:rPr>
          <w:rFonts w:hint="eastAsia" w:eastAsiaTheme="minorEastAsia"/>
          <w:sz w:val="24"/>
        </w:rPr>
        <w:t>二是压实生产经营主体责任，进一步明确谁生产、谁负责。新修订的《渔业法》第10条规定，从事渔业生产的单位应当遵守法律、法规和国家有关规定，建立健全安全生产规章制度，加强安全生产教育、培训和管理，提高安全生产水平。这里的核心，就是把安全生产责任首先落实到生产经营主体身上，特别是渔业船舶所有人、经营人以及船员等从业人员身上，也就是说，安全生产既要靠监管部门外部盯，更要靠生产主体内部管，真正形成主体负责、全员参与的安全生产责任体系。</w:t>
      </w:r>
    </w:p>
    <w:p w14:paraId="20D67079">
      <w:pPr>
        <w:spacing w:line="360" w:lineRule="auto"/>
        <w:ind w:firstLine="426"/>
        <w:rPr>
          <w:rFonts w:eastAsiaTheme="minorEastAsia"/>
          <w:sz w:val="24"/>
        </w:rPr>
      </w:pPr>
      <w:r>
        <w:rPr>
          <w:rFonts w:hint="eastAsia" w:eastAsiaTheme="minorEastAsia"/>
          <w:sz w:val="24"/>
        </w:rPr>
        <w:t>三是细化渔船和渔港安全要求，进一步织密安全管理制度网。新修订的《渔业法》第35条对渔业船舶安全生产提出了较为系统、具体的要求，并不仅是停留于原则性倡导，而是把船舶适航、设备配备、人员配员、保险保障等关键环节纳入统一规范，形成了较为完整的渔船安全制度链条。同时，新修订的《渔业法》将渔港纳入安全生产治理的重要环节，第38条第4款要求渔港所有者、经营者做好安全生产等工作。通过把船上要求和港口管理衔接起来，有利于推动形成从出港、在港到海上作业的全过程安全监管。</w:t>
      </w:r>
    </w:p>
    <w:p w14:paraId="5DA5934B">
      <w:pPr>
        <w:spacing w:line="360" w:lineRule="auto"/>
        <w:ind w:firstLine="426"/>
        <w:rPr>
          <w:rFonts w:eastAsiaTheme="minorEastAsia"/>
          <w:sz w:val="24"/>
        </w:rPr>
      </w:pPr>
      <w:r>
        <w:rPr>
          <w:rFonts w:hint="eastAsia" w:eastAsiaTheme="minorEastAsia"/>
          <w:sz w:val="24"/>
        </w:rPr>
        <w:t>四是强化部门协同，进一步完善风险防范机制。针对商渔船碰撞这一长期存在的突出风险，新修订的《渔业法》第62条专门规定，县级以上人民政府渔业渔政主管部门与交通运输主管部门应当按照职责分工，加强协作，共同防范渔业船舶和商船碰撞事故发生。这表明，新修订的《渔业法》在安全监管上更加注重跨部门协同治理，推动形成信息互通、风险共防、责任共担的工作机制，增强重大安全风险的预防能力。</w:t>
      </w:r>
    </w:p>
    <w:p w14:paraId="34108D12">
      <w:pPr>
        <w:spacing w:line="360" w:lineRule="auto"/>
        <w:ind w:firstLine="426"/>
        <w:rPr>
          <w:rFonts w:eastAsiaTheme="minorEastAsia"/>
          <w:sz w:val="24"/>
        </w:rPr>
      </w:pPr>
      <w:r>
        <w:rPr>
          <w:rFonts w:hint="eastAsia" w:eastAsiaTheme="minorEastAsia"/>
          <w:sz w:val="24"/>
        </w:rPr>
        <w:t>五是加大违法惩戒力度，进一步增强制度刚性。新修订的《渔业法》对渔业安全生产领域的违法行为设置了更有针对性的法律责任。这些规定释放了一个明确信号，就是对于影响渔业安全生产的违法行为，新修订的《渔业法》坚持严格约束、严肃追责，目的就是提高违法成本，倒逼责任落实，切实增强法律执行力和震慑力。</w:t>
      </w:r>
    </w:p>
    <w:p w14:paraId="7A00C9CC">
      <w:pPr>
        <w:spacing w:line="360" w:lineRule="auto"/>
        <w:ind w:firstLine="426"/>
        <w:rPr>
          <w:rFonts w:eastAsiaTheme="minorEastAsia"/>
          <w:sz w:val="24"/>
        </w:rPr>
      </w:pPr>
      <w:r>
        <w:rPr>
          <w:rFonts w:hint="eastAsia" w:eastAsiaTheme="minorEastAsia"/>
          <w:sz w:val="24"/>
        </w:rPr>
        <w:t>坚持绿色发展  完善监管举措</w:t>
      </w:r>
    </w:p>
    <w:p w14:paraId="0B4A8449">
      <w:pPr>
        <w:spacing w:line="360" w:lineRule="auto"/>
        <w:ind w:firstLine="426"/>
        <w:rPr>
          <w:rFonts w:eastAsiaTheme="minorEastAsia"/>
          <w:sz w:val="24"/>
        </w:rPr>
      </w:pPr>
      <w:r>
        <w:rPr>
          <w:rFonts w:hint="eastAsia" w:eastAsiaTheme="minorEastAsia"/>
          <w:sz w:val="24"/>
        </w:rPr>
        <w:t>《中华人民共和国渔业法》于1986年制定实施，2000年、2004年、2009年、2013年修改过部分条款。</w:t>
      </w:r>
    </w:p>
    <w:p w14:paraId="44C18AA8">
      <w:pPr>
        <w:spacing w:line="360" w:lineRule="auto"/>
        <w:ind w:firstLine="426"/>
        <w:rPr>
          <w:rFonts w:eastAsiaTheme="minorEastAsia"/>
          <w:sz w:val="24"/>
        </w:rPr>
      </w:pPr>
      <w:r>
        <w:rPr>
          <w:rFonts w:hint="eastAsia" w:eastAsiaTheme="minorEastAsia"/>
          <w:sz w:val="24"/>
        </w:rPr>
        <w:t>●1986年1月20日第六届全国人民代表大会常务委员会第十四次会议通过。</w:t>
      </w:r>
    </w:p>
    <w:p w14:paraId="4FF13A54">
      <w:pPr>
        <w:spacing w:line="360" w:lineRule="auto"/>
        <w:ind w:firstLine="426"/>
        <w:rPr>
          <w:rFonts w:eastAsiaTheme="minorEastAsia"/>
          <w:sz w:val="24"/>
        </w:rPr>
      </w:pPr>
      <w:r>
        <w:rPr>
          <w:rFonts w:hint="eastAsia" w:eastAsiaTheme="minorEastAsia"/>
          <w:sz w:val="24"/>
        </w:rPr>
        <w:t>●根据2000年10月31日第九届全国人民代表大会常务委员会第十八次会议《关于修改〈中华人民共和国渔业法〉的决定》第一次修正。</w:t>
      </w:r>
    </w:p>
    <w:p w14:paraId="7457868C">
      <w:pPr>
        <w:spacing w:line="360" w:lineRule="auto"/>
        <w:ind w:firstLine="426"/>
        <w:rPr>
          <w:rFonts w:eastAsiaTheme="minorEastAsia"/>
          <w:sz w:val="24"/>
        </w:rPr>
      </w:pPr>
      <w:r>
        <w:rPr>
          <w:rFonts w:hint="eastAsia" w:eastAsiaTheme="minorEastAsia"/>
          <w:sz w:val="24"/>
        </w:rPr>
        <w:t>●根据2004年8月28日第十届全国人民代表大会常务委员会第十一次会议《关于修改〈中华人民共和国渔业法〉的决定》第二次修正。</w:t>
      </w:r>
    </w:p>
    <w:p w14:paraId="5CD1A77D">
      <w:pPr>
        <w:spacing w:line="360" w:lineRule="auto"/>
        <w:ind w:firstLine="426"/>
        <w:rPr>
          <w:rFonts w:eastAsiaTheme="minorEastAsia"/>
          <w:sz w:val="24"/>
        </w:rPr>
      </w:pPr>
      <w:r>
        <w:rPr>
          <w:rFonts w:hint="eastAsia" w:eastAsiaTheme="minorEastAsia"/>
          <w:sz w:val="24"/>
        </w:rPr>
        <w:t>●根据2009年8月27日第十一届全国人民代表大会常务委员会第十次会议《关于修改部分法律的决定》第三次修正。</w:t>
      </w:r>
    </w:p>
    <w:p w14:paraId="72133F59">
      <w:pPr>
        <w:spacing w:line="360" w:lineRule="auto"/>
        <w:ind w:firstLine="426"/>
        <w:rPr>
          <w:rFonts w:eastAsiaTheme="minorEastAsia"/>
          <w:sz w:val="24"/>
        </w:rPr>
      </w:pPr>
      <w:r>
        <w:rPr>
          <w:rFonts w:hint="eastAsia" w:eastAsiaTheme="minorEastAsia"/>
          <w:sz w:val="24"/>
        </w:rPr>
        <w:t>●根据2013年12月28日第十二届全国人民代表大会常务委员会第六次会议《关于修改〈中华人民共和国海洋环境保护法〉等七部法律的决定》第四次修正。</w:t>
      </w:r>
    </w:p>
    <w:p w14:paraId="67722A79">
      <w:pPr>
        <w:spacing w:line="360" w:lineRule="auto"/>
        <w:ind w:firstLine="426"/>
        <w:rPr>
          <w:rFonts w:eastAsiaTheme="minorEastAsia"/>
          <w:sz w:val="24"/>
        </w:rPr>
      </w:pPr>
      <w:r>
        <w:rPr>
          <w:rFonts w:hint="eastAsia" w:eastAsiaTheme="minorEastAsia"/>
          <w:sz w:val="24"/>
        </w:rPr>
        <w:t>●2025年12月27日第十四届全国人民代表大会常务委员会第十九次会议修订。</w:t>
      </w:r>
    </w:p>
    <w:p w14:paraId="21D44897">
      <w:pPr>
        <w:spacing w:line="360" w:lineRule="auto"/>
        <w:ind w:firstLine="426"/>
        <w:rPr>
          <w:rFonts w:eastAsiaTheme="minorEastAsia"/>
          <w:sz w:val="24"/>
        </w:rPr>
      </w:pPr>
      <w:r>
        <w:rPr>
          <w:rFonts w:hint="eastAsia" w:eastAsiaTheme="minorEastAsia"/>
          <w:sz w:val="24"/>
        </w:rPr>
        <w:t>这部法律施行以来，对于加强渔业资源的保护、增殖、开发和合理利用，保障渔业生产者合法权益，促进渔业发展发挥了重要作用。新修订的《中华人民共和国渔业法》自2026年5月1日起施行，共7章90条，较修订前的6章50条有较为全面的修改。新修订的《渔业法》提出渔业坚持绿色发展，把维护渔业生产者合法权益放在重要位置，大幅完善监督管理举措，强调从事养殖生产、运输、销售等活动，不得使用国家禁止使用的饵料、饲料、饲料添加剂、药物或者其他有毒有害物质。</w:t>
      </w:r>
    </w:p>
    <w:p w14:paraId="67F17A28">
      <w:pPr>
        <w:spacing w:line="360" w:lineRule="auto"/>
        <w:ind w:firstLine="426"/>
        <w:jc w:val="right"/>
        <w:rPr>
          <w:rFonts w:eastAsia="黑体"/>
          <w:b/>
          <w:bCs/>
          <w:sz w:val="32"/>
          <w:szCs w:val="32"/>
        </w:rPr>
      </w:pPr>
      <w:r>
        <w:rPr>
          <w:rStyle w:val="96"/>
          <w:rFonts w:eastAsiaTheme="minorEastAsia"/>
          <w:szCs w:val="21"/>
        </w:rPr>
        <w:t>转摘</w:t>
      </w:r>
      <w:r>
        <w:rPr>
          <w:rStyle w:val="96"/>
          <w:rFonts w:hint="eastAsia" w:eastAsiaTheme="minorEastAsia"/>
          <w:szCs w:val="21"/>
        </w:rPr>
        <w:t>自农业农村部渔业渔政管理局</w:t>
      </w:r>
    </w:p>
    <w:p w14:paraId="35E83E4D">
      <w:pPr>
        <w:spacing w:line="360" w:lineRule="auto"/>
        <w:jc w:val="center"/>
        <w:outlineLvl w:val="1"/>
        <w:rPr>
          <w:rFonts w:eastAsia="黑体"/>
          <w:b/>
          <w:bCs/>
          <w:sz w:val="32"/>
          <w:szCs w:val="32"/>
        </w:rPr>
      </w:pPr>
      <w:bookmarkStart w:id="7" w:name="_Toc230941923"/>
      <w:r>
        <w:rPr>
          <w:rFonts w:hint="eastAsia" w:eastAsia="黑体"/>
          <w:b/>
          <w:bCs/>
          <w:sz w:val="32"/>
          <w:szCs w:val="32"/>
        </w:rPr>
        <w:t>全国渔船标准化技术委员会启动换届及征集委员工作</w:t>
      </w:r>
      <w:bookmarkEnd w:id="7"/>
    </w:p>
    <w:p w14:paraId="29AAEDC9">
      <w:pPr>
        <w:spacing w:line="360" w:lineRule="auto"/>
        <w:ind w:firstLine="426"/>
        <w:rPr>
          <w:rFonts w:eastAsiaTheme="minorEastAsia"/>
          <w:sz w:val="24"/>
        </w:rPr>
      </w:pPr>
      <w:r>
        <w:rPr>
          <w:rFonts w:hint="eastAsia" w:eastAsiaTheme="minorEastAsia"/>
          <w:sz w:val="24"/>
        </w:rPr>
        <w:t>为进一步提升渔船标准化工作的专业性、科学性和广泛性，根据《全国专业标准化技术委员会管理办法》相关要求，全国渔船标准化技术委员会（SAC/TC157）于近日印发通知，启动换届工作，面向全国各有关单位公开征集第六届标委会委员。</w:t>
      </w:r>
    </w:p>
    <w:p w14:paraId="1D70FB62">
      <w:pPr>
        <w:spacing w:line="360" w:lineRule="auto"/>
        <w:ind w:firstLine="426"/>
        <w:rPr>
          <w:rFonts w:eastAsiaTheme="minorEastAsia"/>
          <w:sz w:val="24"/>
        </w:rPr>
      </w:pPr>
      <w:r>
        <w:rPr>
          <w:rFonts w:hint="eastAsia" w:eastAsiaTheme="minorEastAsia"/>
          <w:sz w:val="24"/>
        </w:rPr>
        <w:t>通知要求，委员候选人应符合以下条件：一是年龄55周岁以下（相关领域资深专家可适当放宽），且目前未在3个及以上技术委员会同时担任委员；二是具有中级及以上专业技术职称或与其相对应的职务，在渔船相关领域从事科研、生产、检验、管理等工作满3年以上；三是掌握标准化知识，热心标准化事业，能积极参加标准化活动，遵守标委会章程，认真履行委员职责和义务，具有一定的文字和外语水平；四是在我国境内依法设立的法人组织任职的人员，并经其任职单位同意推荐；五是委员及其任职单位无失信、违法违规或其他不良记录。</w:t>
      </w:r>
    </w:p>
    <w:p w14:paraId="12689D65">
      <w:pPr>
        <w:spacing w:line="360" w:lineRule="auto"/>
        <w:ind w:firstLine="426"/>
        <w:rPr>
          <w:rFonts w:eastAsiaTheme="minorEastAsia"/>
          <w:sz w:val="24"/>
        </w:rPr>
      </w:pPr>
      <w:r>
        <w:rPr>
          <w:rFonts w:hint="eastAsia" w:eastAsiaTheme="minorEastAsia"/>
          <w:sz w:val="24"/>
        </w:rPr>
        <w:t>通知明确，委员候选人采用单位推荐或个人申请所在单位支持的方式，由申请人填写《全国专业标准化技术委员会委员登记表》，于2026年6月19日前向全国渔船标准化技术委员会秘书处（农业农村部渔政保障中心）提交书面材料，并登录全国专业标准化技术委员会信息公示系统（http://org.sacinfo.org.cn:8088/tcrm/）完成注册登记。秘书处将根据相关规定对委员候选人进行综合评定，形成第六届委员会组建方案，经主管部门审核后报国家标准化管理委员会批准。</w:t>
      </w:r>
    </w:p>
    <w:p w14:paraId="526AE769">
      <w:pPr>
        <w:spacing w:line="360" w:lineRule="auto"/>
        <w:ind w:firstLine="426"/>
        <w:rPr>
          <w:rFonts w:eastAsiaTheme="minorEastAsia"/>
          <w:sz w:val="24"/>
        </w:rPr>
      </w:pPr>
      <w:r>
        <w:rPr>
          <w:rFonts w:hint="eastAsia" w:eastAsiaTheme="minorEastAsia"/>
          <w:sz w:val="24"/>
        </w:rPr>
        <w:t>SAC/TC157是经国家标准化管理委员会批准成立的，在全国范围内负责渔船和渔船专用配套装备设计建造、使用、安全管理和污染防治等领域标准化工作的专业标准化技术委员会。本次换届以支撑产业需求、服务行业管理为导向，征集渔船和渔船专用配套装备领域具有代表性的生产者、经营者、使用者、消费者、公共利益方（主管部门、科研机构、大专院校、检测及认证机构、社会团体）等单位的专业人员，重点征集渔船管理、建造检验、机械装备、渔具渔港、安全应急、智能信息和标准化等领域专家</w:t>
      </w:r>
    </w:p>
    <w:p w14:paraId="6A3C7811">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农业农村部渔政保障中心</w:t>
      </w:r>
    </w:p>
    <w:p w14:paraId="4FD8A5BE">
      <w:pPr>
        <w:spacing w:line="360" w:lineRule="auto"/>
        <w:jc w:val="center"/>
        <w:outlineLvl w:val="1"/>
        <w:rPr>
          <w:rFonts w:eastAsia="黑体"/>
          <w:b/>
          <w:bCs/>
          <w:sz w:val="32"/>
          <w:szCs w:val="32"/>
        </w:rPr>
      </w:pPr>
      <w:bookmarkStart w:id="8" w:name="_Toc230941924"/>
      <w:r>
        <w:rPr>
          <w:rFonts w:hint="eastAsia" w:eastAsia="黑体"/>
          <w:b/>
          <w:bCs/>
          <w:sz w:val="32"/>
          <w:szCs w:val="32"/>
        </w:rPr>
        <w:t>自然资源部等八部门联合印发国家层面首部支持海洋生物医药产业发展政策文件</w:t>
      </w:r>
      <w:bookmarkEnd w:id="8"/>
    </w:p>
    <w:p w14:paraId="387990CD">
      <w:pPr>
        <w:spacing w:line="360" w:lineRule="auto"/>
        <w:ind w:firstLine="426"/>
        <w:rPr>
          <w:rFonts w:eastAsiaTheme="minorEastAsia"/>
          <w:sz w:val="24"/>
        </w:rPr>
      </w:pPr>
      <w:r>
        <w:rPr>
          <w:rFonts w:hint="eastAsia" w:eastAsiaTheme="minorEastAsia"/>
          <w:sz w:val="24"/>
        </w:rPr>
        <w:t>近日，国家层面首部海洋生物医药产业发展的政策文件《关于加快海洋药物和功能制品高质量发展的指导意见》(以下简称《指导意见》)发布。《指导意见》由自然资源部、国家发展改革委、科技部、工业和信息化部、国家卫生健康委、市场监管总局、国家中医药局、国家药监局等八部门联合印发，旨在贯彻落实党的二十大和二十届历次全会精神，以及中央财经委员会第六次会议和国民经济和社会发展“十五五”规划纲要关于发展海洋生物医药、生物制品相关部署，加快做强做优做大我国海洋生物医药产业。</w:t>
      </w:r>
    </w:p>
    <w:p w14:paraId="669D1F2E">
      <w:pPr>
        <w:spacing w:line="360" w:lineRule="auto"/>
        <w:ind w:firstLine="426"/>
        <w:rPr>
          <w:rFonts w:eastAsiaTheme="minorEastAsia"/>
          <w:sz w:val="24"/>
        </w:rPr>
      </w:pPr>
      <w:r>
        <w:rPr>
          <w:rFonts w:hint="eastAsia" w:eastAsiaTheme="minorEastAsia"/>
          <w:sz w:val="24"/>
        </w:rPr>
        <w:t>海洋药物和功能制品产业又称海洋生物医药产业、海洋药物和生物制品产业，是以海洋生物(包括其代谢产物)和矿物等物质为原料，生产药物、功能制品的活动总称。《指导意见》强调统筹加强“资源链+科技链+产业链+应用链”全链条创新体系建设，推动科技创新和产业创新深度融合，提出了未来五年的发展目标:力争到2030年，实现多项海洋创新药上市，产业增加值突破1300亿元，创新能力和集聚水平显著提升，综合实力进入国际前列。</w:t>
      </w:r>
    </w:p>
    <w:p w14:paraId="455B5865">
      <w:pPr>
        <w:spacing w:line="360" w:lineRule="auto"/>
        <w:ind w:firstLine="426"/>
        <w:rPr>
          <w:rFonts w:eastAsiaTheme="minorEastAsia"/>
          <w:sz w:val="24"/>
        </w:rPr>
      </w:pPr>
      <w:r>
        <w:rPr>
          <w:rFonts w:hint="eastAsia" w:eastAsiaTheme="minorEastAsia"/>
          <w:sz w:val="24"/>
        </w:rPr>
        <w:t>《指导意见》围绕夯实资源供给基础、增强科技创新支撑、优化产业发展方向、加快拓展市场应用、加强政策措施保障等5方面提出15项具体工作任务。一是夯实资源供给基础，包括开展海洋药源生物资源调查、完善海洋药源保藏体系、加强海洋生物制造原料供给保障、完善基础资源服务共享机制。二是增强科技创新支撑，包括打造高能级创新平台、加强关键技术攻关、完善深海生物遗传资源开发技术体系等关键任务。三是优化产业发展方向，包括加快海洋药物、海洋功能性制品等重点领域突破;鼓励各地因地制宜，发挥资源和技术优势，打造各具特色、错位发展的产业集聚区;深化产业开放合作，加快融入全球海洋生物医药市场。四是加快拓展市场应用，包括多渠道多场景拓展产品应用市场，强化产业联盟、品牌建设、标准建设等市场服务。五是加强政策措施保障，包括加强协调联动、加大资金投入、加强人才培养、开展运行监测等，强调多政策、多举措发力，加强部门和地方之间的组织和统筹协调，共同推动《指导意见》实施落地见效。</w:t>
      </w:r>
    </w:p>
    <w:p w14:paraId="50CF0E79">
      <w:pPr>
        <w:spacing w:line="360" w:lineRule="auto"/>
        <w:ind w:firstLine="426"/>
        <w:jc w:val="right"/>
        <w:rPr>
          <w:rStyle w:val="96"/>
          <w:rFonts w:eastAsiaTheme="minorEastAsia"/>
          <w:szCs w:val="21"/>
        </w:rPr>
      </w:pPr>
      <w:r>
        <w:rPr>
          <w:rStyle w:val="96"/>
          <w:rFonts w:eastAsiaTheme="minorEastAsia"/>
          <w:szCs w:val="21"/>
        </w:rPr>
        <w:t>转摘自</w:t>
      </w:r>
      <w:r>
        <w:rPr>
          <w:rStyle w:val="96"/>
          <w:rFonts w:hint="eastAsia" w:eastAsiaTheme="minorEastAsia"/>
          <w:szCs w:val="21"/>
        </w:rPr>
        <w:t>自然资源部</w:t>
      </w:r>
    </w:p>
    <w:bookmarkEnd w:id="1"/>
    <w:p w14:paraId="326B243B">
      <w:pPr>
        <w:spacing w:line="276" w:lineRule="auto"/>
        <w:jc w:val="left"/>
        <w:outlineLvl w:val="0"/>
        <w:rPr>
          <w:rStyle w:val="96"/>
          <w:rFonts w:eastAsia="黑体"/>
          <w:b/>
          <w:bCs/>
          <w:sz w:val="32"/>
          <w:szCs w:val="32"/>
          <w:bdr w:val="single" w:color="auto" w:sz="4" w:space="0"/>
        </w:rPr>
      </w:pPr>
    </w:p>
    <w:p w14:paraId="5359B0F7">
      <w:pPr>
        <w:spacing w:line="276" w:lineRule="auto"/>
        <w:jc w:val="left"/>
        <w:outlineLvl w:val="0"/>
        <w:rPr>
          <w:rStyle w:val="96"/>
          <w:rFonts w:eastAsia="黑体"/>
          <w:b/>
          <w:bCs/>
          <w:sz w:val="32"/>
          <w:szCs w:val="32"/>
          <w:bdr w:val="single" w:color="auto" w:sz="4" w:space="0"/>
        </w:rPr>
      </w:pPr>
      <w:bookmarkStart w:id="9" w:name="_Toc230941925"/>
      <w:r>
        <w:rPr>
          <w:rStyle w:val="96"/>
          <w:rFonts w:eastAsia="黑体"/>
          <w:b/>
          <w:bCs/>
          <w:sz w:val="32"/>
          <w:szCs w:val="32"/>
          <w:bdr w:val="single" w:color="auto" w:sz="4" w:space="0"/>
        </w:rPr>
        <w:t>行业资讯</w:t>
      </w:r>
      <w:bookmarkEnd w:id="9"/>
    </w:p>
    <w:p w14:paraId="32E6E326">
      <w:pPr>
        <w:spacing w:line="360" w:lineRule="auto"/>
        <w:jc w:val="center"/>
        <w:outlineLvl w:val="1"/>
        <w:rPr>
          <w:rFonts w:eastAsia="黑体"/>
          <w:b/>
          <w:bCs/>
          <w:sz w:val="32"/>
          <w:szCs w:val="32"/>
        </w:rPr>
      </w:pPr>
      <w:bookmarkStart w:id="10" w:name="_Toc230941926"/>
      <w:r>
        <w:rPr>
          <w:rFonts w:hint="eastAsia" w:eastAsia="黑体"/>
          <w:b/>
          <w:bCs/>
          <w:sz w:val="32"/>
          <w:szCs w:val="32"/>
        </w:rPr>
        <w:t>我国鳗鲡人工繁育研究取得突破</w:t>
      </w:r>
      <w:bookmarkEnd w:id="10"/>
    </w:p>
    <w:p w14:paraId="5EA50677">
      <w:pPr>
        <w:spacing w:line="360" w:lineRule="auto"/>
        <w:ind w:firstLine="420"/>
        <w:rPr>
          <w:rFonts w:eastAsiaTheme="minorEastAsia"/>
          <w:sz w:val="24"/>
        </w:rPr>
      </w:pPr>
      <w:r>
        <w:rPr>
          <w:rFonts w:hint="eastAsia" w:eastAsiaTheme="minorEastAsia"/>
          <w:sz w:val="24"/>
        </w:rPr>
        <w:t>近日，集美大学科研团队打破了我国2005年创下的日本鳗鲡仔鱼存活 21 天的历史纪录，将存活时间大幅提升至 40 日龄以上，并实现仔鱼完成变态发育，首次进入柳叶鳗生长阶段。</w:t>
      </w:r>
    </w:p>
    <w:p w14:paraId="7BF5DF04">
      <w:pPr>
        <w:spacing w:line="360" w:lineRule="auto"/>
        <w:ind w:firstLine="420"/>
        <w:rPr>
          <w:rFonts w:eastAsiaTheme="minorEastAsia"/>
          <w:sz w:val="24"/>
        </w:rPr>
      </w:pPr>
      <w:r>
        <w:rPr>
          <w:rFonts w:hint="eastAsia" w:eastAsiaTheme="minorEastAsia"/>
          <w:sz w:val="24"/>
        </w:rPr>
        <w:t>我国是全球日本鳗鲡养殖第一大国，养殖产量约12万吨，全产业链产值超200亿元，但苗种长期依赖天然捕捞。日本鳗鲡人工繁育是水产养殖领域的“世界级难题”， 其中仔鱼发育到柳叶鳗更是全链条最难突破的技术关口，我国科学家已为此摸索了半个多世纪。此次柳叶鳗的培育成功，标志着我国在日本鳗鲡人工繁育技术上迈出关键性一步，为实现我国水产种源自主可控、保障鳗鱼产业安全发展打下了坚实基础。</w:t>
      </w:r>
    </w:p>
    <w:p w14:paraId="227989DA">
      <w:pPr>
        <w:spacing w:line="360" w:lineRule="auto"/>
        <w:jc w:val="right"/>
        <w:rPr>
          <w:rFonts w:eastAsia="黑体"/>
          <w:b/>
          <w:bCs/>
          <w:sz w:val="32"/>
          <w:szCs w:val="32"/>
        </w:rPr>
      </w:pPr>
      <w:bookmarkStart w:id="11" w:name="_Toc229603690"/>
      <w:r>
        <w:rPr>
          <w:rStyle w:val="96"/>
          <w:rFonts w:eastAsiaTheme="minorEastAsia"/>
          <w:szCs w:val="21"/>
        </w:rPr>
        <w:t>转摘</w:t>
      </w:r>
      <w:r>
        <w:rPr>
          <w:rStyle w:val="96"/>
          <w:rFonts w:hint="eastAsia" w:eastAsiaTheme="minorEastAsia"/>
          <w:szCs w:val="21"/>
        </w:rPr>
        <w:t>自</w:t>
      </w:r>
      <w:bookmarkEnd w:id="11"/>
      <w:r>
        <w:rPr>
          <w:rStyle w:val="96"/>
          <w:rFonts w:hint="eastAsia" w:eastAsiaTheme="minorEastAsia"/>
          <w:szCs w:val="21"/>
        </w:rPr>
        <w:t>农业农村部新闻办公室</w:t>
      </w:r>
    </w:p>
    <w:p w14:paraId="2BAA2B2A">
      <w:pPr>
        <w:spacing w:line="360" w:lineRule="auto"/>
        <w:jc w:val="center"/>
        <w:outlineLvl w:val="1"/>
        <w:rPr>
          <w:rFonts w:eastAsia="黑体"/>
          <w:b/>
          <w:bCs/>
          <w:sz w:val="32"/>
          <w:szCs w:val="32"/>
        </w:rPr>
      </w:pPr>
      <w:bookmarkStart w:id="12" w:name="_Toc230941927"/>
      <w:r>
        <w:rPr>
          <w:rFonts w:hint="eastAsia" w:eastAsia="黑体"/>
          <w:b/>
          <w:bCs/>
          <w:sz w:val="32"/>
          <w:szCs w:val="32"/>
        </w:rPr>
        <w:t>2026第四届无为小龙虾品牌推介消费季活动举办</w:t>
      </w:r>
      <w:bookmarkEnd w:id="12"/>
    </w:p>
    <w:p w14:paraId="3A46C239">
      <w:pPr>
        <w:spacing w:line="360" w:lineRule="auto"/>
        <w:ind w:firstLine="480" w:firstLineChars="200"/>
        <w:rPr>
          <w:rFonts w:eastAsiaTheme="minorEastAsia"/>
          <w:sz w:val="24"/>
        </w:rPr>
      </w:pPr>
      <w:r>
        <w:rPr>
          <w:rFonts w:hint="eastAsia" w:eastAsiaTheme="minorEastAsia"/>
          <w:sz w:val="24"/>
        </w:rPr>
        <w:t>5月17日，2026第四届无为小龙虾品牌推介消费季在安徽省无为市举办。无为市稻虾综合种养面积达29万亩，综合产值突破26亿元，小龙虾产业已成为当地农业的支柱产业。</w:t>
      </w:r>
    </w:p>
    <w:p w14:paraId="4795E7FD">
      <w:pPr>
        <w:spacing w:line="360" w:lineRule="auto"/>
        <w:ind w:firstLine="480" w:firstLineChars="200"/>
        <w:rPr>
          <w:rFonts w:eastAsiaTheme="minorEastAsia"/>
          <w:sz w:val="24"/>
        </w:rPr>
      </w:pPr>
      <w:r>
        <w:rPr>
          <w:rFonts w:hint="eastAsia" w:eastAsiaTheme="minorEastAsia"/>
          <w:sz w:val="24"/>
        </w:rPr>
        <w:t>本次活动以“百亿水产领航，无为龙虾飘香”为主题，现场举行文艺汇演、产业颁奖、非遗展演等系列活动，吸引众多食客参与，有效拉动夜间消费。</w:t>
      </w:r>
    </w:p>
    <w:p w14:paraId="5CF1A23C">
      <w:pPr>
        <w:spacing w:line="360" w:lineRule="auto"/>
        <w:ind w:firstLine="480" w:firstLineChars="200"/>
        <w:rPr>
          <w:rFonts w:eastAsiaTheme="minorEastAsia"/>
          <w:sz w:val="24"/>
        </w:rPr>
      </w:pPr>
      <w:r>
        <w:rPr>
          <w:rFonts w:hint="eastAsia" w:eastAsiaTheme="minorEastAsia"/>
          <w:sz w:val="24"/>
        </w:rPr>
        <w:t>近年来，无为市深耕稻虾绿色种养，坚持政策扶持、科技赋能、三产融合、品牌引领，建成育苗基地、加工企业、专业交易市场和特色美食街区，无为小龙虾成功入选全国名特优新农产品和“皖美农品”区域公用品牌，走出了一条“稳粮增虾、生态增效”的现代农业发展之路。</w:t>
      </w:r>
    </w:p>
    <w:p w14:paraId="3CE9C305">
      <w:pPr>
        <w:spacing w:line="360" w:lineRule="auto"/>
        <w:ind w:firstLine="480" w:firstLineChars="200"/>
        <w:rPr>
          <w:rFonts w:eastAsiaTheme="minorEastAsia"/>
          <w:sz w:val="24"/>
        </w:rPr>
      </w:pPr>
      <w:r>
        <w:rPr>
          <w:rFonts w:hint="eastAsia" w:eastAsiaTheme="minorEastAsia"/>
          <w:sz w:val="24"/>
        </w:rPr>
        <w:t>据介绍，下一步，无为市将持续做强稻虾全产业链，以虾为媒、以节促产、以文兴牌，助力乡村振兴和特色产业高质量发展。</w:t>
      </w:r>
    </w:p>
    <w:p w14:paraId="6EEB6DE1">
      <w:pPr>
        <w:spacing w:line="360" w:lineRule="auto"/>
        <w:ind w:firstLine="480" w:firstLineChars="200"/>
        <w:rPr>
          <w:rFonts w:eastAsiaTheme="minorEastAsia"/>
          <w:sz w:val="24"/>
        </w:rPr>
      </w:pPr>
    </w:p>
    <w:p w14:paraId="58E3537D">
      <w:pPr>
        <w:spacing w:line="360" w:lineRule="auto"/>
        <w:ind w:firstLine="420"/>
        <w:jc w:val="right"/>
        <w:rPr>
          <w:rFonts w:eastAsiaTheme="minorEastAsia"/>
          <w:szCs w:val="21"/>
        </w:rPr>
      </w:pPr>
      <w:r>
        <w:rPr>
          <w:rStyle w:val="96"/>
          <w:rFonts w:eastAsiaTheme="minorEastAsia"/>
          <w:szCs w:val="21"/>
        </w:rPr>
        <w:t>转摘</w:t>
      </w:r>
      <w:r>
        <w:rPr>
          <w:rStyle w:val="96"/>
          <w:rFonts w:hint="eastAsia" w:eastAsiaTheme="minorEastAsia"/>
          <w:szCs w:val="21"/>
        </w:rPr>
        <w:t>自央视网</w:t>
      </w:r>
    </w:p>
    <w:p w14:paraId="2406BAE7">
      <w:pPr>
        <w:spacing w:line="360" w:lineRule="auto"/>
        <w:jc w:val="center"/>
        <w:outlineLvl w:val="1"/>
        <w:rPr>
          <w:rFonts w:eastAsia="黑体"/>
          <w:b/>
          <w:bCs/>
          <w:sz w:val="32"/>
          <w:szCs w:val="32"/>
        </w:rPr>
      </w:pPr>
      <w:bookmarkStart w:id="13" w:name="_Toc230941928"/>
      <w:r>
        <w:rPr>
          <w:rFonts w:hint="eastAsia" w:eastAsia="黑体"/>
          <w:b/>
          <w:bCs/>
          <w:sz w:val="32"/>
          <w:szCs w:val="32"/>
        </w:rPr>
        <w:t>中越联合举行2026年北部湾渔业资源增殖放流活动</w:t>
      </w:r>
      <w:bookmarkEnd w:id="13"/>
    </w:p>
    <w:p w14:paraId="313CF740">
      <w:pPr>
        <w:spacing w:line="360" w:lineRule="auto"/>
        <w:ind w:firstLine="420"/>
        <w:rPr>
          <w:rFonts w:eastAsiaTheme="minorEastAsia"/>
          <w:sz w:val="24"/>
        </w:rPr>
      </w:pPr>
      <w:r>
        <w:rPr>
          <w:rFonts w:hint="eastAsia" w:eastAsiaTheme="minorEastAsia"/>
          <w:sz w:val="24"/>
        </w:rPr>
        <w:t>为贯彻落实中越两国《关于在新时期持续深化全面战略合作伙伴关系、推动构建更高水平具有战略意义的中越命运共同体的联合声明》，共同养护周边海域资源，5月19日，2026年中越北部湾渔业资源联合增殖放流活动在广西壮族自治区防城港东兴市北仑河口举行，活动由中国农业农村部、越南农业与环境部、广西壮族自治区人民政府主办。</w:t>
      </w:r>
    </w:p>
    <w:p w14:paraId="0AE62918">
      <w:pPr>
        <w:spacing w:line="360" w:lineRule="auto"/>
        <w:ind w:firstLine="420"/>
        <w:rPr>
          <w:rFonts w:eastAsiaTheme="minorEastAsia"/>
          <w:sz w:val="24"/>
        </w:rPr>
      </w:pPr>
      <w:r>
        <w:rPr>
          <w:rFonts w:hint="eastAsia" w:eastAsiaTheme="minorEastAsia"/>
          <w:sz w:val="24"/>
        </w:rPr>
        <w:t>本次活动放流黄鳍鲷、真鲷等7个品种的苗种和亲本共计2.7亿尾，采用分子遗传、体外标志等技术，对长毛对虾、黑鲷苗种进行动态追踪，科学评估放流效果。据了解，2017年中越双方商签《关于开展北部湾渔业资源增殖放流与养护合作的谅解备忘录》以来，成功举办九次联合增殖放流活动，中方累计向北部湾放流各类水产苗种超过7.7亿尾。活动多次被写入中越联合公报或联合声明，成为南海周边国家渔业合作的典范。据监测，北部湾海域重点品种渔获量同比提升10%，直接带动沿湾渔民收入提升20%以上。</w:t>
      </w:r>
    </w:p>
    <w:p w14:paraId="3AC34533">
      <w:pPr>
        <w:spacing w:line="360" w:lineRule="auto"/>
        <w:ind w:firstLine="420"/>
        <w:rPr>
          <w:rFonts w:eastAsiaTheme="minorEastAsia"/>
          <w:sz w:val="24"/>
        </w:rPr>
      </w:pPr>
      <w:r>
        <w:rPr>
          <w:rFonts w:hint="eastAsia" w:eastAsiaTheme="minorEastAsia"/>
          <w:sz w:val="24"/>
        </w:rPr>
        <w:t>下一步，双方将推进磋商，加快推进《中越北部湾渔业可持续发展合作协定》签署；持续合作，开展联合增殖放流活动；协同治理，加强两国海上执法部门协作；科技赋能，推动渔业全产业链合作和现代化建设。中方今年还将开展中韩、中俄联合增殖放流活动，进一步深化合作，负责任养护周边水域渔业资源。</w:t>
      </w:r>
    </w:p>
    <w:p w14:paraId="70429A4E">
      <w:pPr>
        <w:spacing w:line="360" w:lineRule="auto"/>
        <w:ind w:firstLine="420"/>
        <w:rPr>
          <w:rFonts w:eastAsiaTheme="minorEastAsia"/>
          <w:sz w:val="24"/>
        </w:rPr>
      </w:pPr>
      <w:r>
        <w:rPr>
          <w:rFonts w:hint="eastAsia" w:eastAsiaTheme="minorEastAsia"/>
          <w:sz w:val="24"/>
        </w:rPr>
        <w:t>中方农业农村部、外交部、中国海警局，广西壮族自治区人民政府相关部门，以及越方驻南宁总领事馆代表参加活动。</w:t>
      </w:r>
    </w:p>
    <w:p w14:paraId="462687F0">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自农业农村部新闻办公室</w:t>
      </w:r>
    </w:p>
    <w:p w14:paraId="4F39E7B7">
      <w:pPr>
        <w:spacing w:line="360" w:lineRule="auto"/>
        <w:jc w:val="center"/>
        <w:outlineLvl w:val="1"/>
        <w:rPr>
          <w:rFonts w:eastAsia="黑体"/>
          <w:b/>
          <w:bCs/>
          <w:sz w:val="32"/>
          <w:szCs w:val="32"/>
        </w:rPr>
      </w:pPr>
      <w:bookmarkStart w:id="14" w:name="_Toc230941929"/>
      <w:r>
        <w:rPr>
          <w:rFonts w:hint="eastAsia" w:eastAsia="黑体"/>
          <w:b/>
          <w:bCs/>
          <w:sz w:val="32"/>
          <w:szCs w:val="32"/>
        </w:rPr>
        <w:t>全国首个！福建发布高品质大黄鱼等级标准</w:t>
      </w:r>
      <w:bookmarkEnd w:id="14"/>
    </w:p>
    <w:p w14:paraId="7B7B3609">
      <w:pPr>
        <w:spacing w:line="360" w:lineRule="auto"/>
        <w:ind w:firstLine="420"/>
        <w:rPr>
          <w:rFonts w:eastAsiaTheme="minorEastAsia"/>
          <w:sz w:val="24"/>
        </w:rPr>
      </w:pPr>
      <w:r>
        <w:rPr>
          <w:rFonts w:hint="eastAsia" w:eastAsiaTheme="minorEastAsia"/>
          <w:sz w:val="24"/>
        </w:rPr>
        <w:t>5月21日，《高品质大黄鱼等级评价技术规范》团体标准新闻发布会在福建宁德举行。作为全国首个覆盖闽浙大黄鱼主产区的高品质分级评价标准，该标准将于6月15日正式实施，终结大黄鱼市场长期“凭眼估价”乱象，推动产业从“按规格卖鱼”转向“按品质卖鱼”。</w:t>
      </w:r>
    </w:p>
    <w:p w14:paraId="40D50050">
      <w:pPr>
        <w:spacing w:line="360" w:lineRule="auto"/>
        <w:ind w:firstLine="420"/>
        <w:rPr>
          <w:rFonts w:eastAsiaTheme="minorEastAsia"/>
          <w:sz w:val="24"/>
        </w:rPr>
      </w:pPr>
      <w:r>
        <w:rPr>
          <w:rFonts w:hint="eastAsia" w:eastAsiaTheme="minorEastAsia"/>
          <w:sz w:val="24"/>
        </w:rPr>
        <w:t>该标准针对大黄鱼产业“优质不优价、评价不统一”痛点，采集239批次检测数据，构建科学分级体系。</w:t>
      </w:r>
    </w:p>
    <w:p w14:paraId="4679DF71">
      <w:pPr>
        <w:spacing w:line="360" w:lineRule="auto"/>
        <w:ind w:firstLine="420"/>
        <w:rPr>
          <w:rFonts w:eastAsiaTheme="minorEastAsia"/>
          <w:sz w:val="24"/>
        </w:rPr>
      </w:pPr>
      <w:r>
        <w:rPr>
          <w:rFonts w:hint="eastAsia" w:eastAsiaTheme="minorEastAsia"/>
          <w:sz w:val="24"/>
        </w:rPr>
        <w:t>标准将养殖大黄鱼划分为5个等级：AAAAA（黄金尊）、AAAA（黄金龙）、AAA（黄金鳞）、AA（石首黄）、A级（桂花黄），其中AAA级及以上为高品质等级。评价采用百分制，感官占40%、理化指标占60%，量化体长体高比、肥满度、弹性、粗脂肪、黄蓝值等核心指标，以数据精准定级。</w:t>
      </w:r>
    </w:p>
    <w:p w14:paraId="4C7DDED9">
      <w:pPr>
        <w:spacing w:line="360" w:lineRule="auto"/>
        <w:ind w:firstLine="420"/>
        <w:rPr>
          <w:rFonts w:eastAsiaTheme="minorEastAsia"/>
          <w:sz w:val="24"/>
        </w:rPr>
      </w:pPr>
      <w:r>
        <w:rPr>
          <w:rFonts w:hint="eastAsia" w:eastAsiaTheme="minorEastAsia"/>
          <w:sz w:val="24"/>
        </w:rPr>
        <w:t>同时推行追溯码、等级码、认证码三码合一，实现全生命周期可追溯，对非法添加、造假等实行一票否决，保障消费者知情权与选择权。</w:t>
      </w:r>
    </w:p>
    <w:p w14:paraId="13DAFAC9">
      <w:pPr>
        <w:spacing w:line="360" w:lineRule="auto"/>
        <w:ind w:firstLine="420"/>
        <w:rPr>
          <w:rFonts w:eastAsiaTheme="minorEastAsia"/>
          <w:sz w:val="24"/>
        </w:rPr>
      </w:pPr>
      <w:r>
        <w:rPr>
          <w:rFonts w:hint="eastAsia" w:eastAsiaTheme="minorEastAsia"/>
          <w:sz w:val="24"/>
        </w:rPr>
        <w:t>发布会上，相关负责人就标准性质、创新点与评价流程作出权威回应：</w:t>
      </w:r>
    </w:p>
    <w:p w14:paraId="52D39D3A">
      <w:pPr>
        <w:spacing w:line="360" w:lineRule="auto"/>
        <w:ind w:firstLine="420"/>
        <w:rPr>
          <w:rFonts w:eastAsiaTheme="minorEastAsia"/>
          <w:sz w:val="24"/>
        </w:rPr>
      </w:pPr>
      <w:r>
        <w:rPr>
          <w:rFonts w:hint="eastAsia" w:eastAsiaTheme="minorEastAsia"/>
          <w:sz w:val="24"/>
        </w:rPr>
        <w:t>标准性质：属自愿采用的团体标准，不强制、不处罚，但将与高端商超、电商专区、地理标志授权等挂钩，成为高品质大黄鱼市场准入门槛。</w:t>
      </w:r>
    </w:p>
    <w:p w14:paraId="1B439A5B">
      <w:pPr>
        <w:spacing w:line="360" w:lineRule="auto"/>
        <w:ind w:firstLine="420"/>
        <w:rPr>
          <w:rFonts w:eastAsiaTheme="minorEastAsia"/>
          <w:sz w:val="24"/>
        </w:rPr>
      </w:pPr>
      <w:r>
        <w:rPr>
          <w:rFonts w:hint="eastAsia" w:eastAsiaTheme="minorEastAsia"/>
          <w:sz w:val="24"/>
        </w:rPr>
        <w:t>适用范围：面向全国大黄鱼主产区开放采用，宁德作为主产区先行示范。</w:t>
      </w:r>
    </w:p>
    <w:p w14:paraId="0B855833">
      <w:pPr>
        <w:spacing w:line="360" w:lineRule="auto"/>
        <w:ind w:firstLine="420"/>
        <w:rPr>
          <w:rFonts w:eastAsiaTheme="minorEastAsia"/>
          <w:sz w:val="24"/>
        </w:rPr>
      </w:pPr>
      <w:r>
        <w:rPr>
          <w:rFonts w:hint="eastAsia" w:eastAsiaTheme="minorEastAsia"/>
          <w:sz w:val="24"/>
        </w:rPr>
        <w:t>核心创新：分级更精细、评价全量化、规则全国统一，补齐原有标准重通用、缺高品质专项判定短板。</w:t>
      </w:r>
    </w:p>
    <w:p w14:paraId="1595466A">
      <w:pPr>
        <w:spacing w:line="360" w:lineRule="auto"/>
        <w:ind w:firstLine="420"/>
        <w:rPr>
          <w:rFonts w:eastAsiaTheme="minorEastAsia"/>
          <w:sz w:val="24"/>
        </w:rPr>
      </w:pPr>
      <w:r>
        <w:rPr>
          <w:rFonts w:hint="eastAsia" w:eastAsiaTheme="minorEastAsia"/>
          <w:sz w:val="24"/>
        </w:rPr>
        <w:t>评价流程：按标准宣贯—机构选取—规则备案—评价实施—追溯监督闭环开展，第三方独立评审，全程留痕、公正可溯。</w:t>
      </w:r>
    </w:p>
    <w:p w14:paraId="1ABB1897">
      <w:pPr>
        <w:spacing w:line="360" w:lineRule="auto"/>
        <w:ind w:firstLine="420"/>
        <w:rPr>
          <w:rFonts w:eastAsiaTheme="minorEastAsia"/>
          <w:sz w:val="24"/>
        </w:rPr>
      </w:pPr>
      <w:r>
        <w:rPr>
          <w:rFonts w:hint="eastAsia" w:eastAsiaTheme="minorEastAsia"/>
          <w:sz w:val="24"/>
        </w:rPr>
        <w:t>宁德市海洋与渔业局相关负责人表示，宁德大黄鱼产量占全国80%，此次标准发布将推动产业从规模数量型向质量效益型升级，助力打造“中国大黄鱼之都”公共品牌，促进渔民增收与产业高质量发展。</w:t>
      </w:r>
    </w:p>
    <w:p w14:paraId="16AB28A8">
      <w:pPr>
        <w:spacing w:line="360" w:lineRule="auto"/>
        <w:ind w:firstLine="420"/>
        <w:rPr>
          <w:rFonts w:eastAsiaTheme="minorEastAsia"/>
          <w:sz w:val="24"/>
        </w:rPr>
      </w:pPr>
      <w:r>
        <w:rPr>
          <w:rFonts w:hint="eastAsia" w:eastAsiaTheme="minorEastAsia"/>
          <w:sz w:val="24"/>
        </w:rPr>
        <w:t>下一步，福建宁德将率先开展“按标生产、对标评级”专项行动，联动电商与商超推广等级标识，让高品质大黄鱼有据可查、按级论价，为全国渔业标准化提供福建经验。</w:t>
      </w:r>
    </w:p>
    <w:p w14:paraId="3F4379AA">
      <w:pPr>
        <w:spacing w:line="360" w:lineRule="auto"/>
        <w:ind w:firstLine="420"/>
        <w:jc w:val="right"/>
        <w:rPr>
          <w:rStyle w:val="96"/>
          <w:rFonts w:eastAsiaTheme="minorEastAsia"/>
          <w:szCs w:val="21"/>
        </w:rPr>
      </w:pPr>
      <w:bookmarkStart w:id="15" w:name="OLE_LINK2"/>
      <w:r>
        <w:rPr>
          <w:rStyle w:val="96"/>
          <w:rFonts w:eastAsiaTheme="minorEastAsia"/>
          <w:szCs w:val="21"/>
        </w:rPr>
        <w:t>转摘</w:t>
      </w:r>
      <w:r>
        <w:rPr>
          <w:rStyle w:val="96"/>
          <w:rFonts w:hint="eastAsia" w:eastAsiaTheme="minorEastAsia"/>
          <w:szCs w:val="21"/>
        </w:rPr>
        <w:t>自</w:t>
      </w:r>
      <w:bookmarkEnd w:id="15"/>
      <w:r>
        <w:rPr>
          <w:rStyle w:val="96"/>
          <w:rFonts w:hint="eastAsia" w:eastAsiaTheme="minorEastAsia"/>
          <w:szCs w:val="21"/>
        </w:rPr>
        <w:t>海峡都市报</w:t>
      </w:r>
    </w:p>
    <w:p w14:paraId="1A9F5749">
      <w:pPr>
        <w:spacing w:line="360" w:lineRule="auto"/>
        <w:jc w:val="center"/>
        <w:outlineLvl w:val="1"/>
        <w:rPr>
          <w:rFonts w:eastAsia="黑体"/>
          <w:b/>
          <w:bCs/>
          <w:sz w:val="32"/>
          <w:szCs w:val="32"/>
        </w:rPr>
      </w:pPr>
      <w:bookmarkStart w:id="16" w:name="_Toc230941930"/>
      <w:r>
        <w:rPr>
          <w:rFonts w:hint="eastAsia" w:eastAsia="黑体"/>
          <w:b/>
          <w:bCs/>
          <w:sz w:val="32"/>
          <w:szCs w:val="32"/>
        </w:rPr>
        <w:t>打造福建“向海图强”海洋文化品牌</w:t>
      </w:r>
      <w:bookmarkEnd w:id="16"/>
    </w:p>
    <w:p w14:paraId="6DE44DE7">
      <w:pPr>
        <w:spacing w:line="360" w:lineRule="auto"/>
        <w:ind w:firstLine="420"/>
        <w:rPr>
          <w:rFonts w:eastAsiaTheme="minorEastAsia"/>
          <w:sz w:val="24"/>
        </w:rPr>
      </w:pPr>
      <w:r>
        <w:rPr>
          <w:rFonts w:hint="eastAsia" w:eastAsiaTheme="minorEastAsia"/>
          <w:sz w:val="24"/>
        </w:rPr>
        <w:t>福建省“十五五”规划纲要提出，实施海洋文化传承发展工程，打造福建海洋文化品牌体系。数千年来，闽人在向海求生存、谋发展、图奋进的历史长河中，不仅赓续了闽海千年文脉，凝结了独特的精神标识与价值追求，而且形成了鲜明的“向海图强”海洋文化品牌。</w:t>
      </w:r>
    </w:p>
    <w:p w14:paraId="6A8D9492">
      <w:pPr>
        <w:spacing w:line="360" w:lineRule="auto"/>
        <w:ind w:firstLine="420"/>
        <w:rPr>
          <w:rFonts w:eastAsiaTheme="minorEastAsia"/>
          <w:sz w:val="24"/>
        </w:rPr>
      </w:pPr>
      <w:r>
        <w:rPr>
          <w:rFonts w:hint="eastAsia" w:eastAsiaTheme="minorEastAsia"/>
          <w:sz w:val="24"/>
        </w:rPr>
        <w:t>文化品牌的形成植根于厚重、独特的历史文化。福建是中华海洋文明的重要发祥地，拥有丰富的海洋资源，这种自然禀赋决定了闽人的发展道路与海洋紧密相连，使福建成为古代海上丝绸之路的重要起点、21世纪海上丝绸之路核心区，孕育出悠久璀璨的海洋文明和文化品牌。历经千年积淀与实践淬炼，福建海洋文化凝结成“爱国爱乡、爱拼敢赢、海纳百川”的精神内核，三者相互交织交融，共同奠定了“向海图强”海洋文化品牌的精神标识。</w:t>
      </w:r>
    </w:p>
    <w:p w14:paraId="54899668">
      <w:pPr>
        <w:spacing w:line="360" w:lineRule="auto"/>
        <w:ind w:firstLine="420"/>
        <w:rPr>
          <w:rFonts w:eastAsiaTheme="minorEastAsia"/>
          <w:sz w:val="24"/>
        </w:rPr>
      </w:pPr>
      <w:r>
        <w:rPr>
          <w:rFonts w:hint="eastAsia" w:eastAsiaTheme="minorEastAsia"/>
          <w:sz w:val="24"/>
        </w:rPr>
        <w:t>福建肩负着推动海洋文化交流交往交融、建设海洋命运共同体的重要使命。约2000万闽籍华侨华人遍布在190多个国家和地区，海丝文化成为中外交流的重要纽带，这些独特优势让福建成为践行“一带一路”倡议、推动中华优秀传统文化“走出去”的桥头堡。打造“向海图强”海洋文化品牌体系，能将海丝文化的开放包容、妈祖文化的行善大爱、船政文化的创新进取等融入其中，讲好中国海洋、福建海洋的故事，为构建人类命运共同体贡献福建力量。</w:t>
      </w:r>
    </w:p>
    <w:p w14:paraId="3D5BE6CD">
      <w:pPr>
        <w:spacing w:line="360" w:lineRule="auto"/>
        <w:ind w:firstLine="420"/>
        <w:rPr>
          <w:rFonts w:eastAsiaTheme="minorEastAsia"/>
          <w:sz w:val="24"/>
        </w:rPr>
      </w:pPr>
      <w:r>
        <w:rPr>
          <w:rFonts w:hint="eastAsia" w:eastAsiaTheme="minorEastAsia"/>
          <w:sz w:val="24"/>
        </w:rPr>
        <w:t>近年来，福建深入贯彻海洋强国战略，努力建设更高水平海洋强省，不断提升福建海洋文化的影响力。当前，海洋经济成为福建经济社会发展的重要增长极，但海洋文化资源尚未形成系统化品牌合力。有效整合资源，打造以“向海图强”为统领的海洋文化品牌体系，有助于推动福建海洋文化与海洋经济、科技创新、对外开放深度融合，让海洋文化成为培育社会主义核心价值观的丰富滋养，为海上福建建设提供强大的精神支撑。</w:t>
      </w:r>
    </w:p>
    <w:p w14:paraId="09B22A35">
      <w:pPr>
        <w:spacing w:line="360" w:lineRule="auto"/>
        <w:ind w:firstLine="420"/>
        <w:rPr>
          <w:rFonts w:eastAsiaTheme="minorEastAsia"/>
          <w:sz w:val="24"/>
        </w:rPr>
      </w:pPr>
      <w:r>
        <w:rPr>
          <w:rFonts w:hint="eastAsia" w:eastAsiaTheme="minorEastAsia"/>
          <w:sz w:val="24"/>
        </w:rPr>
        <w:t>创新创造是文化的生命力。习近平同志在福建工作期间，作出建设“海上福州”“海洋强省”等战略部署，为新时代打造福建海洋文化品牌指明了方向。在新的历史起点，我们要以推进高水平海上福建建设为契机，深入实施海洋文化传承发展工程，推动海洋文化创造性转化、创新性发展，着力打造“向海图强”海洋文化品牌体系，不断赋能海洋经济高质量发展。</w:t>
      </w:r>
    </w:p>
    <w:p w14:paraId="1309DDAB">
      <w:pPr>
        <w:spacing w:line="360" w:lineRule="auto"/>
        <w:ind w:firstLine="420"/>
        <w:rPr>
          <w:rFonts w:eastAsiaTheme="minorEastAsia"/>
          <w:sz w:val="24"/>
        </w:rPr>
      </w:pPr>
      <w:r>
        <w:rPr>
          <w:rFonts w:hint="eastAsia" w:eastAsiaTheme="minorEastAsia"/>
          <w:sz w:val="24"/>
        </w:rPr>
        <w:t>深耕文脉溯源，筑牢品牌根基</w:t>
      </w:r>
    </w:p>
    <w:p w14:paraId="7C899540">
      <w:pPr>
        <w:spacing w:line="360" w:lineRule="auto"/>
        <w:ind w:firstLine="420"/>
        <w:rPr>
          <w:rFonts w:eastAsiaTheme="minorEastAsia"/>
          <w:sz w:val="24"/>
        </w:rPr>
      </w:pPr>
      <w:r>
        <w:rPr>
          <w:rFonts w:hint="eastAsia" w:eastAsiaTheme="minorEastAsia"/>
          <w:sz w:val="24"/>
        </w:rPr>
        <w:t>文化品牌的生命力在于有深厚的历史底蕴。一方面，深化福建海洋文明探源工程，在海坛海峡水下考古区域调查、圣杯屿元代沉船水下考古发掘、南岛语族文化博物馆等取得更多成果，厘清福建海洋文化的起源、形成与发展图景，为品牌建构筑牢学理支撑。另一方面，加强海洋文化资源整体性保护利用，积极推进海丝国家文化公园创建，健全海丝文化、妈祖文化、南岛语族文化等代表性海洋文化保护体系，强化科技赋能，从文物保护、学术研究、典籍整理等多个维度，形成标志性研究成果，推进文化品牌的基因解码，推动优秀文化遗产实现创造性保护、活态化传承。</w:t>
      </w:r>
    </w:p>
    <w:p w14:paraId="452FB7EE">
      <w:pPr>
        <w:spacing w:line="360" w:lineRule="auto"/>
        <w:ind w:firstLine="420"/>
        <w:rPr>
          <w:rFonts w:eastAsiaTheme="minorEastAsia"/>
          <w:sz w:val="24"/>
        </w:rPr>
      </w:pPr>
      <w:r>
        <w:rPr>
          <w:rFonts w:hint="eastAsia" w:eastAsiaTheme="minorEastAsia"/>
          <w:sz w:val="24"/>
        </w:rPr>
        <w:t>立足时代实践，激活品牌表达</w:t>
      </w:r>
    </w:p>
    <w:p w14:paraId="52AFECB8">
      <w:pPr>
        <w:spacing w:line="360" w:lineRule="auto"/>
        <w:ind w:firstLine="420"/>
        <w:rPr>
          <w:rFonts w:eastAsiaTheme="minorEastAsia"/>
          <w:sz w:val="24"/>
        </w:rPr>
      </w:pPr>
      <w:r>
        <w:rPr>
          <w:rFonts w:hint="eastAsia" w:eastAsiaTheme="minorEastAsia"/>
          <w:sz w:val="24"/>
        </w:rPr>
        <w:t>以文化实践创新为牵引，持续挖掘弘扬品牌体系的宝贵内蕴和潜力。从“爱国爱乡、爱拼敢赢、海纳百川”实践中汲取鲜活素材，系统梳理海丝文化、妈祖文化、船政文化等新时代发展的标志性成果，提炼彰显中华海洋文化精髓的精神标识，构建一批特色视觉形象与原创文化IP，推进符号具象化与IP产业化。聚焦爱国爱乡、改革攻坚、人类命运共同体等创造性实践，推出一批海洋文化通识读本，创作一批海洋题材文艺精品，举办海洋文化嘉年华系列活动等，立体讲好闽人“向海图强”的生动故事，活化“指尖、舌尖、眼中”涉海非遗资源，丰富衍生文化产品供给，推动品牌创意跨界融合开发，不断提升海洋文化品牌的亲和力、时代感。</w:t>
      </w:r>
    </w:p>
    <w:p w14:paraId="42191EB8">
      <w:pPr>
        <w:spacing w:line="360" w:lineRule="auto"/>
        <w:ind w:firstLine="420"/>
        <w:rPr>
          <w:rFonts w:eastAsiaTheme="minorEastAsia"/>
          <w:sz w:val="24"/>
        </w:rPr>
      </w:pPr>
      <w:r>
        <w:rPr>
          <w:rFonts w:hint="eastAsia" w:eastAsiaTheme="minorEastAsia"/>
          <w:sz w:val="24"/>
        </w:rPr>
        <w:t>深化融合赋能，释放品牌效能</w:t>
      </w:r>
    </w:p>
    <w:p w14:paraId="58BC4472">
      <w:pPr>
        <w:spacing w:line="360" w:lineRule="auto"/>
        <w:ind w:firstLine="420"/>
        <w:rPr>
          <w:rFonts w:eastAsiaTheme="minorEastAsia"/>
          <w:sz w:val="24"/>
        </w:rPr>
      </w:pPr>
      <w:r>
        <w:rPr>
          <w:rFonts w:hint="eastAsia" w:eastAsiaTheme="minorEastAsia"/>
          <w:sz w:val="24"/>
        </w:rPr>
        <w:t>文化与经济互为支撑、共生共荣，推动海洋文化资源系统性转化为高质量发展动能。立足数字文化、内容创作、文化服务、文旅融合、文化智造等重点领域，实施重大文化产业项目带动战略，将海洋特色文化深度嵌入经济生产、分配、流通、消费全链条，依托价值引领、资源活化、产业支撑、消费扩容多维发力，持续催生新业态、新场景、新载体。深耕渔旅融合、滨海康养、海洋研学等特色优质文旅业态，培优壮大一批优秀文化企业与特色原创品牌，以科技赋能产业升级、以文化激活市场活力，全面提升“向海图强”海洋文化品牌辐射力与影响力，构建文化引领、科技支撑、产业赋能、社会共享的良性发展生态。</w:t>
      </w:r>
    </w:p>
    <w:p w14:paraId="499AADD1">
      <w:pPr>
        <w:spacing w:line="360" w:lineRule="auto"/>
        <w:ind w:firstLine="420"/>
        <w:rPr>
          <w:rFonts w:eastAsiaTheme="minorEastAsia"/>
          <w:sz w:val="24"/>
        </w:rPr>
      </w:pPr>
      <w:r>
        <w:rPr>
          <w:rFonts w:hint="eastAsia" w:eastAsiaTheme="minorEastAsia"/>
          <w:sz w:val="24"/>
        </w:rPr>
        <w:t>扩大交流互鉴，提升品牌影响</w:t>
      </w:r>
    </w:p>
    <w:p w14:paraId="4E0B140D">
      <w:pPr>
        <w:spacing w:line="360" w:lineRule="auto"/>
        <w:ind w:firstLine="420"/>
        <w:rPr>
          <w:rFonts w:eastAsiaTheme="minorEastAsia"/>
          <w:sz w:val="24"/>
        </w:rPr>
      </w:pPr>
      <w:r>
        <w:rPr>
          <w:rFonts w:hint="eastAsia" w:eastAsiaTheme="minorEastAsia"/>
          <w:sz w:val="24"/>
        </w:rPr>
        <w:t>福建历来是中外文明交流互鉴的重要桥头堡。以建设两岸融合发展示范区为契机，依托海峡论坛、海峡两岸文化产业博览会等平台，深化拓展两岸海洋资源开发利用、文化遗产保护、产业协同发展等领域交流合作。依托21世纪海丝核心区与闽籍华侨优势，深度融入高质量共建“一带一路”，加强海洋文化教育与学术合作，打造海丝文化国际交流高地。创新海洋文化国际表达形式，建强“海丝文化推介官”等队伍，加速文化“出海”；深化与共建国家人文交流，深度参与联合国“海洋十年”行动，加强与东盟、太平洋岛国合作，让“向海图强”海洋文化品牌成为构建海洋命运共同体的福建名片，向世界展现中华海洋文明的独特魅力。</w:t>
      </w:r>
    </w:p>
    <w:p w14:paraId="1A0D0A7F">
      <w:pPr>
        <w:spacing w:line="360" w:lineRule="auto"/>
        <w:ind w:firstLine="420"/>
        <w:jc w:val="right"/>
        <w:rPr>
          <w:rStyle w:val="96"/>
          <w:rFonts w:eastAsiaTheme="minorEastAsia"/>
          <w:szCs w:val="21"/>
        </w:rPr>
      </w:pPr>
      <w:r>
        <w:rPr>
          <w:rStyle w:val="96"/>
          <w:rFonts w:eastAsiaTheme="minorEastAsia"/>
          <w:szCs w:val="21"/>
        </w:rPr>
        <w:t>转摘</w:t>
      </w:r>
      <w:r>
        <w:rPr>
          <w:rStyle w:val="96"/>
          <w:rFonts w:hint="eastAsia" w:eastAsiaTheme="minorEastAsia"/>
          <w:szCs w:val="21"/>
        </w:rPr>
        <w:t>自福建日报</w:t>
      </w:r>
      <w:bookmarkStart w:id="34" w:name="_GoBack"/>
      <w:bookmarkEnd w:id="34"/>
    </w:p>
    <w:p w14:paraId="01586077">
      <w:pPr>
        <w:spacing w:line="276" w:lineRule="auto"/>
        <w:jc w:val="left"/>
        <w:outlineLvl w:val="0"/>
        <w:rPr>
          <w:rStyle w:val="96"/>
          <w:rFonts w:eastAsia="黑体"/>
          <w:b/>
          <w:bCs/>
          <w:sz w:val="32"/>
          <w:szCs w:val="32"/>
          <w:bdr w:val="single" w:color="auto" w:sz="4" w:space="0"/>
        </w:rPr>
      </w:pPr>
      <w:bookmarkStart w:id="17" w:name="_Toc230941931"/>
      <w:r>
        <w:rPr>
          <w:rStyle w:val="96"/>
          <w:rFonts w:hint="eastAsia" w:eastAsia="黑体"/>
          <w:b/>
          <w:bCs/>
          <w:sz w:val="32"/>
          <w:szCs w:val="32"/>
          <w:bdr w:val="single" w:color="auto" w:sz="4" w:space="0"/>
        </w:rPr>
        <w:t>本会动态</w:t>
      </w:r>
      <w:bookmarkEnd w:id="17"/>
    </w:p>
    <w:p w14:paraId="36795CCB">
      <w:pPr>
        <w:spacing w:line="360" w:lineRule="auto"/>
        <w:jc w:val="center"/>
        <w:outlineLvl w:val="1"/>
        <w:rPr>
          <w:rFonts w:eastAsia="黑体"/>
          <w:b/>
          <w:bCs/>
          <w:sz w:val="32"/>
          <w:szCs w:val="32"/>
        </w:rPr>
      </w:pPr>
      <w:bookmarkStart w:id="18" w:name="_Toc230941932"/>
      <w:r>
        <w:rPr>
          <w:rFonts w:hint="eastAsia" w:eastAsia="黑体"/>
          <w:b/>
          <w:bCs/>
          <w:sz w:val="32"/>
          <w:szCs w:val="32"/>
        </w:rPr>
        <w:t>闽宁携手话水产 科技协作谱新篇</w:t>
      </w:r>
      <w:bookmarkEnd w:id="18"/>
    </w:p>
    <w:p w14:paraId="68E9ADFD">
      <w:pPr>
        <w:spacing w:line="360" w:lineRule="auto"/>
        <w:ind w:firstLine="420" w:firstLineChars="175"/>
        <w:rPr>
          <w:rFonts w:eastAsiaTheme="minorEastAsia"/>
          <w:sz w:val="24"/>
        </w:rPr>
      </w:pPr>
      <w:r>
        <w:rPr>
          <w:rFonts w:hint="eastAsia" w:eastAsiaTheme="minorEastAsia"/>
          <w:sz w:val="24"/>
        </w:rPr>
        <w:t>在闽宁协作30周年之际，为深入挖掘东西部协作中的科技赋能成果，经由宁夏驻福建办事处搭接，2026年5月18日，宁夏《共产党人》杂志社策划部副主任闫院平率专题采访组，专程来福建省水产饲料研究会调研采访。福建省水产饲料研究会名誉理事长陈启发教授级高工、副理事长林建斌研究员、常务理事龚孟忠教授级高工及秘书处相关人员热情接待采访组一行，双方围绕闽宁水产科技协作历程、成果转化及未来合作方向展开深度交流。</w:t>
      </w:r>
    </w:p>
    <w:p w14:paraId="67C4AAD5">
      <w:pPr>
        <w:spacing w:line="360" w:lineRule="auto"/>
        <w:ind w:firstLine="420" w:firstLineChars="175"/>
        <w:rPr>
          <w:rFonts w:eastAsiaTheme="minorEastAsia"/>
          <w:sz w:val="24"/>
        </w:rPr>
      </w:pPr>
      <w:r>
        <w:rPr>
          <w:rFonts w:hint="eastAsia" w:eastAsiaTheme="minorEastAsia"/>
          <w:sz w:val="24"/>
        </w:rPr>
        <w:t>“闽宁协作，优势互补，互惠互利，长期合作，共同发展。”陈启发结合自身经历向采访组讲述了闽宁水产三十年协作成果。作为曾在宁夏工作23年的“老水产人”，陈启发特别提到，是宁夏陕北老红军精神激励他不忘初心、努力学习、吃苦奉献，把自己的聪明才智贡献给水产业，贡献给闽宁协作。上世纪八十年代初，积极响应宁夏区党委“给西海固土豆找出路”的召唤，在原宁夏水产研究所主持，购买西海固手工作坊的土豆淀粉+膨化工艺，1982年6月试制出α-淀粉样品，送请福建省粮油食品进出口公司水产科、莆田县涵江养鳗场和福建省水产研究所福州淡水分所试用，破解鳗鱼饲料粘弹性难题，获得认可资证。经过后续的进一步研发试验，将宁夏马铃薯加工成 α-淀粉，实现了成功替代进口原料、破解鳗鱼饲料粘弹性难题，冲破了鳗鱼饲料粘合剂被日本商人制约的困境，推动了福建淡水水产研究所研发的 F-802 鳗鱼饲料产业化。</w:t>
      </w:r>
    </w:p>
    <w:p w14:paraId="7EDAAB1B">
      <w:pPr>
        <w:spacing w:line="360" w:lineRule="auto"/>
        <w:ind w:firstLine="420" w:firstLineChars="175"/>
        <w:rPr>
          <w:rFonts w:eastAsiaTheme="minorEastAsia"/>
          <w:sz w:val="24"/>
        </w:rPr>
      </w:pPr>
      <w:r>
        <w:rPr>
          <w:rFonts w:hint="eastAsia" w:eastAsiaTheme="minorEastAsia"/>
          <w:sz w:val="24"/>
        </w:rPr>
        <w:t>2013 年起，研究会、福建省淡水水产研究所、厦门大学等在闽单位联合宁夏自治区水产研究所共同研发黄河鲇微胶囊饲料，经过多次配方试验与养殖对比，最终成功研发出适合黄河鲇仔稚鱼生长的专用饲料，制定驯食技术规程，苗种成活率从不足 15%跃升至 80%以上。</w:t>
      </w:r>
    </w:p>
    <w:p w14:paraId="25E32312">
      <w:pPr>
        <w:spacing w:line="360" w:lineRule="auto"/>
        <w:ind w:firstLine="420" w:firstLineChars="175"/>
        <w:rPr>
          <w:rFonts w:eastAsiaTheme="minorEastAsia"/>
          <w:sz w:val="24"/>
        </w:rPr>
      </w:pPr>
      <w:r>
        <w:rPr>
          <w:rFonts w:hint="eastAsia" w:eastAsiaTheme="minorEastAsia"/>
          <w:sz w:val="24"/>
        </w:rPr>
        <w:t>宁夏是水产养殖资源最丰富的西部省份，有大量的盐碱地可供开发，发展工厂化循环水养殖海产品具有巨大潜力。研究会捕捉到宁夏盐碱水域的开发潜力，2022年8月15日，陈启发等人走访宁夏驻闽办，沟通闽宁渔业科技协作，助推低盐水驯养的大黄鱼落户宁夏蓝湾生态农业有限公司，大力推进海鱼陆养项目的实施，助力乡村振兴。</w:t>
      </w:r>
    </w:p>
    <w:p w14:paraId="15C5318C">
      <w:pPr>
        <w:spacing w:line="360" w:lineRule="auto"/>
        <w:ind w:firstLine="420" w:firstLineChars="175"/>
        <w:rPr>
          <w:rFonts w:eastAsiaTheme="minorEastAsia"/>
          <w:sz w:val="24"/>
        </w:rPr>
      </w:pPr>
      <w:r>
        <w:rPr>
          <w:rFonts w:hint="eastAsia" w:eastAsiaTheme="minorEastAsia"/>
          <w:sz w:val="24"/>
        </w:rPr>
        <w:t>2025年研究会将宁夏盐池螺旋藻粉成功应用于福建东星斑饲料，实现资源互补新突破；研究会和福建省淡水水产研究所还为宁夏有关企业设计大西洋鲑饲料配方，助推宁夏冷水鱼养殖业健康发展。</w:t>
      </w:r>
    </w:p>
    <w:p w14:paraId="490A90B0">
      <w:pPr>
        <w:spacing w:line="360" w:lineRule="auto"/>
        <w:ind w:firstLine="420" w:firstLineChars="175"/>
        <w:rPr>
          <w:rFonts w:eastAsiaTheme="minorEastAsia"/>
          <w:sz w:val="24"/>
        </w:rPr>
      </w:pPr>
      <w:r>
        <w:rPr>
          <w:rFonts w:hint="eastAsia" w:eastAsiaTheme="minorEastAsia"/>
          <w:sz w:val="24"/>
        </w:rPr>
        <w:t>接受采访的陈启发、龚孟忠强调，当前闽宁协作迈入新阶段。2026年4月10日宁夏区人民政府办公厅颁发《产业兴区三年行动方案》要求：实施渔业优新品种扩量增收行动，发展海鱼陆养，扩大高效益品种养殖规模。到2028年，增加渔业名优品种养殖面积10万亩。他们建议：立项开展“宁夏盐碱地池塘养殖近江蛏的试验与示范”。</w:t>
      </w:r>
    </w:p>
    <w:p w14:paraId="355D9F0F">
      <w:pPr>
        <w:spacing w:line="360" w:lineRule="auto"/>
        <w:ind w:firstLine="420" w:firstLineChars="175"/>
        <w:rPr>
          <w:rFonts w:eastAsiaTheme="minorEastAsia"/>
          <w:sz w:val="24"/>
        </w:rPr>
      </w:pPr>
      <w:r>
        <w:rPr>
          <w:rFonts w:hint="eastAsia" w:eastAsiaTheme="minorEastAsia"/>
          <w:sz w:val="24"/>
        </w:rPr>
        <w:t>闫院平在采访结束时表示，此次调研让采访组深刻感受到科技在闽宁协作中的核心驱动作用及老水产人的奋斗精神和对宁夏的深厚感情。福建省水产饲料研究会的实践证明，东西部协作不仅是资金与物资的支援，更是技术与理念的交融，研究会的技术帮扶，不仅为宁夏水产业带来了变化，更搭建起了闽宁两地科技交流、产业合作的桥梁。他表示，《共产党人》杂志社将以此次采访为契机，推出系列深度报道，全面展现闽宁协作30年来的科技成果与创新模式，为全国东西部协作提供可借鉴的“闽宁样本”。</w:t>
      </w:r>
    </w:p>
    <w:p w14:paraId="63ABC43C">
      <w:pPr>
        <w:spacing w:line="360" w:lineRule="auto"/>
        <w:ind w:firstLine="420" w:firstLineChars="175"/>
        <w:rPr>
          <w:rFonts w:eastAsiaTheme="minorEastAsia"/>
          <w:sz w:val="24"/>
        </w:rPr>
      </w:pPr>
      <w:r>
        <w:rPr>
          <w:rFonts w:hint="eastAsia" w:eastAsiaTheme="minorEastAsia"/>
          <w:sz w:val="24"/>
        </w:rPr>
        <w:t>研究会今后将继续深化与宁夏在水产科技领域的合作，重点围绕盐碱水域生态养殖、水产饲料研发、人才培养、产业对接等方面开展联合攻关，推动更多福建水产科技成果在宁夏落地生根，助力宁夏水产业高质量发展，为闽宁协作谱写新的时代篇章。</w:t>
      </w:r>
    </w:p>
    <w:p w14:paraId="4F941E11">
      <w:pPr>
        <w:spacing w:line="360" w:lineRule="auto"/>
        <w:ind w:firstLine="420" w:firstLineChars="175"/>
        <w:rPr>
          <w:rFonts w:eastAsiaTheme="minorEastAsia"/>
          <w:sz w:val="24"/>
        </w:rPr>
      </w:pPr>
      <w:r>
        <w:rPr>
          <w:rFonts w:eastAsiaTheme="minorEastAsia"/>
          <w:sz w:val="24"/>
        </w:rPr>
        <w:drawing>
          <wp:inline distT="0" distB="0" distL="0" distR="0">
            <wp:extent cx="5828665" cy="3291205"/>
            <wp:effectExtent l="0" t="0" r="635" b="4445"/>
            <wp:docPr id="4992432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328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46665" cy="3301589"/>
                    </a:xfrm>
                    <a:prstGeom prst="rect">
                      <a:avLst/>
                    </a:prstGeom>
                    <a:noFill/>
                  </pic:spPr>
                </pic:pic>
              </a:graphicData>
            </a:graphic>
          </wp:inline>
        </w:drawing>
      </w:r>
    </w:p>
    <w:p w14:paraId="00525E14">
      <w:pPr>
        <w:spacing w:line="360" w:lineRule="auto"/>
        <w:jc w:val="center"/>
        <w:rPr>
          <w:rFonts w:eastAsiaTheme="minorEastAsia"/>
          <w:sz w:val="24"/>
        </w:rPr>
      </w:pPr>
      <w:r>
        <w:rPr>
          <w:rFonts w:hint="eastAsia" w:eastAsiaTheme="minorEastAsia"/>
          <w:sz w:val="24"/>
        </w:rPr>
        <w:t>福建省水产饲料研究会接受宁夏《共产党人》杂志社专题采访</w:t>
      </w:r>
    </w:p>
    <w:p w14:paraId="72EFC7F4">
      <w:pPr>
        <w:spacing w:line="360" w:lineRule="auto"/>
        <w:jc w:val="right"/>
        <w:rPr>
          <w:rStyle w:val="96"/>
          <w:rFonts w:eastAsiaTheme="minorEastAsia"/>
          <w:szCs w:val="21"/>
        </w:rPr>
      </w:pPr>
      <w:r>
        <w:rPr>
          <w:rStyle w:val="96"/>
          <w:rFonts w:hint="eastAsia" w:eastAsiaTheme="minorEastAsia"/>
          <w:szCs w:val="21"/>
        </w:rPr>
        <w:t>本会秘书处供稿</w:t>
      </w:r>
    </w:p>
    <w:p w14:paraId="73D6DFAA">
      <w:pPr>
        <w:spacing w:line="360" w:lineRule="auto"/>
        <w:jc w:val="right"/>
        <w:rPr>
          <w:rStyle w:val="96"/>
          <w:rFonts w:eastAsiaTheme="minorEastAsia"/>
          <w:szCs w:val="21"/>
        </w:rPr>
      </w:pPr>
    </w:p>
    <w:p w14:paraId="154F66EF">
      <w:pPr>
        <w:spacing w:line="360" w:lineRule="auto"/>
        <w:jc w:val="center"/>
        <w:outlineLvl w:val="1"/>
        <w:rPr>
          <w:rFonts w:eastAsia="黑体"/>
          <w:b/>
          <w:bCs/>
          <w:sz w:val="32"/>
          <w:szCs w:val="32"/>
        </w:rPr>
      </w:pPr>
      <w:bookmarkStart w:id="19" w:name="_Toc230941933"/>
      <w:r>
        <w:rPr>
          <w:rFonts w:hint="eastAsia" w:eastAsia="黑体"/>
          <w:b/>
          <w:bCs/>
          <w:sz w:val="32"/>
          <w:szCs w:val="32"/>
        </w:rPr>
        <w:t>本会召开换届大会暨第九届会员代表大会第一次会议</w:t>
      </w:r>
      <w:bookmarkEnd w:id="19"/>
    </w:p>
    <w:p w14:paraId="222CA123">
      <w:pPr>
        <w:spacing w:line="360" w:lineRule="auto"/>
        <w:ind w:firstLine="420" w:firstLineChars="175"/>
        <w:rPr>
          <w:rFonts w:eastAsiaTheme="minorEastAsia"/>
          <w:sz w:val="24"/>
        </w:rPr>
      </w:pPr>
      <w:r>
        <w:rPr>
          <w:rFonts w:hint="eastAsia" w:eastAsiaTheme="minorEastAsia"/>
          <w:sz w:val="24"/>
        </w:rPr>
        <w:t>本会于5月24日上午在福建省海洋与渔业局2号楼五楼会议室召开换届大会暨第九届会员代表大会第一次会议。本会会员代表、理事会成员、常务理事会成员、监事会成员、秘书处主要成员出席。</w:t>
      </w:r>
    </w:p>
    <w:p w14:paraId="252E8C0A">
      <w:pPr>
        <w:spacing w:line="360" w:lineRule="auto"/>
        <w:ind w:firstLine="420" w:firstLineChars="175"/>
        <w:rPr>
          <w:rFonts w:eastAsiaTheme="minorEastAsia"/>
          <w:sz w:val="24"/>
        </w:rPr>
      </w:pPr>
      <w:r>
        <w:rPr>
          <w:rFonts w:hint="eastAsia" w:eastAsiaTheme="minorEastAsia"/>
          <w:sz w:val="24"/>
        </w:rPr>
        <w:t>换届大会由第八届理事会秘书长翟少伟教授主持，理事长艾春香教授、监事长陈苏丽书记、副秘书长邵建春教授分别作理事会工作报告、监事会工作报告、理事会财务工作报告、研究会章程（草案）修改说明和第九届会费标准和使用管理办法，与会会员代表审议并通过了以上事项，并选举出福建省水产饲料研究会第九届理事会理事、监事会和名誉理事长人选。</w:t>
      </w:r>
    </w:p>
    <w:p w14:paraId="05BF2AB0">
      <w:pPr>
        <w:spacing w:line="360" w:lineRule="auto"/>
        <w:ind w:firstLine="420" w:firstLineChars="175"/>
        <w:rPr>
          <w:rFonts w:eastAsiaTheme="minorEastAsia"/>
          <w:sz w:val="24"/>
        </w:rPr>
      </w:pPr>
      <w:r>
        <w:rPr>
          <w:rFonts w:hint="eastAsia" w:eastAsiaTheme="minorEastAsia"/>
          <w:sz w:val="24"/>
        </w:rPr>
        <w:t>随后，召开福建省水产饲料研究会第九届理事会第一次会议，由理事会采取举手表决方式选出常务理事，并由常务理事会采取举手表决方式从常务理事中选举出理事长、副理事长和秘书长。</w:t>
      </w:r>
    </w:p>
    <w:p w14:paraId="11D54741">
      <w:pPr>
        <w:spacing w:line="360" w:lineRule="auto"/>
        <w:ind w:firstLine="420" w:firstLineChars="175"/>
        <w:rPr>
          <w:rFonts w:eastAsiaTheme="minorEastAsia"/>
          <w:sz w:val="24"/>
        </w:rPr>
      </w:pPr>
      <w:r>
        <w:rPr>
          <w:rFonts w:hint="eastAsia" w:eastAsiaTheme="minorEastAsia"/>
          <w:sz w:val="24"/>
        </w:rPr>
        <w:t>本次换届大会暨第九届会员代表大会第一次会议确定了新一届的理事会、监事会、常务理事会、社团主要负责人，本会将在孙云章理事长和艾春香名誉理事长的带领下继续全力为福建省水产饲料产业服务。</w:t>
      </w:r>
    </w:p>
    <w:p w14:paraId="3E1B4D9F">
      <w:pPr>
        <w:spacing w:line="360" w:lineRule="auto"/>
        <w:rPr>
          <w:rFonts w:eastAsiaTheme="minorEastAsia"/>
          <w:sz w:val="24"/>
        </w:rPr>
      </w:pPr>
      <w:r>
        <w:rPr>
          <w:rStyle w:val="93"/>
          <w:rFonts w:eastAsiaTheme="minorEastAsia"/>
          <w:sz w:val="24"/>
        </w:rPr>
        <w:drawing>
          <wp:inline distT="0" distB="0" distL="0" distR="0">
            <wp:extent cx="5930900" cy="3366770"/>
            <wp:effectExtent l="0" t="0" r="0" b="5080"/>
            <wp:docPr id="2120881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1109"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568" cy="3374110"/>
                    </a:xfrm>
                    <a:prstGeom prst="rect">
                      <a:avLst/>
                    </a:prstGeom>
                    <a:noFill/>
                  </pic:spPr>
                </pic:pic>
              </a:graphicData>
            </a:graphic>
          </wp:inline>
        </w:drawing>
      </w:r>
    </w:p>
    <w:p w14:paraId="387DB1C4">
      <w:pPr>
        <w:spacing w:line="360" w:lineRule="auto"/>
        <w:jc w:val="center"/>
        <w:rPr>
          <w:rFonts w:eastAsiaTheme="minorEastAsia"/>
          <w:sz w:val="24"/>
        </w:rPr>
      </w:pPr>
      <w:r>
        <w:rPr>
          <w:rFonts w:hint="eastAsia" w:eastAsiaTheme="minorEastAsia"/>
          <w:sz w:val="24"/>
        </w:rPr>
        <w:t>福建省水产饲料研究会换届大会暨第九届会员代表大会第一次会议会场</w:t>
      </w:r>
    </w:p>
    <w:p w14:paraId="49198059">
      <w:pPr>
        <w:spacing w:line="360" w:lineRule="auto"/>
        <w:jc w:val="right"/>
        <w:rPr>
          <w:rStyle w:val="96"/>
          <w:rFonts w:eastAsiaTheme="minorEastAsia"/>
          <w:szCs w:val="21"/>
        </w:rPr>
      </w:pPr>
      <w:r>
        <w:rPr>
          <w:rStyle w:val="96"/>
          <w:rFonts w:hint="eastAsia" w:eastAsiaTheme="minorEastAsia"/>
          <w:szCs w:val="21"/>
        </w:rPr>
        <w:t>本会秘书处供稿</w:t>
      </w:r>
    </w:p>
    <w:p w14:paraId="725DAF7E">
      <w:pPr>
        <w:spacing w:line="276" w:lineRule="auto"/>
        <w:jc w:val="left"/>
        <w:outlineLvl w:val="0"/>
        <w:rPr>
          <w:rFonts w:eastAsia="黑体"/>
          <w:b/>
          <w:bCs/>
          <w:sz w:val="32"/>
          <w:szCs w:val="32"/>
          <w:bdr w:val="single" w:color="auto" w:sz="4" w:space="0"/>
        </w:rPr>
      </w:pPr>
      <w:bookmarkStart w:id="20" w:name="_Toc221758906"/>
      <w:bookmarkStart w:id="21" w:name="_Toc225807399"/>
      <w:bookmarkStart w:id="22" w:name="_Toc208688089"/>
      <w:bookmarkStart w:id="23" w:name="_Toc206748070"/>
      <w:bookmarkStart w:id="24" w:name="_Toc230941934"/>
      <w:r>
        <w:rPr>
          <w:rFonts w:eastAsia="黑体"/>
          <w:b/>
          <w:bCs/>
          <w:sz w:val="32"/>
          <w:szCs w:val="32"/>
          <w:bdr w:val="single" w:color="auto" w:sz="4" w:space="0"/>
        </w:rPr>
        <w:t>研究进展</w:t>
      </w:r>
      <w:bookmarkEnd w:id="20"/>
      <w:bookmarkEnd w:id="21"/>
      <w:bookmarkEnd w:id="22"/>
      <w:bookmarkEnd w:id="23"/>
      <w:bookmarkEnd w:id="24"/>
    </w:p>
    <w:p w14:paraId="0F227AD3">
      <w:pPr>
        <w:spacing w:line="360" w:lineRule="auto"/>
        <w:jc w:val="center"/>
        <w:outlineLvl w:val="1"/>
        <w:rPr>
          <w:rFonts w:eastAsia="黑体"/>
          <w:b/>
          <w:bCs/>
          <w:sz w:val="32"/>
          <w:szCs w:val="32"/>
        </w:rPr>
      </w:pPr>
      <w:bookmarkStart w:id="25" w:name="_Toc230941935"/>
      <w:r>
        <w:rPr>
          <w:rFonts w:hint="eastAsia" w:eastAsia="黑体"/>
          <w:b/>
          <w:bCs/>
          <w:sz w:val="32"/>
          <w:szCs w:val="32"/>
        </w:rPr>
        <w:t>黄芩在水产动物生产中的应用研究进展</w:t>
      </w:r>
      <w:bookmarkEnd w:id="25"/>
    </w:p>
    <w:p w14:paraId="38CEA27B">
      <w:pPr>
        <w:jc w:val="center"/>
        <w:rPr>
          <w:szCs w:val="21"/>
        </w:rPr>
      </w:pPr>
      <w:r>
        <w:rPr>
          <w:szCs w:val="21"/>
        </w:rPr>
        <w:t>贾 晶 安美玲 郑振华 付 宁 丁立孝 王裕玉</w:t>
      </w:r>
      <w:r>
        <w:rPr>
          <w:rFonts w:ascii="Cambria Math" w:hAnsi="Cambria Math" w:cs="Cambria Math"/>
          <w:szCs w:val="21"/>
          <w:vertAlign w:val="superscript"/>
        </w:rPr>
        <w:t>∗</w:t>
      </w:r>
    </w:p>
    <w:p w14:paraId="6A3C1A81">
      <w:pPr>
        <w:jc w:val="center"/>
        <w:rPr>
          <w:szCs w:val="21"/>
        </w:rPr>
      </w:pPr>
      <w:r>
        <w:rPr>
          <w:rFonts w:hint="eastAsia"/>
          <w:szCs w:val="21"/>
        </w:rPr>
        <w:t>（日照职业技术学院，山东日照 276826）</w:t>
      </w:r>
    </w:p>
    <w:p w14:paraId="1ED1AE31">
      <w:pPr>
        <w:rPr>
          <w:szCs w:val="21"/>
        </w:rPr>
      </w:pPr>
      <w:r>
        <w:rPr>
          <w:b/>
          <w:bCs/>
          <w:szCs w:val="21"/>
        </w:rPr>
        <w:t>摘要</w:t>
      </w:r>
      <w:r>
        <w:rPr>
          <w:szCs w:val="21"/>
        </w:rPr>
        <w:t>：</w:t>
      </w:r>
      <w:r>
        <w:rPr>
          <w:rFonts w:hint="eastAsia"/>
          <w:szCs w:val="21"/>
        </w:rPr>
        <w:t>集约化水产养殖中，通常采用抗生素对水产病害进行防治，然而，长期使用抗生素会引起严重的食品安全问题及耐药性病原体的产生与传播。天然植物中含有能够促进生长和预防疾病的生物活性物质，因此可被用作安全环保型添加剂以减少或取代抗生素的使用。黄芩是一种唇形科、黄芩属的多年生草本植物，含有黄酮类、挥发油、多糖、甾体、生物碱、萜类化合物等生物活性成分，具有较高的药用价值。黄芩及其提取物具有抗炎、抗菌、抗病毒、抗氧化、免疫调节、降脂降糖等多种药理作用，被认为是一种非常具有应用价值的传统中药，在水产养殖中有着广阔的应用前景。文章综述了黄芩及其提取物的营养价值及其在水产养殖中的应用等，以期为黄芩及其提取物在水产动物生产中的应用提供参考</w:t>
      </w:r>
      <w:r>
        <w:rPr>
          <w:szCs w:val="21"/>
        </w:rPr>
        <w:t>。</w:t>
      </w:r>
    </w:p>
    <w:p w14:paraId="6D1453C8">
      <w:pPr>
        <w:rPr>
          <w:szCs w:val="21"/>
        </w:rPr>
      </w:pPr>
      <w:r>
        <w:rPr>
          <w:b/>
          <w:bCs/>
          <w:szCs w:val="21"/>
        </w:rPr>
        <w:t>关键词：</w:t>
      </w:r>
      <w:r>
        <w:rPr>
          <w:rFonts w:hint="eastAsia"/>
          <w:szCs w:val="21"/>
        </w:rPr>
        <w:t>黄芩；生物活性成分；免疫调节；降脂降糖；水产饲料</w:t>
      </w:r>
    </w:p>
    <w:p w14:paraId="3FDF1286">
      <w:pPr>
        <w:jc w:val="center"/>
        <w:rPr>
          <w:b/>
          <w:bCs/>
          <w:sz w:val="24"/>
        </w:rPr>
      </w:pPr>
      <w:r>
        <w:rPr>
          <w:b/>
          <w:bCs/>
          <w:sz w:val="24"/>
        </w:rPr>
        <w:t xml:space="preserve">Research Progress on Application of </w:t>
      </w:r>
      <w:r>
        <w:rPr>
          <w:b/>
          <w:bCs/>
          <w:i/>
          <w:iCs/>
          <w:sz w:val="24"/>
        </w:rPr>
        <w:t>Scutellaria baicalensis</w:t>
      </w:r>
      <w:r>
        <w:rPr>
          <w:b/>
          <w:bCs/>
          <w:sz w:val="24"/>
        </w:rPr>
        <w:t xml:space="preserve"> in Aquatic Animal Production</w:t>
      </w:r>
    </w:p>
    <w:p w14:paraId="6BD663B0">
      <w:pPr>
        <w:jc w:val="center"/>
        <w:rPr>
          <w:szCs w:val="21"/>
        </w:rPr>
      </w:pPr>
      <w:r>
        <w:rPr>
          <w:szCs w:val="21"/>
        </w:rPr>
        <w:t>JIA Jing AN Meiling ZHENG Zhenhua FU Ning DING Lixiao WANG Yuyu</w:t>
      </w:r>
      <w:r>
        <w:rPr>
          <w:rFonts w:ascii="Cambria Math" w:hAnsi="Cambria Math" w:cs="Cambria Math"/>
          <w:szCs w:val="21"/>
          <w:vertAlign w:val="superscript"/>
        </w:rPr>
        <w:t>∗</w:t>
      </w:r>
    </w:p>
    <w:p w14:paraId="1ABB3BF2">
      <w:pPr>
        <w:jc w:val="center"/>
        <w:rPr>
          <w:szCs w:val="21"/>
        </w:rPr>
      </w:pPr>
      <w:r>
        <w:rPr>
          <w:szCs w:val="21"/>
        </w:rPr>
        <w:t>(</w:t>
      </w:r>
      <w:r>
        <w:rPr>
          <w:i/>
          <w:iCs/>
          <w:szCs w:val="21"/>
        </w:rPr>
        <w:t>Rizhao Polytechnic</w:t>
      </w:r>
      <w:r>
        <w:rPr>
          <w:szCs w:val="21"/>
        </w:rPr>
        <w:t xml:space="preserve">, </w:t>
      </w:r>
      <w:r>
        <w:rPr>
          <w:i/>
          <w:iCs/>
          <w:szCs w:val="21"/>
        </w:rPr>
        <w:t>Shandong Rizhao</w:t>
      </w:r>
      <w:r>
        <w:rPr>
          <w:szCs w:val="21"/>
        </w:rPr>
        <w:t xml:space="preserve"> 276826, </w:t>
      </w:r>
      <w:r>
        <w:rPr>
          <w:i/>
          <w:iCs/>
          <w:szCs w:val="21"/>
        </w:rPr>
        <w:t>China</w:t>
      </w:r>
      <w:r>
        <w:rPr>
          <w:szCs w:val="21"/>
        </w:rPr>
        <w:t>)</w:t>
      </w:r>
    </w:p>
    <w:p w14:paraId="1BF760B3">
      <w:pPr>
        <w:rPr>
          <w:szCs w:val="21"/>
        </w:rPr>
      </w:pPr>
      <w:r>
        <w:rPr>
          <w:b/>
          <w:bCs/>
          <w:szCs w:val="21"/>
        </w:rPr>
        <w:t>Abstract</w:t>
      </w:r>
      <w:r>
        <w:rPr>
          <w:szCs w:val="21"/>
        </w:rPr>
        <w:t>: Generally, antibiotics are used to protect and treat aquatic disease in intensive aquaculture; how</w:t>
      </w:r>
      <w:r>
        <w:rPr>
          <w:rFonts w:hint="eastAsia"/>
          <w:szCs w:val="21"/>
        </w:rPr>
        <w:t xml:space="preserve">ever, continuous use led to severe food safety issues and emergence and spread of drug-resistant pathogens. Naturally available plants contain more active substances that can induce biological functions, such as enhance growth and prevent disease, and are being used as a safe and ecofriendly feed additives to reduce or even replace antibiotics. </w:t>
      </w:r>
      <w:r>
        <w:rPr>
          <w:rFonts w:hint="eastAsia"/>
          <w:i/>
          <w:iCs/>
          <w:szCs w:val="21"/>
        </w:rPr>
        <w:t>Scutellaria baicalensis</w:t>
      </w:r>
      <w:r>
        <w:rPr>
          <w:rFonts w:hint="eastAsia"/>
          <w:szCs w:val="21"/>
        </w:rPr>
        <w:t xml:space="preserve"> is a perennial herbaccous plant of the </w:t>
      </w:r>
      <w:r>
        <w:rPr>
          <w:rFonts w:hint="eastAsia"/>
          <w:i/>
          <w:iCs/>
          <w:szCs w:val="21"/>
        </w:rPr>
        <w:t>Scutellaria</w:t>
      </w:r>
      <w:r>
        <w:rPr>
          <w:rFonts w:hint="eastAsia"/>
          <w:szCs w:val="21"/>
        </w:rPr>
        <w:t xml:space="preserve"> genus in the Labiaceae. It contains flavonoids, volatile oils, polysaccharides, steroids, alkaloids, terpenoids and other bioactive components, which had a relatively high medicinal value. </w:t>
      </w:r>
      <w:r>
        <w:rPr>
          <w:rFonts w:hint="eastAsia"/>
          <w:i/>
          <w:iCs/>
          <w:szCs w:val="21"/>
        </w:rPr>
        <w:t>Scutellaria baicalensis</w:t>
      </w:r>
      <w:r>
        <w:rPr>
          <w:rFonts w:hint="eastAsia"/>
          <w:szCs w:val="21"/>
        </w:rPr>
        <w:t xml:space="preserve"> and its extract have been reported to have various pharmacological functions, including anti-inflammatory, anti-bacterial, </w:t>
      </w:r>
      <w:r>
        <w:rPr>
          <w:szCs w:val="21"/>
        </w:rPr>
        <w:t>anti-viral, antioxidant, immunomodulatory, hypolipemic and hypoglycemic. It is considered as a kind of tra</w:t>
      </w:r>
      <w:r>
        <w:rPr>
          <w:rFonts w:hint="eastAsia"/>
          <w:szCs w:val="21"/>
        </w:rPr>
        <w:t xml:space="preserve">ditional Chinese medicine with great application value, and has broad application prospects in aquatic animal production. In this paper, we summarized the nutritional value of </w:t>
      </w:r>
      <w:r>
        <w:rPr>
          <w:rFonts w:hint="eastAsia"/>
          <w:i/>
          <w:iCs/>
          <w:szCs w:val="21"/>
        </w:rPr>
        <w:t>Scutellaria baicalensis</w:t>
      </w:r>
      <w:r>
        <w:rPr>
          <w:rFonts w:hint="eastAsia"/>
          <w:szCs w:val="21"/>
        </w:rPr>
        <w:t xml:space="preserve"> and its extract and its application in aquatic animal production, in order to provide reference for the application of </w:t>
      </w:r>
      <w:r>
        <w:rPr>
          <w:rFonts w:hint="eastAsia"/>
          <w:i/>
          <w:iCs/>
          <w:szCs w:val="21"/>
        </w:rPr>
        <w:t>Scutellaria baicalensis</w:t>
      </w:r>
      <w:r>
        <w:rPr>
          <w:rFonts w:hint="eastAsia"/>
          <w:szCs w:val="21"/>
        </w:rPr>
        <w:t xml:space="preserve"> and its extract in aquatic animal production.</w:t>
      </w:r>
    </w:p>
    <w:p w14:paraId="7C4565D3">
      <w:pPr>
        <w:rPr>
          <w:szCs w:val="21"/>
        </w:rPr>
      </w:pPr>
      <w:r>
        <w:rPr>
          <w:b/>
          <w:bCs/>
          <w:szCs w:val="21"/>
        </w:rPr>
        <w:t>Key words</w:t>
      </w:r>
      <w:r>
        <w:rPr>
          <w:szCs w:val="21"/>
        </w:rPr>
        <w:t xml:space="preserve">: </w:t>
      </w:r>
      <w:r>
        <w:rPr>
          <w:i/>
          <w:iCs/>
          <w:szCs w:val="21"/>
        </w:rPr>
        <w:t>Scutellaria baicalensis</w:t>
      </w:r>
      <w:r>
        <w:rPr>
          <w:szCs w:val="21"/>
        </w:rPr>
        <w:t>; bioactive components; immunomodulatory; hypolipemic and</w:t>
      </w:r>
      <w:r>
        <w:rPr>
          <w:rFonts w:hint="eastAsia"/>
          <w:szCs w:val="21"/>
        </w:rPr>
        <w:t xml:space="preserve"> </w:t>
      </w:r>
      <w:r>
        <w:rPr>
          <w:szCs w:val="21"/>
        </w:rPr>
        <w:t>hypogly</w:t>
      </w:r>
      <w:r>
        <w:rPr>
          <w:rFonts w:hint="eastAsia"/>
          <w:szCs w:val="21"/>
        </w:rPr>
        <w:t xml:space="preserve">- </w:t>
      </w:r>
      <w:r>
        <w:rPr>
          <w:szCs w:val="21"/>
        </w:rPr>
        <w:t>ce</w:t>
      </w:r>
      <w:r>
        <w:rPr>
          <w:rFonts w:hint="eastAsia"/>
          <w:szCs w:val="21"/>
        </w:rPr>
        <w:t>mic; aquatic feed</w:t>
      </w:r>
    </w:p>
    <w:p w14:paraId="0D6055B4">
      <w:pPr>
        <w:rPr>
          <w:szCs w:val="21"/>
        </w:rPr>
      </w:pPr>
    </w:p>
    <w:p w14:paraId="43C48C38">
      <w:pPr>
        <w:spacing w:line="360" w:lineRule="auto"/>
        <w:ind w:firstLine="480" w:firstLineChars="200"/>
        <w:rPr>
          <w:sz w:val="24"/>
        </w:rPr>
      </w:pPr>
      <w:r>
        <w:rPr>
          <w:rFonts w:hint="eastAsia"/>
          <w:sz w:val="24"/>
        </w:rPr>
        <w:t>黄芩(</w:t>
      </w:r>
      <w:r>
        <w:rPr>
          <w:rFonts w:hint="eastAsia"/>
          <w:i/>
          <w:iCs/>
          <w:sz w:val="24"/>
        </w:rPr>
        <w:t>Scutellaria baicalensis</w:t>
      </w:r>
      <w:r>
        <w:rPr>
          <w:rFonts w:hint="eastAsia"/>
          <w:sz w:val="24"/>
        </w:rPr>
        <w:t>)，又名山茶根、条芩、泾芩等，隶属唇形科、黄芩属，多年生草本植物，性味苦、寒，归经为肺、胃、大肠经，具有祛湿、清热、解毒、泻火、止泻、利胆退黄、清肺化痰等功效，最早记载于《神农本草经》，黄芩的干根作为传统中药已有2000年的历史</w:t>
      </w:r>
      <w:r>
        <w:rPr>
          <w:rFonts w:hint="eastAsia"/>
          <w:sz w:val="24"/>
          <w:vertAlign w:val="superscript"/>
        </w:rPr>
        <w:t>[1-2]</w:t>
      </w:r>
      <w:r>
        <w:rPr>
          <w:rFonts w:hint="eastAsia"/>
          <w:sz w:val="24"/>
        </w:rPr>
        <w:t>。黄芩含有黄酮类、挥发油、多糖、固醇类、生物碱、萜类化合物等活性成分及含有微量元素，其中黄芩苷、黄芩素、汉黄芩苷及汉黄芩素等黄酮类是其主要生物活性成分</w:t>
      </w:r>
      <w:r>
        <w:rPr>
          <w:rFonts w:hint="eastAsia"/>
          <w:sz w:val="24"/>
          <w:vertAlign w:val="superscript"/>
        </w:rPr>
        <w:t>[3-5]</w:t>
      </w:r>
      <w:r>
        <w:rPr>
          <w:rFonts w:hint="eastAsia"/>
          <w:sz w:val="24"/>
        </w:rPr>
        <w:t>，具有抗炎、抑菌、抗病毒、抗氧化、降脂降糖、保肠护肝和神经保护等药理作用，是一种值得开发的植物资源，已纳入中国药典</w:t>
      </w:r>
      <w:r>
        <w:rPr>
          <w:rFonts w:hint="eastAsia"/>
          <w:sz w:val="24"/>
          <w:vertAlign w:val="superscript"/>
        </w:rPr>
        <w:t>[1, 3-6]</w:t>
      </w:r>
      <w:r>
        <w:rPr>
          <w:rFonts w:hint="eastAsia"/>
          <w:sz w:val="24"/>
        </w:rPr>
        <w:t>。研究表明，饲料中适量添加黄芩或其提取物可以提高畜禽和水产动物机体的抗菌、抗炎、抗氧化、免疫力及发挥降脂和调节肠道菌群等作用，但其对动物生长的影响存在差异</w:t>
      </w:r>
      <w:r>
        <w:rPr>
          <w:rFonts w:hint="eastAsia"/>
          <w:sz w:val="24"/>
          <w:vertAlign w:val="superscript"/>
        </w:rPr>
        <w:t>[7-8]</w:t>
      </w:r>
      <w:r>
        <w:rPr>
          <w:rFonts w:hint="eastAsia"/>
          <w:sz w:val="24"/>
        </w:rPr>
        <w:t>。本文综述了黄芩的活性成分、药理作用及其在水产动物生产中的应用，旨在为黄芩在水产养殖中的应用提供科学参考。</w:t>
      </w:r>
    </w:p>
    <w:p w14:paraId="6644122A">
      <w:pPr>
        <w:spacing w:line="360" w:lineRule="auto"/>
        <w:rPr>
          <w:sz w:val="24"/>
        </w:rPr>
      </w:pPr>
      <w:r>
        <w:rPr>
          <w:rFonts w:hint="eastAsia"/>
          <w:sz w:val="24"/>
        </w:rPr>
        <w:t>1  黄芩的活性成分</w:t>
      </w:r>
    </w:p>
    <w:p w14:paraId="5C79BC95">
      <w:pPr>
        <w:spacing w:line="360" w:lineRule="auto"/>
        <w:ind w:firstLine="480" w:firstLineChars="200"/>
        <w:rPr>
          <w:sz w:val="24"/>
        </w:rPr>
      </w:pPr>
      <w:r>
        <w:rPr>
          <w:rFonts w:hint="eastAsia"/>
          <w:sz w:val="24"/>
        </w:rPr>
        <w:t>黄芩的根是其药用成分的主要来源。迄今为止，已从黄芩中分离鉴定出黄酮类、萜类、挥发油和多糖等化合物，其中，黄酮类化合物是黄芩药理作用的主要活性成分，约100种，黄芩苷、黄芩素、汉黄芩苷、汉黄芩素和千层纸素是黄芩的主要黄酮类成分</w:t>
      </w:r>
      <w:r>
        <w:rPr>
          <w:rFonts w:hint="eastAsia"/>
          <w:sz w:val="24"/>
          <w:vertAlign w:val="superscript"/>
        </w:rPr>
        <w:t>[9-12]</w:t>
      </w:r>
      <w:r>
        <w:rPr>
          <w:rFonts w:hint="eastAsia"/>
          <w:sz w:val="24"/>
        </w:rPr>
        <w:t>。研究发现，黄芩苷可通过降低白细胞介素-1</w:t>
      </w:r>
      <w:r>
        <w:rPr>
          <w:i/>
          <w:iCs/>
          <w:sz w:val="24"/>
        </w:rPr>
        <w:t>β</w:t>
      </w:r>
      <w:r>
        <w:rPr>
          <w:rFonts w:hint="eastAsia"/>
          <w:sz w:val="24"/>
        </w:rPr>
        <w:t>(IL-1</w:t>
      </w:r>
      <w:r>
        <w:rPr>
          <w:i/>
          <w:iCs/>
          <w:sz w:val="24"/>
        </w:rPr>
        <w:t>β</w:t>
      </w:r>
      <w:r>
        <w:rPr>
          <w:rFonts w:hint="eastAsia"/>
          <w:sz w:val="24"/>
        </w:rPr>
        <w:t>)、白细胞介素-6(IL-6)、白细胞介素-8(IL-8)、干扰素-</w:t>
      </w:r>
      <w:r>
        <w:rPr>
          <w:i/>
          <w:iCs/>
          <w:sz w:val="24"/>
        </w:rPr>
        <w:t>γ</w:t>
      </w:r>
      <w:r>
        <w:rPr>
          <w:rFonts w:hint="eastAsia"/>
          <w:sz w:val="24"/>
        </w:rPr>
        <w:t>(IFN-</w:t>
      </w:r>
      <w:r>
        <w:rPr>
          <w:i/>
          <w:iCs/>
          <w:sz w:val="24"/>
        </w:rPr>
        <w:t>γ</w:t>
      </w:r>
      <w:r>
        <w:rPr>
          <w:rFonts w:hint="eastAsia"/>
          <w:sz w:val="24"/>
        </w:rPr>
        <w:t>)和肿瘤坏死因子-</w:t>
      </w:r>
      <w:r>
        <w:rPr>
          <w:i/>
          <w:iCs/>
          <w:sz w:val="24"/>
        </w:rPr>
        <w:t>α</w:t>
      </w:r>
      <w:r>
        <w:rPr>
          <w:rFonts w:hint="eastAsia"/>
          <w:sz w:val="24"/>
        </w:rPr>
        <w:t>(TNF-</w:t>
      </w:r>
      <w:r>
        <w:rPr>
          <w:i/>
          <w:iCs/>
          <w:sz w:val="24"/>
        </w:rPr>
        <w:t>α</w:t>
      </w:r>
      <w:r>
        <w:rPr>
          <w:rFonts w:hint="eastAsia"/>
          <w:sz w:val="24"/>
        </w:rPr>
        <w:t>)等细胞因子的释放，有效治疗呕吐毒素诱导的肠炎</w:t>
      </w:r>
      <w:r>
        <w:rPr>
          <w:rFonts w:hint="eastAsia"/>
          <w:sz w:val="24"/>
          <w:vertAlign w:val="superscript"/>
        </w:rPr>
        <w:t>[13]</w:t>
      </w:r>
      <w:r>
        <w:rPr>
          <w:rFonts w:hint="eastAsia"/>
          <w:sz w:val="24"/>
        </w:rPr>
        <w:t>。黄芩苷可通过肿瘤蛋白53（TP53）介导的铁凋亡途径减轻黄曲霉毒素B1诱导的肝细胞氧化应激和脱氧核糖核酸(DNA)损伤</w:t>
      </w:r>
      <w:r>
        <w:rPr>
          <w:rFonts w:hint="eastAsia"/>
          <w:sz w:val="24"/>
          <w:vertAlign w:val="superscript"/>
        </w:rPr>
        <w:t>[14]</w:t>
      </w:r>
      <w:r>
        <w:rPr>
          <w:rFonts w:hint="eastAsia"/>
          <w:sz w:val="24"/>
        </w:rPr>
        <w:t>。黄酮类化合物具有溶解性差、生物利用率低等缺点，天然黄芩苷酯化后形成的黄芩苷酯化物易通过细胞膜进入细胞内</w:t>
      </w:r>
      <w:r>
        <w:rPr>
          <w:rFonts w:hint="eastAsia"/>
          <w:sz w:val="24"/>
          <w:vertAlign w:val="superscript"/>
        </w:rPr>
        <w:t>[15]</w:t>
      </w:r>
      <w:r>
        <w:rPr>
          <w:rFonts w:hint="eastAsia"/>
          <w:sz w:val="24"/>
        </w:rPr>
        <w:t>。黄酮类活性成分易溶于甲醇、乙醇、丙酮等有机溶剂，而水中的溶解度很低。常用的提取方法有浸渍法、煎煮法、回流法、溶剂提取法、微波法、酶解法等</w:t>
      </w:r>
      <w:r>
        <w:rPr>
          <w:rFonts w:hint="eastAsia"/>
          <w:sz w:val="24"/>
          <w:vertAlign w:val="superscript"/>
        </w:rPr>
        <w:t>[10]</w:t>
      </w:r>
      <w:r>
        <w:rPr>
          <w:rFonts w:hint="eastAsia"/>
          <w:sz w:val="24"/>
        </w:rPr>
        <w:t>。</w:t>
      </w:r>
    </w:p>
    <w:p w14:paraId="45448C7A">
      <w:pPr>
        <w:spacing w:line="360" w:lineRule="auto"/>
        <w:ind w:firstLine="480" w:firstLineChars="200"/>
        <w:rPr>
          <w:sz w:val="24"/>
        </w:rPr>
      </w:pPr>
      <w:r>
        <w:rPr>
          <w:rFonts w:hint="eastAsia"/>
          <w:sz w:val="24"/>
        </w:rPr>
        <w:t>黄芩多糖是由多个单糖分子通过糖苷键连接而成的多聚糖，主要包含葡萄糖、半乳糖和阿拉伯糖等水溶性多糖，还含有少量的甘露糖、木糖和半乳糖醛酸，具有抗氧化、抗病毒、免疫调节等特性</w:t>
      </w:r>
      <w:r>
        <w:rPr>
          <w:rFonts w:hint="eastAsia"/>
          <w:sz w:val="24"/>
          <w:vertAlign w:val="superscript"/>
        </w:rPr>
        <w:t>[3, 16]</w:t>
      </w:r>
      <w:r>
        <w:rPr>
          <w:rFonts w:hint="eastAsia"/>
          <w:sz w:val="24"/>
        </w:rPr>
        <w:t>。黄芩多糖含量为5.26%~12.21%，其含量受黄芩来源和炮制方法的影响，如炒黄芩的多糖含量高达12%，依次为酒黄芩、生黄芩、酒蒸黄芩、焦黄芩、炭黄芩的多糖含量仅约为5%，生产中常用的为黄芩粗多糖</w:t>
      </w:r>
      <w:r>
        <w:rPr>
          <w:rFonts w:hint="eastAsia"/>
          <w:sz w:val="24"/>
          <w:vertAlign w:val="superscript"/>
        </w:rPr>
        <w:t>[17]</w:t>
      </w:r>
      <w:r>
        <w:rPr>
          <w:rFonts w:hint="eastAsia"/>
          <w:sz w:val="24"/>
        </w:rPr>
        <w:t>。</w:t>
      </w:r>
    </w:p>
    <w:p w14:paraId="71CDF0D2">
      <w:pPr>
        <w:spacing w:line="360" w:lineRule="auto"/>
        <w:ind w:firstLine="480" w:firstLineChars="200"/>
        <w:rPr>
          <w:sz w:val="24"/>
        </w:rPr>
      </w:pPr>
      <w:r>
        <w:rPr>
          <w:rFonts w:hint="eastAsia"/>
          <w:sz w:val="24"/>
        </w:rPr>
        <w:t>除上述成分外，黄芩还含有挥发油、萜类、固醇类、生物碱、苯甲酸和苯甲醇等活性成分，镁、铁、锌和硒等微量元素及天冬氨酸、谷氨酸和亮氨酸等氨基酸等</w:t>
      </w:r>
      <w:r>
        <w:rPr>
          <w:rFonts w:hint="eastAsia"/>
          <w:sz w:val="24"/>
          <w:vertAlign w:val="superscript"/>
        </w:rPr>
        <w:t>[1, 4, 18-19]</w:t>
      </w:r>
      <w:r>
        <w:rPr>
          <w:rFonts w:hint="eastAsia"/>
          <w:sz w:val="24"/>
        </w:rPr>
        <w:t>。黄芩的质量、药用和食用价值与产地、品种、收获时机、炮制方法、提取方法、纯化方法和海拔等因素有关系。如黄芩黄酮的提取率与提取方法和工艺参数有关，其中超临界流体萃取法提取效率(24.95%)高于溶剂法(10.52%)、酶解法(10.3%)和超声波法(8.53%)</w:t>
      </w:r>
      <w:r>
        <w:rPr>
          <w:rFonts w:hint="eastAsia"/>
          <w:sz w:val="24"/>
          <w:vertAlign w:val="superscript"/>
        </w:rPr>
        <w:t>[20]</w:t>
      </w:r>
      <w:r>
        <w:rPr>
          <w:rFonts w:hint="eastAsia"/>
          <w:sz w:val="24"/>
        </w:rPr>
        <w:t>。</w:t>
      </w:r>
    </w:p>
    <w:p w14:paraId="049C9397">
      <w:pPr>
        <w:spacing w:line="360" w:lineRule="auto"/>
        <w:rPr>
          <w:sz w:val="24"/>
        </w:rPr>
      </w:pPr>
      <w:r>
        <w:rPr>
          <w:rFonts w:hint="eastAsia"/>
          <w:sz w:val="24"/>
        </w:rPr>
        <w:t>2  黄芩的药理活性</w:t>
      </w:r>
    </w:p>
    <w:p w14:paraId="05D6BF88">
      <w:pPr>
        <w:spacing w:line="360" w:lineRule="auto"/>
        <w:rPr>
          <w:sz w:val="24"/>
        </w:rPr>
      </w:pPr>
      <w:r>
        <w:rPr>
          <w:rFonts w:hint="eastAsia"/>
          <w:sz w:val="24"/>
        </w:rPr>
        <w:t>2.1  抗氧化</w:t>
      </w:r>
    </w:p>
    <w:p w14:paraId="1A7E7650">
      <w:pPr>
        <w:spacing w:line="360" w:lineRule="auto"/>
        <w:ind w:firstLine="480" w:firstLineChars="200"/>
        <w:rPr>
          <w:sz w:val="24"/>
        </w:rPr>
      </w:pPr>
      <w:r>
        <w:rPr>
          <w:rFonts w:hint="eastAsia"/>
          <w:sz w:val="24"/>
        </w:rPr>
        <w:t>氧化应激是水产养殖等有氧生命活动中不可避免的。在健康的有氧生物中，活性氧(ROS)的产生与保护细胞免受ROS侵害的系统之间存在平衡。然而，当自由基的生成速率高于细胞的清除能力时，发生氧化应激，使过量的ROS导致脂质过氧化、蛋白质氧化、基因表达改变、细胞氧化还原状态的改变和细胞凋亡等，直接影响鱼类的福利和最终产品质量</w:t>
      </w:r>
      <w:r>
        <w:rPr>
          <w:rFonts w:hint="eastAsia"/>
          <w:sz w:val="24"/>
          <w:vertAlign w:val="superscript"/>
        </w:rPr>
        <w:t>[21]</w:t>
      </w:r>
      <w:r>
        <w:rPr>
          <w:rFonts w:hint="eastAsia"/>
          <w:sz w:val="24"/>
        </w:rPr>
        <w:t>。研究发现，黄芩苷、汉黄芩苷、黄芩素和汉黄芩素等黄酮类化合物具有抗氧化活性，与氧自由基的清除能力密切相关，其中黄芩苷的抗氧化能力较强</w:t>
      </w:r>
      <w:r>
        <w:rPr>
          <w:rFonts w:hint="eastAsia"/>
          <w:sz w:val="24"/>
          <w:vertAlign w:val="superscript"/>
        </w:rPr>
        <w:t>[4, 9, 22]</w:t>
      </w:r>
      <w:r>
        <w:rPr>
          <w:rFonts w:hint="eastAsia"/>
          <w:sz w:val="24"/>
        </w:rPr>
        <w:t>，这可能是因为黄芩苷是黄芩黄酮类的抗氧化活性中心，尤其是黄酮A环的5和(或)6位游离羟基是其抗氧化活性所必需的</w:t>
      </w:r>
      <w:r>
        <w:rPr>
          <w:rFonts w:hint="eastAsia"/>
          <w:sz w:val="24"/>
          <w:vertAlign w:val="superscript"/>
        </w:rPr>
        <w:t>[15, 23]</w:t>
      </w:r>
      <w:r>
        <w:rPr>
          <w:rFonts w:hint="eastAsia"/>
          <w:sz w:val="24"/>
        </w:rPr>
        <w:t>。黄芩苷通过下调Kelch样ECH关联蛋白1 (Keap1)表达、上调核因子E2相关因子2(Nrf2)蛋白水平，使过量的Nrf2由胞质向核内转移，与抗氧化反应元件(ARE)调控序列结合，启动下游超氧化物歧化酶(SOD)等基因和蛋白表达，从而清除氧自由基，实现抗氧化</w:t>
      </w:r>
      <w:r>
        <w:rPr>
          <w:rFonts w:hint="eastAsia"/>
          <w:sz w:val="24"/>
          <w:vertAlign w:val="superscript"/>
        </w:rPr>
        <w:t>[22]</w:t>
      </w:r>
      <w:r>
        <w:rPr>
          <w:rFonts w:hint="eastAsia"/>
          <w:sz w:val="24"/>
        </w:rPr>
        <w:t>。黄芩苷通过雌激素受体激活核因子-Nrf2-ARE信号通路而发挥抗氧化作用，且黄芩苷的抗氧化活性强于黄芩素</w:t>
      </w:r>
      <w:r>
        <w:rPr>
          <w:rFonts w:hint="eastAsia"/>
          <w:sz w:val="24"/>
          <w:vertAlign w:val="superscript"/>
        </w:rPr>
        <w:t>[24]</w:t>
      </w:r>
      <w:r>
        <w:rPr>
          <w:rFonts w:hint="eastAsia"/>
          <w:sz w:val="24"/>
        </w:rPr>
        <w:t>。黄芩苷对缺氧-复氧(H/R)诱导的细胞凋亡和氧化应激具有逆转作用，表现为降低丙二醛(MDA)和4-羟基醛水平，抑制内源性ROS的产生，以提高线粒体乙醛脱氢酶2活性和表达，从而发挥抗氧化作用</w:t>
      </w:r>
      <w:r>
        <w:rPr>
          <w:rFonts w:hint="eastAsia"/>
          <w:sz w:val="24"/>
          <w:vertAlign w:val="superscript"/>
        </w:rPr>
        <w:t>[25]</w:t>
      </w:r>
      <w:r>
        <w:rPr>
          <w:rFonts w:hint="eastAsia"/>
          <w:sz w:val="24"/>
        </w:rPr>
        <w:t>。黄芩苷酯化物或黄芩素通过激活Nrf2信号通路、提高抗氧化酶的活性而发挥抗氧化作用，从而有效缓解H</w:t>
      </w:r>
      <w:r>
        <w:rPr>
          <w:rFonts w:hint="eastAsia"/>
          <w:sz w:val="24"/>
          <w:vertAlign w:val="subscript"/>
        </w:rPr>
        <w:t>2</w:t>
      </w:r>
      <w:r>
        <w:rPr>
          <w:rFonts w:hint="eastAsia"/>
          <w:sz w:val="24"/>
        </w:rPr>
        <w:t>O</w:t>
      </w:r>
      <w:r>
        <w:rPr>
          <w:rFonts w:hint="eastAsia"/>
          <w:sz w:val="24"/>
          <w:vertAlign w:val="subscript"/>
        </w:rPr>
        <w:t>2</w:t>
      </w:r>
      <w:r>
        <w:rPr>
          <w:rFonts w:hint="eastAsia"/>
          <w:sz w:val="24"/>
        </w:rPr>
        <w:t>诱导的细胞氧化应激和凋亡，其中高剂量组效果最好</w:t>
      </w:r>
      <w:r>
        <w:rPr>
          <w:rFonts w:hint="eastAsia"/>
          <w:sz w:val="24"/>
          <w:vertAlign w:val="superscript"/>
        </w:rPr>
        <w:t>[26-27]</w:t>
      </w:r>
      <w:r>
        <w:rPr>
          <w:rFonts w:hint="eastAsia"/>
          <w:sz w:val="24"/>
        </w:rPr>
        <w:t>。黄芩具有较强的清除1,1-二苯基-2-三硝基苯肼(DPPH)、3-乙基-苯并二氢噻唑啉-6-磺酸(ABTS)、超氧阴离子自由基能力，且黄芩的多种黄酮及黄酮苷类成分相互间对自由基的清除能力具有协同增效作用</w:t>
      </w:r>
      <w:r>
        <w:rPr>
          <w:rFonts w:hint="eastAsia"/>
          <w:sz w:val="24"/>
          <w:vertAlign w:val="superscript"/>
        </w:rPr>
        <w:t>[2]</w:t>
      </w:r>
      <w:r>
        <w:rPr>
          <w:rFonts w:hint="eastAsia"/>
          <w:sz w:val="24"/>
        </w:rPr>
        <w:t>。</w:t>
      </w:r>
    </w:p>
    <w:p w14:paraId="008D8D7E">
      <w:pPr>
        <w:spacing w:line="360" w:lineRule="auto"/>
        <w:rPr>
          <w:sz w:val="24"/>
        </w:rPr>
      </w:pPr>
      <w:r>
        <w:rPr>
          <w:rFonts w:hint="eastAsia"/>
          <w:sz w:val="24"/>
        </w:rPr>
        <w:t>2.2  抗炎症</w:t>
      </w:r>
    </w:p>
    <w:p w14:paraId="5179D79D">
      <w:pPr>
        <w:spacing w:line="360" w:lineRule="auto"/>
        <w:ind w:firstLine="480" w:firstLineChars="200"/>
        <w:rPr>
          <w:sz w:val="24"/>
        </w:rPr>
      </w:pPr>
      <w:r>
        <w:rPr>
          <w:rFonts w:hint="eastAsia"/>
          <w:sz w:val="24"/>
        </w:rPr>
        <w:t>黄芩中的黄酮类成分可直接作用于淋巴细胞、巨噬细胞、肥大细胞、树突状细胞、单核细胞和中性粒细胞等免疫细胞，抑制炎性细胞因子(IL-1</w:t>
      </w:r>
      <w:r>
        <w:rPr>
          <w:i/>
          <w:iCs/>
          <w:sz w:val="24"/>
        </w:rPr>
        <w:t>β</w:t>
      </w:r>
      <w:r>
        <w:rPr>
          <w:rFonts w:hint="eastAsia"/>
          <w:sz w:val="24"/>
        </w:rPr>
        <w:t>、IL-6、IL-8、TNF-</w:t>
      </w:r>
      <w:r>
        <w:rPr>
          <w:i/>
          <w:iCs/>
          <w:sz w:val="24"/>
        </w:rPr>
        <w:t>α</w:t>
      </w:r>
      <w:r>
        <w:rPr>
          <w:rFonts w:hint="eastAsia"/>
          <w:sz w:val="24"/>
        </w:rPr>
        <w:t>)和其他炎症介质(一氧化氮、前列腺素、白三烯、ROS)的产生，其免疫调节和抗炎作用的潜在分子机制包括激活Nrf2和过氧化物酶增殖物激活受体(PPARs)信号通路，抑制Toll样受体4(TLR4)/核转录因子-</w:t>
      </w:r>
      <w:r>
        <w:rPr>
          <w:sz w:val="24"/>
        </w:rPr>
        <w:t>κ</w:t>
      </w:r>
      <w:r>
        <w:rPr>
          <w:rFonts w:hint="eastAsia"/>
          <w:sz w:val="24"/>
        </w:rPr>
        <w:t>B(NF-</w:t>
      </w:r>
      <w:r>
        <w:rPr>
          <w:sz w:val="24"/>
        </w:rPr>
        <w:t>κ</w:t>
      </w:r>
      <w:r>
        <w:rPr>
          <w:rFonts w:hint="eastAsia"/>
          <w:sz w:val="24"/>
        </w:rPr>
        <w:t>B)、TLR-髓样细胞分化蛋白(MyD88)NF-</w:t>
      </w:r>
      <w:r>
        <w:rPr>
          <w:sz w:val="24"/>
        </w:rPr>
        <w:t>κ</w:t>
      </w:r>
      <w:r>
        <w:rPr>
          <w:rFonts w:hint="eastAsia"/>
          <w:sz w:val="24"/>
        </w:rPr>
        <w:t>B、丝裂原活化蛋白激酶(MAPK)和Janus激酶信号转导及转录激活因子(JAK-STAT)等炎症相关信号通路</w:t>
      </w:r>
      <w:r>
        <w:rPr>
          <w:rFonts w:hint="eastAsia"/>
          <w:sz w:val="24"/>
          <w:vertAlign w:val="superscript"/>
        </w:rPr>
        <w:t>[10, 28-29]</w:t>
      </w:r>
      <w:r>
        <w:rPr>
          <w:rFonts w:hint="eastAsia"/>
          <w:sz w:val="24"/>
        </w:rPr>
        <w:t>。饲料中添加0.4~1.6 g/kg黄芩苷能够提高罗非鱼抗氧化能力、缓解H</w:t>
      </w:r>
      <w:r>
        <w:rPr>
          <w:rFonts w:hint="eastAsia"/>
          <w:sz w:val="24"/>
          <w:vertAlign w:val="subscript"/>
        </w:rPr>
        <w:t>2</w:t>
      </w:r>
      <w:r>
        <w:rPr>
          <w:rFonts w:hint="eastAsia"/>
          <w:sz w:val="24"/>
        </w:rPr>
        <w:t>O</w:t>
      </w:r>
      <w:r>
        <w:rPr>
          <w:rFonts w:hint="eastAsia"/>
          <w:sz w:val="24"/>
          <w:vertAlign w:val="subscript"/>
        </w:rPr>
        <w:t>2</w:t>
      </w:r>
      <w:r>
        <w:rPr>
          <w:rFonts w:hint="eastAsia"/>
          <w:sz w:val="24"/>
        </w:rPr>
        <w:t>诱导的肝损伤，这可能与其能够改善抗氧化状态、减少脂质过氧化及调节TLR-MyD88-NF-</w:t>
      </w:r>
      <w:r>
        <w:rPr>
          <w:sz w:val="24"/>
        </w:rPr>
        <w:t>κ</w:t>
      </w:r>
      <w:r>
        <w:rPr>
          <w:rFonts w:hint="eastAsia"/>
          <w:sz w:val="24"/>
        </w:rPr>
        <w:t>B信号通路来抑制炎症有关</w:t>
      </w:r>
      <w:r>
        <w:rPr>
          <w:rFonts w:hint="eastAsia"/>
          <w:sz w:val="24"/>
          <w:vertAlign w:val="superscript"/>
        </w:rPr>
        <w:t>[29]</w:t>
      </w:r>
      <w:r>
        <w:rPr>
          <w:rFonts w:hint="eastAsia"/>
          <w:sz w:val="24"/>
        </w:rPr>
        <w:t xml:space="preserve">。体外试验结果显示，50~300 </w:t>
      </w:r>
      <w:r>
        <w:rPr>
          <w:sz w:val="24"/>
        </w:rPr>
        <w:t>μ</w:t>
      </w:r>
      <w:r>
        <w:rPr>
          <w:rFonts w:hint="eastAsia"/>
          <w:sz w:val="24"/>
        </w:rPr>
        <w:t>g/mL黄芩提取物可显著抑制炎性细胞因子(IL-6和TNF-</w:t>
      </w:r>
      <w:r>
        <w:rPr>
          <w:i/>
          <w:iCs/>
          <w:sz w:val="24"/>
        </w:rPr>
        <w:t>α</w:t>
      </w:r>
      <w:r>
        <w:rPr>
          <w:rFonts w:hint="eastAsia"/>
          <w:sz w:val="24"/>
        </w:rPr>
        <w:t>)的分泌量，说明黄芩提取物具有良好的抗炎活性</w:t>
      </w:r>
      <w:r>
        <w:rPr>
          <w:rFonts w:hint="eastAsia"/>
          <w:sz w:val="24"/>
          <w:vertAlign w:val="superscript"/>
        </w:rPr>
        <w:t>[30]</w:t>
      </w:r>
      <w:r>
        <w:rPr>
          <w:rFonts w:hint="eastAsia"/>
          <w:sz w:val="24"/>
        </w:rPr>
        <w:t>。灌胃20 mg/kg黄芩素混悬液可通过调节结肠炎小鼠的免疫系统、调节NF-</w:t>
      </w:r>
      <w:r>
        <w:rPr>
          <w:sz w:val="24"/>
        </w:rPr>
        <w:t>κ</w:t>
      </w:r>
      <w:r>
        <w:rPr>
          <w:rFonts w:hint="eastAsia"/>
          <w:sz w:val="24"/>
        </w:rPr>
        <w:t>B通路活性、降低炎症因子的表达量，进而缓解肠道炎症反应</w:t>
      </w:r>
      <w:r>
        <w:rPr>
          <w:rFonts w:hint="eastAsia"/>
          <w:sz w:val="24"/>
          <w:vertAlign w:val="superscript"/>
        </w:rPr>
        <w:t>[11, 31]</w:t>
      </w:r>
      <w:r>
        <w:rPr>
          <w:rFonts w:hint="eastAsia"/>
          <w:sz w:val="24"/>
        </w:rPr>
        <w:t>。黄芩素通过阻断含有核苷酸结合寡聚化结构域样受体蛋白结构域相关蛋白3(NLRP3)成孔蛋白(GSDMD)信号传导，通过抑制小鼠TLR4信号级联，减少促炎因子释放，从而起到抗炎效果</w:t>
      </w:r>
      <w:r>
        <w:rPr>
          <w:rFonts w:hint="eastAsia"/>
          <w:sz w:val="24"/>
          <w:vertAlign w:val="superscript"/>
        </w:rPr>
        <w:t>[32-34]</w:t>
      </w:r>
      <w:r>
        <w:rPr>
          <w:rFonts w:hint="eastAsia"/>
          <w:sz w:val="24"/>
        </w:rPr>
        <w:t>。</w:t>
      </w:r>
    </w:p>
    <w:p w14:paraId="4A518EC2">
      <w:pPr>
        <w:spacing w:line="360" w:lineRule="auto"/>
        <w:rPr>
          <w:sz w:val="24"/>
        </w:rPr>
      </w:pPr>
      <w:r>
        <w:rPr>
          <w:rFonts w:hint="eastAsia"/>
          <w:sz w:val="24"/>
        </w:rPr>
        <w:t>2.3  抑菌</w:t>
      </w:r>
    </w:p>
    <w:p w14:paraId="35DE7CEC">
      <w:pPr>
        <w:spacing w:line="360" w:lineRule="auto"/>
        <w:ind w:firstLine="480" w:firstLineChars="200"/>
        <w:rPr>
          <w:sz w:val="24"/>
        </w:rPr>
      </w:pPr>
      <w:r>
        <w:rPr>
          <w:rFonts w:hint="eastAsia"/>
          <w:sz w:val="24"/>
        </w:rPr>
        <w:t>黄芩提取物对金黄色葡萄球菌、沙门氏菌、海豚链球菌、肺炎克雷伯菌、水霉菌和嗜水气单胞菌等具有明显的抗菌活性，与其所含的挥发油的抗菌作用有关，且抑菌效果存在剂量依赖效应</w:t>
      </w:r>
      <w:r>
        <w:rPr>
          <w:rFonts w:hint="eastAsia"/>
          <w:sz w:val="24"/>
          <w:vertAlign w:val="superscript"/>
        </w:rPr>
        <w:t>[35-40]</w:t>
      </w:r>
      <w:r>
        <w:rPr>
          <w:rFonts w:hint="eastAsia"/>
          <w:sz w:val="24"/>
        </w:rPr>
        <w:t>。体外研究结果表明，7.80~62.50 mg/mL的黄芩苷破坏嗜水气单胞菌的细胞壁，导致其正常结构完整性丧失，还可抑制菌膜的形成，促进菌体内蛋白质和核酸等的释放而发挥抗菌作用</w:t>
      </w:r>
      <w:r>
        <w:rPr>
          <w:rFonts w:hint="eastAsia"/>
          <w:sz w:val="24"/>
          <w:vertAlign w:val="superscript"/>
        </w:rPr>
        <w:t>[41]</w:t>
      </w:r>
      <w:r>
        <w:rPr>
          <w:rFonts w:hint="eastAsia"/>
          <w:sz w:val="24"/>
        </w:rPr>
        <w:t>。黄芩苷显著抑制无乳链球菌的</w:t>
      </w:r>
      <w:r>
        <w:rPr>
          <w:i/>
          <w:iCs/>
          <w:sz w:val="24"/>
        </w:rPr>
        <w:t>β</w:t>
      </w:r>
      <w:r>
        <w:rPr>
          <w:rFonts w:hint="eastAsia"/>
          <w:sz w:val="24"/>
        </w:rPr>
        <w:t>-溶血/溶细胞活性和透明质酸酶活性，影响传代后的/</w:t>
      </w:r>
      <w:r>
        <w:rPr>
          <w:i/>
          <w:iCs/>
          <w:sz w:val="24"/>
        </w:rPr>
        <w:t>β</w:t>
      </w:r>
      <w:r>
        <w:rPr>
          <w:rFonts w:hint="eastAsia"/>
          <w:sz w:val="24"/>
        </w:rPr>
        <w:t>-溶血/溶细胞活性。饲喂含0.23~3.56 g/kg 黄芩苷的饲料对感染无乳链球菌的罗非鱼相对保护率可提高25.81%~90.32%</w:t>
      </w:r>
      <w:r>
        <w:rPr>
          <w:rFonts w:hint="eastAsia"/>
          <w:sz w:val="24"/>
          <w:vertAlign w:val="superscript"/>
        </w:rPr>
        <w:t>[42]</w:t>
      </w:r>
      <w:r>
        <w:rPr>
          <w:rFonts w:hint="eastAsia"/>
          <w:sz w:val="24"/>
        </w:rPr>
        <w:t>。饲喂含5%黄芩水提物饲料能够有效减轻感染无乳链球菌的罗非鱼的临床症状，降低死亡率，代谢组学分析得出黄芩主要通过调节色氨酸代谢、类固醇激素的生物合成、胆固醇代谢、胆汁分泌等代谢通路发挥抑菌作用</w:t>
      </w:r>
      <w:r>
        <w:rPr>
          <w:rFonts w:hint="eastAsia"/>
          <w:sz w:val="24"/>
          <w:vertAlign w:val="superscript"/>
        </w:rPr>
        <w:t>[43]</w:t>
      </w:r>
      <w:r>
        <w:rPr>
          <w:rFonts w:hint="eastAsia"/>
          <w:sz w:val="24"/>
        </w:rPr>
        <w:t>。黄芩提取物的生物活性还与其提取部位和提取方法有关。黄芩地上部分提取物与黄芩根均含有黄芩苷和野黄芩苷，体外和体内试验证实其提取物具有超强的抗菌和抗炎作用，亦存在时间和剂量依赖效应，这已在鱼类养殖中得到证实</w:t>
      </w:r>
      <w:r>
        <w:rPr>
          <w:rFonts w:hint="eastAsia"/>
          <w:sz w:val="24"/>
          <w:vertAlign w:val="superscript"/>
        </w:rPr>
        <w:t>[44]</w:t>
      </w:r>
      <w:r>
        <w:rPr>
          <w:rFonts w:hint="eastAsia"/>
          <w:sz w:val="24"/>
        </w:rPr>
        <w:t>。固液萃取法得到的黄芩提取物对副溶血弧菌的抑菌活性和免疫刺激效果要优于加压流体萃取法得到的提取物</w:t>
      </w:r>
      <w:r>
        <w:rPr>
          <w:rFonts w:hint="eastAsia"/>
          <w:sz w:val="24"/>
          <w:vertAlign w:val="superscript"/>
        </w:rPr>
        <w:t>[45]</w:t>
      </w:r>
      <w:r>
        <w:rPr>
          <w:rFonts w:hint="eastAsia"/>
          <w:sz w:val="24"/>
        </w:rPr>
        <w:t>。</w:t>
      </w:r>
    </w:p>
    <w:p w14:paraId="336B3869">
      <w:pPr>
        <w:spacing w:line="360" w:lineRule="auto"/>
        <w:rPr>
          <w:sz w:val="24"/>
        </w:rPr>
      </w:pPr>
      <w:r>
        <w:rPr>
          <w:rFonts w:hint="eastAsia"/>
          <w:sz w:val="24"/>
        </w:rPr>
        <w:t>3  黄芩在水产动物饲料中的应用</w:t>
      </w:r>
    </w:p>
    <w:p w14:paraId="335FE358">
      <w:pPr>
        <w:spacing w:line="360" w:lineRule="auto"/>
        <w:rPr>
          <w:sz w:val="24"/>
        </w:rPr>
      </w:pPr>
      <w:r>
        <w:rPr>
          <w:rFonts w:hint="eastAsia"/>
          <w:sz w:val="24"/>
        </w:rPr>
        <w:t>3.1  对水产动物生长性能的影响</w:t>
      </w:r>
    </w:p>
    <w:p w14:paraId="00A18096">
      <w:pPr>
        <w:spacing w:line="360" w:lineRule="auto"/>
        <w:ind w:firstLine="480" w:firstLineChars="200"/>
        <w:rPr>
          <w:sz w:val="24"/>
        </w:rPr>
      </w:pPr>
      <w:r>
        <w:rPr>
          <w:rFonts w:hint="eastAsia"/>
          <w:sz w:val="24"/>
        </w:rPr>
        <w:t>有关黄芩及其提取物对水产动物生长性能影响的研究结果存在差异。在罗非鱼</w:t>
      </w:r>
      <w:r>
        <w:rPr>
          <w:sz w:val="24"/>
        </w:rPr>
        <w:t>(</w:t>
      </w:r>
      <w:r>
        <w:rPr>
          <w:i/>
          <w:iCs/>
          <w:sz w:val="24"/>
        </w:rPr>
        <w:t>Oreochromis niloti</w:t>
      </w:r>
      <w:r>
        <w:rPr>
          <w:rFonts w:hint="eastAsia"/>
          <w:i/>
          <w:iCs/>
          <w:sz w:val="24"/>
        </w:rPr>
        <w:t>cus</w:t>
      </w:r>
      <w:r>
        <w:rPr>
          <w:rFonts w:hint="eastAsia"/>
          <w:sz w:val="24"/>
        </w:rPr>
        <w:t>)、远东鲶鱼(</w:t>
      </w:r>
      <w:r>
        <w:rPr>
          <w:rFonts w:hint="eastAsia"/>
          <w:i/>
          <w:iCs/>
          <w:sz w:val="24"/>
        </w:rPr>
        <w:t>Silurus asotus</w:t>
      </w:r>
      <w:r>
        <w:rPr>
          <w:rFonts w:hint="eastAsia"/>
          <w:sz w:val="24"/>
        </w:rPr>
        <w:t>)和斑点叉尾鮰(</w:t>
      </w:r>
      <w:r>
        <w:rPr>
          <w:rFonts w:hint="eastAsia"/>
          <w:i/>
          <w:iCs/>
          <w:sz w:val="24"/>
        </w:rPr>
        <w:t>Ictalurus punctatus</w:t>
      </w:r>
      <w:r>
        <w:rPr>
          <w:rFonts w:hint="eastAsia"/>
          <w:sz w:val="24"/>
        </w:rPr>
        <w:t>) 饲料 中分别添加0.4~1.6 g/kg黄芩苷、0.25%~5%黄芩提取物或5~10 g/kg黄芩，对生长无显著影响，但可降低饲料系数</w:t>
      </w:r>
      <w:r>
        <w:rPr>
          <w:rFonts w:hint="eastAsia"/>
          <w:sz w:val="24"/>
          <w:vertAlign w:val="superscript"/>
        </w:rPr>
        <w:t>[8-9, 46]</w:t>
      </w:r>
      <w:r>
        <w:rPr>
          <w:rFonts w:hint="eastAsia"/>
          <w:sz w:val="24"/>
        </w:rPr>
        <w:t>。饲料中添加2%~</w:t>
      </w:r>
      <w:r>
        <w:rPr>
          <w:sz w:val="24"/>
        </w:rPr>
        <w:t>3%黄芩地上部分水提取物饲喂珍珠龙胆石斑鱼(</w:t>
      </w:r>
      <w:r>
        <w:rPr>
          <w:i/>
          <w:iCs/>
          <w:sz w:val="24"/>
        </w:rPr>
        <w:t>Epinephelus fuscoguttatus</w:t>
      </w:r>
      <w:r>
        <w:rPr>
          <w:rFonts w:hint="eastAsia"/>
          <w:sz w:val="24"/>
        </w:rPr>
        <w:t>♀</w:t>
      </w:r>
      <w:r>
        <w:rPr>
          <w:sz w:val="24"/>
        </w:rPr>
        <w:t>×</w:t>
      </w:r>
      <w:r>
        <w:rPr>
          <w:i/>
          <w:iCs/>
          <w:sz w:val="24"/>
        </w:rPr>
        <w:t>Epinephelus lanceolatus</w:t>
      </w:r>
      <w:r>
        <w:rPr>
          <w:rFonts w:hint="eastAsia"/>
          <w:sz w:val="24"/>
        </w:rPr>
        <w:t>♂)60 d，其体重显著增加5%~10%</w:t>
      </w:r>
      <w:r>
        <w:rPr>
          <w:rFonts w:hint="eastAsia"/>
          <w:sz w:val="24"/>
          <w:vertAlign w:val="superscript"/>
        </w:rPr>
        <w:t>[47]</w:t>
      </w:r>
      <w:r>
        <w:rPr>
          <w:rFonts w:hint="eastAsia"/>
          <w:sz w:val="24"/>
        </w:rPr>
        <w:t>。在鲤鱼(</w:t>
      </w:r>
      <w:r>
        <w:rPr>
          <w:rFonts w:hint="eastAsia"/>
          <w:i/>
          <w:iCs/>
          <w:sz w:val="24"/>
        </w:rPr>
        <w:t>Cyprinus carpio</w:t>
      </w:r>
      <w:r>
        <w:rPr>
          <w:rFonts w:hint="eastAsia"/>
          <w:sz w:val="24"/>
        </w:rPr>
        <w:t>)</w:t>
      </w:r>
      <w:r>
        <w:rPr>
          <w:rFonts w:hint="eastAsia"/>
          <w:sz w:val="24"/>
          <w:vertAlign w:val="superscript"/>
        </w:rPr>
        <w:t>[48]</w:t>
      </w:r>
      <w:r>
        <w:rPr>
          <w:rFonts w:hint="eastAsia"/>
          <w:sz w:val="24"/>
        </w:rPr>
        <w:t>、草鱼(</w:t>
      </w:r>
      <w:r>
        <w:rPr>
          <w:rFonts w:hint="eastAsia"/>
          <w:i/>
          <w:iCs/>
          <w:sz w:val="24"/>
        </w:rPr>
        <w:t>Ctenopharyngodon idella</w:t>
      </w:r>
      <w:r>
        <w:rPr>
          <w:rFonts w:hint="eastAsia"/>
          <w:sz w:val="24"/>
        </w:rPr>
        <w:t>)</w:t>
      </w:r>
      <w:r>
        <w:rPr>
          <w:rFonts w:hint="eastAsia"/>
          <w:sz w:val="24"/>
          <w:vertAlign w:val="superscript"/>
        </w:rPr>
        <w:t>[49]</w:t>
      </w:r>
      <w:r>
        <w:rPr>
          <w:rFonts w:hint="eastAsia"/>
          <w:sz w:val="24"/>
        </w:rPr>
        <w:t>、吉富罗非鱼</w:t>
      </w:r>
      <w:r>
        <w:rPr>
          <w:rFonts w:hint="eastAsia"/>
          <w:sz w:val="24"/>
          <w:vertAlign w:val="superscript"/>
        </w:rPr>
        <w:t>[50]</w:t>
      </w:r>
      <w:r>
        <w:rPr>
          <w:rFonts w:hint="eastAsia"/>
          <w:sz w:val="24"/>
        </w:rPr>
        <w:t>和褐牙鲆(</w:t>
      </w:r>
      <w:r>
        <w:rPr>
          <w:rFonts w:hint="eastAsia"/>
          <w:i/>
          <w:iCs/>
          <w:sz w:val="24"/>
        </w:rPr>
        <w:t>Paralichthys olivaceus</w:t>
      </w:r>
      <w:r>
        <w:rPr>
          <w:rFonts w:hint="eastAsia"/>
          <w:sz w:val="24"/>
        </w:rPr>
        <w:t>)</w:t>
      </w:r>
      <w:r>
        <w:rPr>
          <w:rFonts w:hint="eastAsia"/>
          <w:sz w:val="24"/>
          <w:vertAlign w:val="superscript"/>
        </w:rPr>
        <w:t>[51]</w:t>
      </w:r>
      <w:r>
        <w:rPr>
          <w:rFonts w:hint="eastAsia"/>
          <w:sz w:val="24"/>
        </w:rPr>
        <w:t>饲料中添加适量黄芩及其提取物的研究中得到了类似的结果。黄芩的促生长作用可能与其能够提高鱼类肝脏和肌肉的生长激素受体和胰岛素样生长因子等生长基因的表达，提高脂肪酶活性和表达，促进营养物质的吸收等有关</w:t>
      </w:r>
      <w:r>
        <w:rPr>
          <w:rFonts w:hint="eastAsia"/>
          <w:sz w:val="24"/>
          <w:vertAlign w:val="superscript"/>
        </w:rPr>
        <w:t>[47, 52]</w:t>
      </w:r>
      <w:r>
        <w:rPr>
          <w:rFonts w:hint="eastAsia"/>
          <w:sz w:val="24"/>
        </w:rPr>
        <w:t>。草鱼饲料中添加0.020%~0.125%黄芩多糖可能通过增强肠道胰蛋白酶和</w:t>
      </w:r>
      <w:r>
        <w:rPr>
          <w:i/>
          <w:iCs/>
          <w:sz w:val="24"/>
        </w:rPr>
        <w:t>α</w:t>
      </w:r>
      <w:r>
        <w:rPr>
          <w:rFonts w:hint="eastAsia"/>
          <w:sz w:val="24"/>
        </w:rPr>
        <w:t>-淀粉酶活性，抑制脂肪酶活性，以增强蛋白质和碳水化合物的消化利用，避免过量脂肪消化吸收，进而改善摄食高脂饲料引起的生长不佳和饲料效率低下</w:t>
      </w:r>
      <w:r>
        <w:rPr>
          <w:rFonts w:hint="eastAsia"/>
          <w:sz w:val="24"/>
          <w:vertAlign w:val="superscript"/>
        </w:rPr>
        <w:t>[53]</w:t>
      </w:r>
      <w:r>
        <w:rPr>
          <w:rFonts w:hint="eastAsia"/>
          <w:sz w:val="24"/>
        </w:rPr>
        <w:t>。在鲍鱼(</w:t>
      </w:r>
      <w:r>
        <w:rPr>
          <w:rFonts w:hint="eastAsia"/>
          <w:i/>
          <w:iCs/>
          <w:sz w:val="24"/>
        </w:rPr>
        <w:t>Haliotis discus hannai</w:t>
      </w:r>
      <w:r>
        <w:rPr>
          <w:rFonts w:hint="eastAsia"/>
          <w:sz w:val="24"/>
        </w:rPr>
        <w:t>)和大黄鱼(</w:t>
      </w:r>
      <w:r>
        <w:rPr>
          <w:rFonts w:hint="eastAsia"/>
          <w:i/>
          <w:iCs/>
          <w:sz w:val="24"/>
        </w:rPr>
        <w:t>Larimichthys crocea</w:t>
      </w:r>
      <w:r>
        <w:rPr>
          <w:rFonts w:hint="eastAsia"/>
          <w:sz w:val="24"/>
        </w:rPr>
        <w:t>)饲料中分别添加0.049%和250~500 mg/kg中草药混合物(黄芩、栀子、茵陈、钩藤和虎杖)可提高增重率，降低饲料系数</w:t>
      </w:r>
      <w:r>
        <w:rPr>
          <w:rFonts w:hint="eastAsia"/>
          <w:sz w:val="24"/>
          <w:vertAlign w:val="superscript"/>
        </w:rPr>
        <w:t>[54-55]</w:t>
      </w:r>
      <w:r>
        <w:rPr>
          <w:rFonts w:hint="eastAsia"/>
          <w:sz w:val="24"/>
        </w:rPr>
        <w:t>。在凡纳滨对虾(</w:t>
      </w:r>
      <w:r>
        <w:rPr>
          <w:rFonts w:hint="eastAsia"/>
          <w:i/>
          <w:iCs/>
          <w:sz w:val="24"/>
        </w:rPr>
        <w:t>Litopenaeus vannamei</w:t>
      </w:r>
      <w:r>
        <w:rPr>
          <w:rFonts w:hint="eastAsia"/>
          <w:sz w:val="24"/>
        </w:rPr>
        <w:t>)饲料中添加1%黄芩提取物饲喂2周后，可提高其生长，但是促生长的效果并没有持续到第4周</w:t>
      </w:r>
      <w:r>
        <w:rPr>
          <w:rFonts w:hint="eastAsia"/>
          <w:sz w:val="24"/>
          <w:vertAlign w:val="superscript"/>
        </w:rPr>
        <w:t>[45]</w:t>
      </w:r>
      <w:r>
        <w:rPr>
          <w:rFonts w:hint="eastAsia"/>
          <w:sz w:val="24"/>
        </w:rPr>
        <w:t>。相反地，在草鱼、鲤鱼和斑点叉尾鮰饲料中分别添加0.4%~0.6%黄芩素、200 mg/kg黄芩素或15 g/kg黄芩，会引起生长降低和饲料系数升高</w:t>
      </w:r>
      <w:r>
        <w:rPr>
          <w:rFonts w:hint="eastAsia"/>
          <w:sz w:val="24"/>
          <w:vertAlign w:val="superscript"/>
        </w:rPr>
        <w:t>[8, 49, 56]</w:t>
      </w:r>
      <w:r>
        <w:rPr>
          <w:rFonts w:hint="eastAsia"/>
          <w:sz w:val="24"/>
        </w:rPr>
        <w:t>。黄芩导致动物生长降低可能与以下因素有关。一是黄芩味苦，添加量过高会降低饲料适口性，进而影响生长</w:t>
      </w:r>
      <w:r>
        <w:rPr>
          <w:rFonts w:hint="eastAsia"/>
          <w:sz w:val="24"/>
          <w:vertAlign w:val="superscript"/>
        </w:rPr>
        <w:t>[57]</w:t>
      </w:r>
      <w:r>
        <w:rPr>
          <w:rFonts w:hint="eastAsia"/>
          <w:sz w:val="24"/>
        </w:rPr>
        <w:t>；二是黄酮类化合物具有潜在的毒性，过量的黄酮类物质会促进机体氧化还原反应，产生大量的超氧基和羟基等自由基，最终导致生长抑制和机体损伤</w:t>
      </w:r>
      <w:r>
        <w:rPr>
          <w:rFonts w:hint="eastAsia"/>
          <w:sz w:val="24"/>
          <w:vertAlign w:val="superscript"/>
        </w:rPr>
        <w:t>[58]</w:t>
      </w:r>
      <w:r>
        <w:rPr>
          <w:rFonts w:hint="eastAsia"/>
          <w:sz w:val="24"/>
        </w:rPr>
        <w:t>。总之，在水产饲料中可适量添加黄芩，但是使用量与动物种类和规格、黄芩及其提取物的加工方式、试验条件及养殖周期等有关。未来的研究需要借助分子生物学等手段解析黄芩及其提取物对水产动物生长的促进或抑制机制。</w:t>
      </w:r>
    </w:p>
    <w:p w14:paraId="4ECEB742">
      <w:pPr>
        <w:spacing w:line="360" w:lineRule="auto"/>
        <w:rPr>
          <w:sz w:val="24"/>
        </w:rPr>
      </w:pPr>
      <w:r>
        <w:rPr>
          <w:rFonts w:hint="eastAsia"/>
          <w:sz w:val="24"/>
        </w:rPr>
        <w:t>3.2  对水产动物抗氧化和免疫的影响</w:t>
      </w:r>
    </w:p>
    <w:p w14:paraId="6B5944BA">
      <w:pPr>
        <w:spacing w:line="360" w:lineRule="auto"/>
        <w:ind w:firstLine="480" w:firstLineChars="200"/>
        <w:rPr>
          <w:sz w:val="24"/>
        </w:rPr>
      </w:pPr>
      <w:r>
        <w:rPr>
          <w:rFonts w:hint="eastAsia"/>
          <w:sz w:val="24"/>
        </w:rPr>
        <w:t>研究证实，黄芩及其提取物具有清除自由基、抗氧化和抗炎活性，其主要机制是黄酮类的活性基团酚羟基与自由基反应生成较稳定的半醌式自由基，从而终止自由基链式反应，进而降低或清除自由基的产生</w:t>
      </w:r>
      <w:r>
        <w:rPr>
          <w:rFonts w:hint="eastAsia"/>
          <w:sz w:val="24"/>
          <w:vertAlign w:val="superscript"/>
        </w:rPr>
        <w:t>[59]</w:t>
      </w:r>
      <w:r>
        <w:rPr>
          <w:rFonts w:hint="eastAsia"/>
          <w:sz w:val="24"/>
        </w:rPr>
        <w:t>。黄芩水提取物在增强罗非鱼血液白细胞氧呼吸爆发活性和吞噬活性方面的能力强于其他中草药水提取物，饲料中添加10 g/kg黄芩水提取物可显著提高氧呼吸爆发活性和吞噬活性，血清酸性磷酸酶(ACP)、溶菌酶(LZM)和SOD活性及脾脏</w:t>
      </w:r>
      <w:r>
        <w:rPr>
          <w:rFonts w:hint="eastAsia"/>
          <w:i/>
          <w:iCs/>
          <w:sz w:val="24"/>
        </w:rPr>
        <w:t>IL</w:t>
      </w:r>
      <w:r>
        <w:rPr>
          <w:rFonts w:hint="eastAsia"/>
          <w:sz w:val="24"/>
        </w:rPr>
        <w:t>-</w:t>
      </w:r>
      <w:r>
        <w:rPr>
          <w:rFonts w:hint="eastAsia"/>
          <w:i/>
          <w:iCs/>
          <w:sz w:val="24"/>
        </w:rPr>
        <w:t>8</w:t>
      </w:r>
      <w:r>
        <w:rPr>
          <w:rFonts w:hint="eastAsia"/>
          <w:sz w:val="24"/>
        </w:rPr>
        <w:t>和热休克蛋白70(</w:t>
      </w:r>
      <w:r>
        <w:rPr>
          <w:rFonts w:hint="eastAsia"/>
          <w:i/>
          <w:iCs/>
          <w:sz w:val="24"/>
        </w:rPr>
        <w:t>Hsp70</w:t>
      </w:r>
      <w:r>
        <w:rPr>
          <w:rFonts w:hint="eastAsia"/>
          <w:sz w:val="24"/>
        </w:rPr>
        <w:t>) mRNA表达水平</w:t>
      </w:r>
      <w:r>
        <w:rPr>
          <w:rFonts w:hint="eastAsia"/>
          <w:sz w:val="24"/>
          <w:vertAlign w:val="superscript"/>
        </w:rPr>
        <w:t>[60]</w:t>
      </w:r>
      <w:r>
        <w:rPr>
          <w:rFonts w:hint="eastAsia"/>
          <w:sz w:val="24"/>
        </w:rPr>
        <w:t>。相反地，饲料中添加0.5%和1.0%黄芩对罗非鱼白细胞的吞噬作用和呼吸爆发活力有抑制作用</w:t>
      </w:r>
      <w:r>
        <w:rPr>
          <w:rFonts w:hint="eastAsia"/>
          <w:sz w:val="24"/>
          <w:vertAlign w:val="superscript"/>
        </w:rPr>
        <w:t>[61]</w:t>
      </w:r>
      <w:r>
        <w:rPr>
          <w:rFonts w:hint="eastAsia"/>
          <w:sz w:val="24"/>
        </w:rPr>
        <w:t>，这可能与剂量过高产生抑制有关</w:t>
      </w:r>
      <w:r>
        <w:rPr>
          <w:rFonts w:hint="eastAsia"/>
          <w:sz w:val="24"/>
          <w:vertAlign w:val="superscript"/>
        </w:rPr>
        <w:t>[62]</w:t>
      </w:r>
      <w:r>
        <w:rPr>
          <w:rFonts w:hint="eastAsia"/>
          <w:sz w:val="24"/>
        </w:rPr>
        <w:t>。饲料中添加5~10 g/kg黄芩可显著提升斑点叉尾鮰血清总蛋白含量、ACP和LZM活性、肝脏过氧化氢酶(CAT)和SOD活性、总抗氧化能力水平，显著降低MDA含量</w:t>
      </w:r>
      <w:r>
        <w:rPr>
          <w:rFonts w:hint="eastAsia"/>
          <w:sz w:val="24"/>
          <w:vertAlign w:val="superscript"/>
        </w:rPr>
        <w:t>[8]</w:t>
      </w:r>
      <w:r>
        <w:rPr>
          <w:rFonts w:hint="eastAsia"/>
          <w:sz w:val="24"/>
        </w:rPr>
        <w:t>。类似地，在罗非鱼</w:t>
      </w:r>
      <w:r>
        <w:rPr>
          <w:rFonts w:hint="eastAsia"/>
          <w:sz w:val="24"/>
          <w:vertAlign w:val="superscript"/>
        </w:rPr>
        <w:t>[29, 50]</w:t>
      </w:r>
      <w:r>
        <w:rPr>
          <w:rFonts w:hint="eastAsia"/>
          <w:sz w:val="24"/>
        </w:rPr>
        <w:t>、草鱼</w:t>
      </w:r>
      <w:r>
        <w:rPr>
          <w:rFonts w:hint="eastAsia"/>
          <w:sz w:val="24"/>
          <w:vertAlign w:val="superscript"/>
        </w:rPr>
        <w:t>[49]</w:t>
      </w:r>
      <w:r>
        <w:rPr>
          <w:rFonts w:hint="eastAsia"/>
          <w:sz w:val="24"/>
        </w:rPr>
        <w:t>、鲫鱼</w:t>
      </w:r>
      <w:r>
        <w:rPr>
          <w:rFonts w:hint="eastAsia"/>
          <w:sz w:val="24"/>
          <w:vertAlign w:val="superscript"/>
        </w:rPr>
        <w:t>[63]</w:t>
      </w:r>
      <w:r>
        <w:rPr>
          <w:rFonts w:hint="eastAsia"/>
          <w:sz w:val="24"/>
        </w:rPr>
        <w:t>、斑马鱼</w:t>
      </w:r>
      <w:r>
        <w:rPr>
          <w:rFonts w:hint="eastAsia"/>
          <w:sz w:val="24"/>
          <w:vertAlign w:val="superscript"/>
        </w:rPr>
        <w:t>[6]</w:t>
      </w:r>
      <w:r>
        <w:rPr>
          <w:rFonts w:hint="eastAsia"/>
          <w:sz w:val="24"/>
        </w:rPr>
        <w:t>的饲料中分别添加0.5%黄芩或0.4~1.6 g/kg黄芩苷、0.2~0.6 g/kg黄芩素、0.5</w:t>
      </w:r>
      <w:r>
        <w:rPr>
          <w:sz w:val="24"/>
        </w:rPr>
        <w:t>‰</w:t>
      </w:r>
      <w:r>
        <w:rPr>
          <w:rFonts w:hint="eastAsia"/>
          <w:sz w:val="24"/>
        </w:rPr>
        <w:t>黄芩多糖、0.02~0.08 mg/mL黄芩提取物均能提高抗氧化力。采用含有黄芩的中草药混合物饲喂鲍鱼和大黄鱼，也可显著提高抗氧化能力及对应激的抵抗能力</w:t>
      </w:r>
      <w:r>
        <w:rPr>
          <w:rFonts w:hint="eastAsia"/>
          <w:sz w:val="24"/>
          <w:vertAlign w:val="superscript"/>
        </w:rPr>
        <w:t>[54-55]</w:t>
      </w:r>
      <w:r>
        <w:rPr>
          <w:rFonts w:hint="eastAsia"/>
          <w:sz w:val="24"/>
        </w:rPr>
        <w:t>。腹腔注射10~35 mg/kg黄芩苷可提高黄颡鱼体内还原型谷胱甘肽(GSH)、SOD、CAT、ACP和碱性磷酸酶活性，降低MDA积累及炎症因子</w:t>
      </w:r>
      <w:r>
        <w:rPr>
          <w:rFonts w:hint="eastAsia"/>
          <w:i/>
          <w:iCs/>
          <w:sz w:val="24"/>
        </w:rPr>
        <w:t>Keap1</w:t>
      </w:r>
      <w:r>
        <w:rPr>
          <w:rFonts w:hint="eastAsia"/>
          <w:sz w:val="24"/>
        </w:rPr>
        <w:t>、</w:t>
      </w:r>
      <w:r>
        <w:rPr>
          <w:rFonts w:hint="eastAsia"/>
          <w:i/>
          <w:iCs/>
          <w:sz w:val="24"/>
        </w:rPr>
        <w:t>IL</w:t>
      </w:r>
      <w:r>
        <w:rPr>
          <w:rFonts w:hint="eastAsia"/>
          <w:sz w:val="24"/>
        </w:rPr>
        <w:t>-</w:t>
      </w:r>
      <w:r>
        <w:rPr>
          <w:rFonts w:hint="eastAsia"/>
          <w:i/>
          <w:iCs/>
          <w:sz w:val="24"/>
        </w:rPr>
        <w:t>1</w:t>
      </w:r>
      <w:r>
        <w:rPr>
          <w:i/>
          <w:iCs/>
          <w:sz w:val="24"/>
        </w:rPr>
        <w:t>β</w:t>
      </w:r>
      <w:r>
        <w:rPr>
          <w:rFonts w:hint="eastAsia"/>
          <w:sz w:val="24"/>
        </w:rPr>
        <w:t>、</w:t>
      </w:r>
      <w:r>
        <w:rPr>
          <w:rFonts w:hint="eastAsia"/>
          <w:i/>
          <w:iCs/>
          <w:sz w:val="24"/>
        </w:rPr>
        <w:t>IFN</w:t>
      </w:r>
      <w:r>
        <w:rPr>
          <w:rFonts w:hint="eastAsia"/>
          <w:sz w:val="24"/>
        </w:rPr>
        <w:t>-</w:t>
      </w:r>
      <w:r>
        <w:rPr>
          <w:i/>
          <w:iCs/>
          <w:sz w:val="24"/>
        </w:rPr>
        <w:t>γ</w:t>
      </w:r>
      <w:r>
        <w:rPr>
          <w:rFonts w:hint="eastAsia"/>
          <w:sz w:val="24"/>
        </w:rPr>
        <w:t>和</w:t>
      </w:r>
      <w:r>
        <w:rPr>
          <w:rFonts w:hint="eastAsia"/>
          <w:i/>
          <w:iCs/>
          <w:sz w:val="24"/>
        </w:rPr>
        <w:t>TNF</w:t>
      </w:r>
      <w:r>
        <w:rPr>
          <w:rFonts w:hint="eastAsia"/>
          <w:sz w:val="24"/>
        </w:rPr>
        <w:t>-</w:t>
      </w:r>
      <w:r>
        <w:rPr>
          <w:i/>
          <w:iCs/>
          <w:sz w:val="24"/>
        </w:rPr>
        <w:t>α</w:t>
      </w:r>
      <w:r>
        <w:rPr>
          <w:rFonts w:hint="eastAsia"/>
          <w:sz w:val="24"/>
        </w:rPr>
        <w:t xml:space="preserve"> mRNA表达，提高病菌感染后的成活率</w:t>
      </w:r>
      <w:r>
        <w:rPr>
          <w:rFonts w:hint="eastAsia"/>
          <w:sz w:val="24"/>
          <w:vertAlign w:val="superscript"/>
        </w:rPr>
        <w:t>[41]</w:t>
      </w:r>
      <w:r>
        <w:rPr>
          <w:rFonts w:hint="eastAsia"/>
          <w:sz w:val="24"/>
        </w:rPr>
        <w:t>。高脂饲料中添加0.02%~0.125%黄芩多糖能提高草鱼肝脏谷胱甘肽过氧化物酶(GSH-Px)活性，显著降低肝脏MDA含量、血浆谷丙转氨酶(ALT)和乳酸脱氢酶(LDH)活性，从而缓解摄入高脂饲料诱导的肝脏损伤</w:t>
      </w:r>
      <w:r>
        <w:rPr>
          <w:rFonts w:hint="eastAsia"/>
          <w:sz w:val="24"/>
          <w:vertAlign w:val="superscript"/>
        </w:rPr>
        <w:t>[53]</w:t>
      </w:r>
      <w:r>
        <w:rPr>
          <w:rFonts w:hint="eastAsia"/>
          <w:sz w:val="24"/>
        </w:rPr>
        <w:t>。饲料中添加0.5%黄芩苷可以减轻高脂高胆固醇诱导的小鼠脂肪性肝炎，其机制可能是通过阻断c-Jun氨基末端激酶(JNK)的激活而发挥抗炎和抗氧化作用</w:t>
      </w:r>
      <w:r>
        <w:rPr>
          <w:rFonts w:hint="eastAsia"/>
          <w:sz w:val="24"/>
          <w:vertAlign w:val="superscript"/>
        </w:rPr>
        <w:t>[32]</w:t>
      </w:r>
      <w:r>
        <w:rPr>
          <w:rFonts w:hint="eastAsia"/>
          <w:sz w:val="24"/>
        </w:rPr>
        <w:t>。饲料中添加2%~3%黄芩地上部分水提物，能够显著增加珍珠龙胆石斑鱼肝脏、头肾和鳃的抗炎细胞因子白细胞介素10(</w:t>
      </w:r>
      <w:r>
        <w:rPr>
          <w:rFonts w:hint="eastAsia"/>
          <w:i/>
          <w:iCs/>
          <w:sz w:val="24"/>
        </w:rPr>
        <w:t>IL</w:t>
      </w:r>
      <w:r>
        <w:rPr>
          <w:rFonts w:hint="eastAsia"/>
          <w:sz w:val="24"/>
        </w:rPr>
        <w:t>-</w:t>
      </w:r>
      <w:r>
        <w:rPr>
          <w:rFonts w:hint="eastAsia"/>
          <w:i/>
          <w:iCs/>
          <w:sz w:val="24"/>
        </w:rPr>
        <w:t>10</w:t>
      </w:r>
      <w:r>
        <w:rPr>
          <w:rFonts w:hint="eastAsia"/>
          <w:sz w:val="24"/>
        </w:rPr>
        <w:t>)、白细胞介素16(</w:t>
      </w:r>
      <w:r>
        <w:rPr>
          <w:rFonts w:hint="eastAsia"/>
          <w:i/>
          <w:iCs/>
          <w:sz w:val="24"/>
        </w:rPr>
        <w:t>IL</w:t>
      </w:r>
      <w:r>
        <w:rPr>
          <w:rFonts w:hint="eastAsia"/>
          <w:sz w:val="24"/>
        </w:rPr>
        <w:t>-</w:t>
      </w:r>
      <w:r>
        <w:rPr>
          <w:rFonts w:hint="eastAsia"/>
          <w:i/>
          <w:iCs/>
          <w:sz w:val="24"/>
        </w:rPr>
        <w:t>16</w:t>
      </w:r>
      <w:r>
        <w:rPr>
          <w:rFonts w:hint="eastAsia"/>
          <w:sz w:val="24"/>
        </w:rPr>
        <w:t>)、转化生长因子-</w:t>
      </w:r>
      <w:r>
        <w:rPr>
          <w:i/>
          <w:iCs/>
          <w:sz w:val="24"/>
        </w:rPr>
        <w:t>β</w:t>
      </w:r>
      <w:r>
        <w:rPr>
          <w:rFonts w:hint="eastAsia"/>
          <w:sz w:val="24"/>
        </w:rPr>
        <w:t>(</w:t>
      </w:r>
      <w:r>
        <w:rPr>
          <w:rFonts w:hint="eastAsia"/>
          <w:i/>
          <w:iCs/>
          <w:sz w:val="24"/>
        </w:rPr>
        <w:t>TGF</w:t>
      </w:r>
      <w:r>
        <w:rPr>
          <w:rFonts w:hint="eastAsia"/>
          <w:sz w:val="24"/>
        </w:rPr>
        <w:t>-</w:t>
      </w:r>
      <w:r>
        <w:rPr>
          <w:i/>
          <w:iCs/>
          <w:sz w:val="24"/>
        </w:rPr>
        <w:t>β</w:t>
      </w:r>
      <w:r>
        <w:rPr>
          <w:rFonts w:hint="eastAsia"/>
          <w:sz w:val="24"/>
        </w:rPr>
        <w:t>)的表达量，显著增加鳃、肝脏和头肾CAT和LZM活性，这表明黄芩地上部分的水提物也具有提高抗氧化和免疫力的作用，且效果要优于恩诺沙星</w:t>
      </w:r>
      <w:r>
        <w:rPr>
          <w:rFonts w:hint="eastAsia"/>
          <w:sz w:val="24"/>
          <w:vertAlign w:val="superscript"/>
        </w:rPr>
        <w:t>[47]</w:t>
      </w:r>
      <w:r>
        <w:rPr>
          <w:rFonts w:hint="eastAsia"/>
          <w:sz w:val="24"/>
        </w:rPr>
        <w:t>。黄芩地上部分水提物、黄芩苷或野黄芩苷可抑制脂多糖(LPS)诱导的褐蓝子鱼(</w:t>
      </w:r>
      <w:r>
        <w:rPr>
          <w:rFonts w:hint="eastAsia"/>
          <w:i/>
          <w:iCs/>
          <w:sz w:val="24"/>
        </w:rPr>
        <w:t>Siganus fuscescens</w:t>
      </w:r>
      <w:r>
        <w:rPr>
          <w:rFonts w:hint="eastAsia"/>
          <w:sz w:val="24"/>
        </w:rPr>
        <w:t>)头肾巨噬细胞的炎症细胞因子，如</w:t>
      </w:r>
      <w:r>
        <w:rPr>
          <w:rFonts w:hint="eastAsia"/>
          <w:i/>
          <w:iCs/>
          <w:sz w:val="24"/>
        </w:rPr>
        <w:t>IL</w:t>
      </w:r>
      <w:r>
        <w:rPr>
          <w:rFonts w:hint="eastAsia"/>
          <w:sz w:val="24"/>
        </w:rPr>
        <w:t>-</w:t>
      </w:r>
      <w:r>
        <w:rPr>
          <w:rFonts w:hint="eastAsia"/>
          <w:i/>
          <w:iCs/>
          <w:sz w:val="24"/>
        </w:rPr>
        <w:t>1</w:t>
      </w:r>
      <w:r>
        <w:rPr>
          <w:i/>
          <w:iCs/>
          <w:sz w:val="24"/>
        </w:rPr>
        <w:t>β</w:t>
      </w:r>
      <w:r>
        <w:rPr>
          <w:rFonts w:hint="eastAsia"/>
          <w:sz w:val="24"/>
        </w:rPr>
        <w:t>、</w:t>
      </w:r>
      <w:r>
        <w:rPr>
          <w:rFonts w:hint="eastAsia"/>
          <w:i/>
          <w:iCs/>
          <w:sz w:val="24"/>
        </w:rPr>
        <w:t>TNF</w:t>
      </w:r>
      <w:r>
        <w:rPr>
          <w:rFonts w:hint="eastAsia"/>
          <w:sz w:val="24"/>
        </w:rPr>
        <w:t>-</w:t>
      </w:r>
      <w:r>
        <w:rPr>
          <w:i/>
          <w:iCs/>
          <w:sz w:val="24"/>
        </w:rPr>
        <w:t>α</w:t>
      </w:r>
      <w:r>
        <w:rPr>
          <w:rFonts w:hint="eastAsia"/>
          <w:sz w:val="24"/>
        </w:rPr>
        <w:t>的表达及转录因子NF-</w:t>
      </w:r>
      <w:r>
        <w:rPr>
          <w:sz w:val="24"/>
        </w:rPr>
        <w:t>κ</w:t>
      </w:r>
      <w:r>
        <w:rPr>
          <w:rFonts w:hint="eastAsia"/>
          <w:sz w:val="24"/>
        </w:rPr>
        <w:t>B的信号传导</w:t>
      </w:r>
      <w:r>
        <w:rPr>
          <w:rFonts w:hint="eastAsia"/>
          <w:sz w:val="24"/>
          <w:vertAlign w:val="superscript"/>
        </w:rPr>
        <w:t>[64]</w:t>
      </w:r>
      <w:r>
        <w:rPr>
          <w:rFonts w:hint="eastAsia"/>
          <w:sz w:val="24"/>
        </w:rPr>
        <w:t>。黄芩及其提取物对免疫力和抗氧化的影响还与提取方式有关。体内外试验表明，固液萃取法获得的黄芩提取物(SBE)对副溶血性弧菌的杀菌活性要优于加压液体萃取法，在试验前2周，添加1% SBE可提高凡纳滨对虾生长率和免疫刺激效果，但长时间使用会出现免疫抑制</w:t>
      </w:r>
      <w:r>
        <w:rPr>
          <w:rFonts w:hint="eastAsia"/>
          <w:sz w:val="24"/>
          <w:vertAlign w:val="superscript"/>
        </w:rPr>
        <w:t>[45]</w:t>
      </w:r>
      <w:r>
        <w:rPr>
          <w:rFonts w:hint="eastAsia"/>
          <w:sz w:val="24"/>
        </w:rPr>
        <w:t>。以上研究表明，适量添加黄芩及其提取物可有效提高水产动物的免疫力和抗氧化能力，这与黄芩中的黄酮类和黄芩多糖等活性物质具有增强免疫力和抗氧化等有关</w:t>
      </w:r>
      <w:r>
        <w:rPr>
          <w:rFonts w:hint="eastAsia"/>
          <w:sz w:val="24"/>
          <w:vertAlign w:val="superscript"/>
        </w:rPr>
        <w:t>[7, 65]</w:t>
      </w:r>
      <w:r>
        <w:rPr>
          <w:rFonts w:hint="eastAsia"/>
          <w:sz w:val="24"/>
        </w:rPr>
        <w:t>。</w:t>
      </w:r>
    </w:p>
    <w:p w14:paraId="5AAE927F">
      <w:pPr>
        <w:spacing w:line="360" w:lineRule="auto"/>
        <w:ind w:firstLine="480" w:firstLineChars="200"/>
        <w:rPr>
          <w:sz w:val="24"/>
        </w:rPr>
      </w:pPr>
      <w:r>
        <w:rPr>
          <w:rFonts w:hint="eastAsia"/>
          <w:sz w:val="24"/>
        </w:rPr>
        <w:t>黄芩的抗氧化、免疫调节和抗凋亡等药理作用可能由于其活性物质的不同而存在多靶点-多通路的调控机制。黄芩苷可降低应激小鼠血清和海马中IL1</w:t>
      </w:r>
      <w:r>
        <w:rPr>
          <w:i/>
          <w:iCs/>
          <w:sz w:val="24"/>
        </w:rPr>
        <w:t>β</w:t>
      </w:r>
      <w:r>
        <w:rPr>
          <w:rFonts w:hint="eastAsia"/>
          <w:sz w:val="24"/>
        </w:rPr>
        <w:t>、IL-6和TNF-</w:t>
      </w:r>
      <w:r>
        <w:rPr>
          <w:i/>
          <w:iCs/>
          <w:sz w:val="24"/>
        </w:rPr>
        <w:t>α</w:t>
      </w:r>
      <w:r>
        <w:rPr>
          <w:rFonts w:hint="eastAsia"/>
          <w:sz w:val="24"/>
        </w:rPr>
        <w:t>等炎性细胞因子的水平，降低N-甲基-D-天冬氨酸受体(NMDAR)/NMDA 亚单位 B(NR2B)和Ca</w:t>
      </w:r>
      <w:r>
        <w:rPr>
          <w:rFonts w:hint="eastAsia"/>
          <w:sz w:val="24"/>
          <w:vertAlign w:val="superscript"/>
        </w:rPr>
        <w:t>2+</w:t>
      </w:r>
      <w:r>
        <w:rPr>
          <w:rFonts w:hint="eastAsia"/>
          <w:sz w:val="24"/>
        </w:rPr>
        <w:t>/钙调素依赖性蛋白激酶Ⅱ水平，减少磷酸化细胞外调节蛋白激酶(ERK)和ROS水平</w:t>
      </w:r>
      <w:r>
        <w:rPr>
          <w:rFonts w:hint="eastAsia"/>
          <w:sz w:val="24"/>
          <w:vertAlign w:val="superscript"/>
        </w:rPr>
        <w:t>[66]</w:t>
      </w:r>
      <w:r>
        <w:rPr>
          <w:rFonts w:hint="eastAsia"/>
          <w:sz w:val="24"/>
        </w:rPr>
        <w:t>。黄酮类化合物可抑制诱导型的一氧化氮合酶的活性，从而起到抗氧化作用</w:t>
      </w:r>
      <w:r>
        <w:rPr>
          <w:rFonts w:hint="eastAsia"/>
          <w:sz w:val="24"/>
          <w:vertAlign w:val="superscript"/>
        </w:rPr>
        <w:t>[67]</w:t>
      </w:r>
      <w:r>
        <w:rPr>
          <w:rFonts w:hint="eastAsia"/>
          <w:sz w:val="24"/>
        </w:rPr>
        <w:t>。黄芩苷通过抑制NF-</w:t>
      </w:r>
      <w:r>
        <w:rPr>
          <w:sz w:val="24"/>
        </w:rPr>
        <w:t>κ</w:t>
      </w:r>
      <w:r>
        <w:rPr>
          <w:rFonts w:hint="eastAsia"/>
          <w:sz w:val="24"/>
        </w:rPr>
        <w:t>B信号通路、激活Nrf2介导的血红素加氧酶1信号通路，增强抗氧化酶和解毒酶的表达，进而降低氧化应激、炎症反应，改善器官损伤及保护肠道黏膜屏障</w:t>
      </w:r>
      <w:r>
        <w:rPr>
          <w:rFonts w:hint="eastAsia"/>
          <w:sz w:val="24"/>
          <w:vertAlign w:val="superscript"/>
        </w:rPr>
        <w:t>[68-71]</w:t>
      </w:r>
      <w:r>
        <w:rPr>
          <w:rFonts w:hint="eastAsia"/>
          <w:sz w:val="24"/>
        </w:rPr>
        <w:t>。黄芩素可降低溃疡性结肠炎小鼠的</w:t>
      </w:r>
      <w:r>
        <w:rPr>
          <w:rFonts w:hint="eastAsia"/>
          <w:i/>
          <w:iCs/>
          <w:sz w:val="24"/>
        </w:rPr>
        <w:t>IL</w:t>
      </w:r>
      <w:r>
        <w:rPr>
          <w:rFonts w:hint="eastAsia"/>
          <w:sz w:val="24"/>
        </w:rPr>
        <w:t>-</w:t>
      </w:r>
      <w:r>
        <w:rPr>
          <w:rFonts w:hint="eastAsia"/>
          <w:i/>
          <w:iCs/>
          <w:sz w:val="24"/>
        </w:rPr>
        <w:t>6</w:t>
      </w:r>
      <w:r>
        <w:rPr>
          <w:rFonts w:hint="eastAsia"/>
          <w:sz w:val="24"/>
        </w:rPr>
        <w:t>、</w:t>
      </w:r>
      <w:r>
        <w:rPr>
          <w:rFonts w:hint="eastAsia"/>
          <w:i/>
          <w:iCs/>
          <w:sz w:val="24"/>
        </w:rPr>
        <w:t>TNF</w:t>
      </w:r>
      <w:r>
        <w:rPr>
          <w:rFonts w:hint="eastAsia"/>
          <w:sz w:val="24"/>
        </w:rPr>
        <w:t>-</w:t>
      </w:r>
      <w:r>
        <w:rPr>
          <w:i/>
          <w:iCs/>
          <w:sz w:val="24"/>
        </w:rPr>
        <w:t>α</w:t>
      </w:r>
      <w:r>
        <w:rPr>
          <w:rFonts w:hint="eastAsia"/>
          <w:sz w:val="24"/>
        </w:rPr>
        <w:t>和NF-</w:t>
      </w:r>
      <w:r>
        <w:rPr>
          <w:sz w:val="24"/>
        </w:rPr>
        <w:t>κ</w:t>
      </w:r>
      <w:r>
        <w:rPr>
          <w:rFonts w:hint="eastAsia"/>
          <w:sz w:val="24"/>
        </w:rPr>
        <w:t>B蛋白表达，降低血清脂多糖水平，提高血清分泌型免疫球蛋白A含量，明显改善肠黏膜损伤，减少炎性细胞浸润，其降炎作用机制可能与调节结肠NF-</w:t>
      </w:r>
      <w:r>
        <w:rPr>
          <w:sz w:val="24"/>
        </w:rPr>
        <w:t>κ</w:t>
      </w:r>
      <w:r>
        <w:rPr>
          <w:rFonts w:hint="eastAsia"/>
          <w:sz w:val="24"/>
        </w:rPr>
        <w:t>B的表达有关</w:t>
      </w:r>
      <w:r>
        <w:rPr>
          <w:rFonts w:hint="eastAsia"/>
          <w:sz w:val="24"/>
          <w:vertAlign w:val="superscript"/>
        </w:rPr>
        <w:t>[31]</w:t>
      </w:r>
      <w:r>
        <w:rPr>
          <w:rFonts w:hint="eastAsia"/>
          <w:sz w:val="24"/>
        </w:rPr>
        <w:t>。然而，黄芩素对小鼠肠炎的治疗效果并未呈现出剂量依赖效应，表现为中剂量组的效果要优于低、高剂量组，这是因为黄芩素作为单体药物，浓度过高可能存在不良反应</w:t>
      </w:r>
      <w:r>
        <w:rPr>
          <w:rFonts w:hint="eastAsia"/>
          <w:sz w:val="24"/>
          <w:vertAlign w:val="superscript"/>
        </w:rPr>
        <w:t>[31]</w:t>
      </w:r>
      <w:r>
        <w:rPr>
          <w:rFonts w:hint="eastAsia"/>
          <w:sz w:val="24"/>
        </w:rPr>
        <w:t>。</w:t>
      </w:r>
    </w:p>
    <w:p w14:paraId="763706F2">
      <w:pPr>
        <w:spacing w:line="360" w:lineRule="auto"/>
        <w:rPr>
          <w:sz w:val="24"/>
        </w:rPr>
      </w:pPr>
      <w:r>
        <w:rPr>
          <w:rFonts w:hint="eastAsia"/>
          <w:sz w:val="24"/>
        </w:rPr>
        <w:t>3.3  对水产动物糖脂代谢的影响</w:t>
      </w:r>
    </w:p>
    <w:p w14:paraId="381278F0">
      <w:pPr>
        <w:spacing w:line="360" w:lineRule="auto"/>
        <w:ind w:firstLine="480" w:firstLineChars="200"/>
        <w:rPr>
          <w:sz w:val="24"/>
        </w:rPr>
      </w:pPr>
      <w:r>
        <w:rPr>
          <w:rFonts w:hint="eastAsia"/>
          <w:sz w:val="24"/>
        </w:rPr>
        <w:t>脂质是机体生物膜的重要组成部分，也是能量储存和供应的重要载体，脂肪代谢异常会引发多种疾病</w:t>
      </w:r>
      <w:r>
        <w:rPr>
          <w:rFonts w:hint="eastAsia"/>
          <w:sz w:val="24"/>
          <w:vertAlign w:val="superscript"/>
        </w:rPr>
        <w:t>[72]</w:t>
      </w:r>
      <w:r>
        <w:rPr>
          <w:rFonts w:hint="eastAsia"/>
          <w:sz w:val="24"/>
        </w:rPr>
        <w:t>。黄芩多糖能够降低草鱼血浆三酰甘油(TG)、胆固醇(TC)和低密度脂蛋白胆固醇(LDL-C)水平，从而缓解摄食高脂饲料引起的血脂含量升高，减少脂肪在肝脏内的沉积</w:t>
      </w:r>
      <w:r>
        <w:rPr>
          <w:rFonts w:hint="eastAsia"/>
          <w:sz w:val="24"/>
          <w:vertAlign w:val="superscript"/>
        </w:rPr>
        <w:t>[53]</w:t>
      </w:r>
      <w:r>
        <w:rPr>
          <w:rFonts w:hint="eastAsia"/>
          <w:sz w:val="24"/>
        </w:rPr>
        <w:t>。饲料中添加5、10 g/kg黄芩显著降低斑点叉尾鮰血清中TG和TC水平</w:t>
      </w:r>
      <w:r>
        <w:rPr>
          <w:rFonts w:hint="eastAsia"/>
          <w:sz w:val="24"/>
          <w:vertAlign w:val="superscript"/>
        </w:rPr>
        <w:t>[8]</w:t>
      </w:r>
      <w:r>
        <w:rPr>
          <w:rFonts w:hint="eastAsia"/>
          <w:sz w:val="24"/>
        </w:rPr>
        <w:t>。灌胃黄芩提取物可显著降低肥胖小鼠体脂率、血糖含量、血清中TC和TG含量、游离脂肪酸含量，表明黄芩产品可促进脂质分解，改善高脂饲料诱导的糖脂代谢紊乱，通过调节肠道菌群稳态，提高有益菌的数量，抑制有害菌的繁殖，增强肠道紧密连接蛋白的表达，修复肠道黏膜屏障功能，进而防治脂肪肝</w:t>
      </w:r>
      <w:r>
        <w:rPr>
          <w:rFonts w:hint="eastAsia"/>
          <w:sz w:val="24"/>
          <w:vertAlign w:val="superscript"/>
        </w:rPr>
        <w:t>[72-73]</w:t>
      </w:r>
      <w:r>
        <w:rPr>
          <w:rFonts w:hint="eastAsia"/>
          <w:sz w:val="24"/>
        </w:rPr>
        <w:t>。黄芩素通过抑制固醇调节元件结合蛋白-1c (SREBP-1c)/ 碳水化合物反应元件结合蛋白(ChREBP)介导的脂肪酸从头合成和延伸，激活腺苷酸活化蛋白激酶(AMPK)和过氧化物酶体增殖物激活受体</w:t>
      </w:r>
      <w:r>
        <w:rPr>
          <w:i/>
          <w:iCs/>
          <w:sz w:val="24"/>
        </w:rPr>
        <w:t>α</w:t>
      </w:r>
      <w:r>
        <w:rPr>
          <w:rFonts w:hint="eastAsia"/>
          <w:sz w:val="24"/>
        </w:rPr>
        <w:t xml:space="preserve"> (PPAR</w:t>
      </w:r>
      <w:r>
        <w:rPr>
          <w:i/>
          <w:iCs/>
          <w:sz w:val="24"/>
        </w:rPr>
        <w:t>α</w:t>
      </w:r>
      <w:r>
        <w:rPr>
          <w:rFonts w:hint="eastAsia"/>
          <w:sz w:val="24"/>
        </w:rPr>
        <w:t>)信号通路来减少肝脏脂肪堆积，促进肝脏脂肪酸氧化分解，缓解高果糖诱导的大鼠肝脏脂肪变性</w:t>
      </w:r>
      <w:r>
        <w:rPr>
          <w:rFonts w:hint="eastAsia"/>
          <w:sz w:val="24"/>
          <w:vertAlign w:val="superscript"/>
        </w:rPr>
        <w:t>[74-75]</w:t>
      </w:r>
      <w:r>
        <w:rPr>
          <w:rFonts w:hint="eastAsia"/>
          <w:sz w:val="24"/>
        </w:rPr>
        <w:t>。黄芩素还可以与肉碱棕榈酰基转移酶1(CPT1)直接结合，从而促进脂质进入线粒体，促进脂质氧化，并下调SREBP-1c、脂肪酸合酶和PPARs等脂肪生成基因来减少肝脂质积累</w:t>
      </w:r>
      <w:r>
        <w:rPr>
          <w:rFonts w:hint="eastAsia"/>
          <w:sz w:val="24"/>
          <w:vertAlign w:val="superscript"/>
        </w:rPr>
        <w:t>[33, 76-77]</w:t>
      </w:r>
      <w:r>
        <w:rPr>
          <w:rFonts w:hint="eastAsia"/>
          <w:sz w:val="24"/>
        </w:rPr>
        <w:t>。此外，黄芩素可以通过钙调蛋白依赖性蛋白激酶</w:t>
      </w:r>
      <w:r>
        <w:rPr>
          <w:i/>
          <w:iCs/>
          <w:sz w:val="24"/>
        </w:rPr>
        <w:t>β</w:t>
      </w:r>
      <w:r>
        <w:rPr>
          <w:rFonts w:hint="eastAsia"/>
          <w:sz w:val="24"/>
        </w:rPr>
        <w:t>/AMPK/乙酰辅酶A羧化酶(CaMKK</w:t>
      </w:r>
      <w:r>
        <w:rPr>
          <w:i/>
          <w:iCs/>
          <w:sz w:val="24"/>
        </w:rPr>
        <w:t>β</w:t>
      </w:r>
      <w:r>
        <w:rPr>
          <w:rFonts w:hint="eastAsia"/>
          <w:sz w:val="24"/>
        </w:rPr>
        <w:t>/AMPK/ACC)通路来抑制肝脏脂肪从头合成，促进脂质代谢</w:t>
      </w:r>
      <w:r>
        <w:rPr>
          <w:rFonts w:hint="eastAsia"/>
          <w:sz w:val="24"/>
          <w:vertAlign w:val="superscript"/>
        </w:rPr>
        <w:t>[78-80]</w:t>
      </w:r>
      <w:r>
        <w:rPr>
          <w:rFonts w:hint="eastAsia"/>
          <w:sz w:val="24"/>
        </w:rPr>
        <w:t xml:space="preserve">。黄芩苷通过抑制P38 MAPK/PGC-l </w:t>
      </w:r>
      <w:r>
        <w:rPr>
          <w:i/>
          <w:iCs/>
          <w:sz w:val="24"/>
        </w:rPr>
        <w:t>α</w:t>
      </w:r>
      <w:r>
        <w:rPr>
          <w:rFonts w:hint="eastAsia"/>
          <w:sz w:val="24"/>
        </w:rPr>
        <w:t>信号通路降低炎性反应和氧化应激反应，影响肝脏酶的活性，进而改善肥胖小鼠的肝脏胰岛素抵抗和糖异生活性</w:t>
      </w:r>
      <w:r>
        <w:rPr>
          <w:rFonts w:hint="eastAsia"/>
          <w:sz w:val="24"/>
          <w:vertAlign w:val="superscript"/>
        </w:rPr>
        <w:t>[81-82]</w:t>
      </w:r>
      <w:r>
        <w:rPr>
          <w:rFonts w:hint="eastAsia"/>
          <w:sz w:val="24"/>
        </w:rPr>
        <w:t>。</w:t>
      </w:r>
    </w:p>
    <w:p w14:paraId="37B64EF4">
      <w:pPr>
        <w:spacing w:line="360" w:lineRule="auto"/>
        <w:rPr>
          <w:sz w:val="24"/>
        </w:rPr>
      </w:pPr>
      <w:r>
        <w:rPr>
          <w:rFonts w:hint="eastAsia"/>
          <w:sz w:val="24"/>
        </w:rPr>
        <w:t>3.4  对水产动物肝肠健康的影响</w:t>
      </w:r>
    </w:p>
    <w:p w14:paraId="67FFB038">
      <w:pPr>
        <w:spacing w:line="360" w:lineRule="auto"/>
        <w:ind w:firstLine="480" w:firstLineChars="200"/>
        <w:rPr>
          <w:sz w:val="24"/>
        </w:rPr>
      </w:pPr>
      <w:r>
        <w:rPr>
          <w:rFonts w:hint="eastAsia"/>
          <w:sz w:val="24"/>
        </w:rPr>
        <w:t>动物肝肠等组织发生改变意味着机体健康出现问题。黄芩及其提取物对动物肠道的保护作用主要体现在两个方面：一是抑制肠道内的大肠杆菌和金黄色葡萄球菌等致病菌的生长和繁殖，从而防治肠道疾病；二是维持肠道屏障功能的稳态、改善肠道微生态环境、提高有益菌丰度、增强免疫力及阻止病原菌入侵肠道黏膜</w:t>
      </w:r>
      <w:r>
        <w:rPr>
          <w:rFonts w:hint="eastAsia"/>
          <w:sz w:val="24"/>
          <w:vertAlign w:val="superscript"/>
        </w:rPr>
        <w:t>[83]</w:t>
      </w:r>
      <w:r>
        <w:rPr>
          <w:rFonts w:hint="eastAsia"/>
          <w:sz w:val="24"/>
        </w:rPr>
        <w:t>。黄芩苷具有抗内毒素炎症的作用，其机制可能是黄芩苷能够抑制LPS激活白细胞而减少白细胞的产生和炎性迁移，减轻炎症程度及卵黄坏死，抑制IL-1</w:t>
      </w:r>
      <w:r>
        <w:rPr>
          <w:i/>
          <w:iCs/>
          <w:sz w:val="24"/>
        </w:rPr>
        <w:t>β</w:t>
      </w:r>
      <w:r>
        <w:rPr>
          <w:rFonts w:hint="eastAsia"/>
          <w:sz w:val="24"/>
        </w:rPr>
        <w:t>、IL-6和TNF-</w:t>
      </w:r>
      <w:r>
        <w:rPr>
          <w:i/>
          <w:iCs/>
          <w:sz w:val="24"/>
        </w:rPr>
        <w:t>α</w:t>
      </w:r>
      <w:r>
        <w:rPr>
          <w:rFonts w:hint="eastAsia"/>
          <w:sz w:val="24"/>
        </w:rPr>
        <w:t>等促炎症因子的表达，从而减轻斑马鱼肠道内炎症反应，提高存活率[84]。0.30~1.25 mg/mL黄芩提取物可显著减少斑马鱼尾鳍伤口处炎症细胞的数量，表明其对炎症细胞具有较好的抑制聚集和促进清除作用</w:t>
      </w:r>
      <w:r>
        <w:rPr>
          <w:rFonts w:hint="eastAsia"/>
          <w:sz w:val="24"/>
          <w:vertAlign w:val="superscript"/>
        </w:rPr>
        <w:t>[6]</w:t>
      </w:r>
      <w:r>
        <w:rPr>
          <w:rFonts w:hint="eastAsia"/>
          <w:sz w:val="24"/>
        </w:rPr>
        <w:t>。钟晨晨等</w:t>
      </w:r>
      <w:r>
        <w:rPr>
          <w:rFonts w:hint="eastAsia"/>
          <w:sz w:val="24"/>
          <w:vertAlign w:val="superscript"/>
        </w:rPr>
        <w:t>[6]</w:t>
      </w:r>
      <w:r>
        <w:rPr>
          <w:rFonts w:hint="eastAsia"/>
          <w:sz w:val="24"/>
        </w:rPr>
        <w:t>研究显示，斑马鱼受精后96 h内，黄芩提取物浓度低于0.08 mg/mL对其孵化率、存活率和畸形率无明显影响，但在受精后24 h，0.16 mg/mL和0.32 mg/mL处理组出现死亡和畸形，受精后72 h明显影响斑马鱼的孵化过程。因此，需要验证黄芩提取物对动物的安全浓度，深入研究黄芩的活性成分以发掘高效低毒的抗炎物质。斑点叉尾鮰和罗非鱼饲料中分别添加5~10 g/kg黄芩和1.6 g/kg黄芩苷能够明显降低血清转氨酶水平，减轻肝脏空泡化程度</w:t>
      </w:r>
      <w:r>
        <w:rPr>
          <w:rFonts w:hint="eastAsia"/>
          <w:sz w:val="24"/>
          <w:vertAlign w:val="superscript"/>
        </w:rPr>
        <w:t>[8, 29]</w:t>
      </w:r>
      <w:r>
        <w:rPr>
          <w:rFonts w:hint="eastAsia"/>
          <w:sz w:val="24"/>
        </w:rPr>
        <w:t>。与模型组比较，10~35 mg/kg黄芩苷注射组黄颡鱼肝脏炎症细胞浸润率降低35.84%~44.62%。肠绒毛长度增加 35.54%~51.18%，尤其是25 mg/kg和35 mg/kg黄芩苷组肠道组织边界清晰、结构完整，无明显病理表现</w:t>
      </w:r>
      <w:r>
        <w:rPr>
          <w:rFonts w:hint="eastAsia"/>
          <w:sz w:val="24"/>
          <w:vertAlign w:val="superscript"/>
        </w:rPr>
        <w:t>[41]</w:t>
      </w:r>
      <w:r>
        <w:rPr>
          <w:rFonts w:hint="eastAsia"/>
          <w:sz w:val="24"/>
        </w:rPr>
        <w:t>。1~3 mg/L黄芩素可改善硫代乙酰胺诱导的斑马鱼胚胎发育毒性、降低炎症反应和氧化应激水平，促进肝脏发育和细胞增殖，降低凋亡蛋白的表达，还可调节脂质代谢平衡，黄芩素通过提高p38/MAPK和ERK1/2来促进PPAR</w:t>
      </w:r>
      <w:r>
        <w:rPr>
          <w:i/>
          <w:iCs/>
          <w:sz w:val="24"/>
        </w:rPr>
        <w:t>α</w:t>
      </w:r>
      <w:r>
        <w:rPr>
          <w:rFonts w:hint="eastAsia"/>
          <w:sz w:val="24"/>
        </w:rPr>
        <w:t>活化，进而调节肝脏发育</w:t>
      </w:r>
      <w:r>
        <w:rPr>
          <w:rFonts w:hint="eastAsia"/>
          <w:sz w:val="24"/>
          <w:vertAlign w:val="superscript"/>
        </w:rPr>
        <w:t>[12]</w:t>
      </w:r>
      <w:r>
        <w:rPr>
          <w:rFonts w:hint="eastAsia"/>
          <w:sz w:val="24"/>
        </w:rPr>
        <w:t>。以上研究表明，适量的黄芩或提取物对肝脏具有保护作用，可改善应激源诱导的肝肠病变。黄芩及其提取物对动物肝肠健康的影响可能存在多种机制。饲料中添加0.15 g/kg黄芩素可减轻毒死蜱引起的鲤鱼肝组织损伤和空泡化，可能的机制是其能够激活AMPK/沉寂信息调节因子1(SIRT1)/过氧化物酶增殖激活受体-</w:t>
      </w:r>
      <w:r>
        <w:rPr>
          <w:i/>
          <w:iCs/>
          <w:sz w:val="24"/>
        </w:rPr>
        <w:t>γ</w:t>
      </w:r>
      <w:r>
        <w:rPr>
          <w:rFonts w:hint="eastAsia"/>
          <w:sz w:val="24"/>
        </w:rPr>
        <w:t>共激活子-1</w:t>
      </w:r>
      <w:r>
        <w:rPr>
          <w:i/>
          <w:iCs/>
          <w:sz w:val="24"/>
        </w:rPr>
        <w:t>α</w:t>
      </w:r>
      <w:r>
        <w:rPr>
          <w:rFonts w:hint="eastAsia"/>
          <w:sz w:val="24"/>
        </w:rPr>
        <w:t>(pGC-1</w:t>
      </w:r>
      <w:r>
        <w:rPr>
          <w:i/>
          <w:iCs/>
          <w:sz w:val="24"/>
        </w:rPr>
        <w:t>α</w:t>
      </w:r>
      <w:r>
        <w:rPr>
          <w:rFonts w:hint="eastAsia"/>
          <w:sz w:val="24"/>
        </w:rPr>
        <w:t>)通路，通过抑制NF-</w:t>
      </w:r>
      <w:r>
        <w:rPr>
          <w:sz w:val="24"/>
        </w:rPr>
        <w:t>κ</w:t>
      </w:r>
      <w:r>
        <w:rPr>
          <w:rFonts w:hint="eastAsia"/>
          <w:sz w:val="24"/>
        </w:rPr>
        <w:t>B通路以减轻巨噬细胞M1超极化和细胞凋亡</w:t>
      </w:r>
      <w:r>
        <w:rPr>
          <w:rFonts w:hint="eastAsia"/>
          <w:sz w:val="24"/>
          <w:vertAlign w:val="superscript"/>
        </w:rPr>
        <w:t>[85]</w:t>
      </w:r>
      <w:r>
        <w:rPr>
          <w:rFonts w:hint="eastAsia"/>
          <w:sz w:val="24"/>
        </w:rPr>
        <w:t>。黄芩苷能够抑制钙离子载体A23187、诱导巨噬细胞的前列腺素E2合成过程、降低花生四烯酸等的代谢，从而减少炎症介质生成。黄芩苷还能抑制肥大细胞中组胺的释放，使肥大细胞膜维持稳态，抑制炎症介质的释放，起到保护肝脏作用</w:t>
      </w:r>
      <w:r>
        <w:rPr>
          <w:rFonts w:hint="eastAsia"/>
          <w:sz w:val="24"/>
          <w:vertAlign w:val="superscript"/>
        </w:rPr>
        <w:t>[86]</w:t>
      </w:r>
      <w:r>
        <w:rPr>
          <w:rFonts w:hint="eastAsia"/>
          <w:sz w:val="24"/>
        </w:rPr>
        <w:t>。黄芩多糖可减少促炎因子[白细胞介素17(IL17)、白细胞介素23(IL-23)、IL-6]及蛋白质[磷酸化JAK激酶2(p-JAK2)、磷酸化信号传导子及转录激活子3(p-STAT3)]的释放，逐渐恢复结肠组织形态，这说明黄芩多糖可通过调节JAK2/STAT3通路及IL-23/IL-17炎症轴而改善葡聚糖硫酸钠诱导的肠炎，且改善呈剂量依赖性效应</w:t>
      </w:r>
      <w:r>
        <w:rPr>
          <w:rFonts w:hint="eastAsia"/>
          <w:sz w:val="24"/>
          <w:vertAlign w:val="superscript"/>
        </w:rPr>
        <w:t>[87]</w:t>
      </w:r>
      <w:r>
        <w:rPr>
          <w:rFonts w:hint="eastAsia"/>
          <w:sz w:val="24"/>
        </w:rPr>
        <w:t>。</w:t>
      </w:r>
    </w:p>
    <w:p w14:paraId="57183C6B">
      <w:pPr>
        <w:spacing w:line="360" w:lineRule="auto"/>
        <w:rPr>
          <w:sz w:val="24"/>
        </w:rPr>
      </w:pPr>
      <w:r>
        <w:rPr>
          <w:rFonts w:hint="eastAsia"/>
          <w:sz w:val="24"/>
        </w:rPr>
        <w:t>3.5  对水产动物肠道菌群的影响</w:t>
      </w:r>
    </w:p>
    <w:p w14:paraId="57D2BA2C">
      <w:pPr>
        <w:spacing w:line="360" w:lineRule="auto"/>
        <w:ind w:firstLine="480" w:firstLineChars="200"/>
        <w:rPr>
          <w:sz w:val="24"/>
        </w:rPr>
      </w:pPr>
      <w:r>
        <w:rPr>
          <w:rFonts w:hint="eastAsia"/>
          <w:sz w:val="24"/>
        </w:rPr>
        <w:t>水产动物的生长和健康与肠道微生物密切关系。黄芩苷显著提高黄颡鱼感染嗜水气单胞菌的操作分类单元(OTU)计数，恢复巴恩斯氏菌科、肠杆菌科、邻单胞菌属和厚壁菌门UBA1819的丰度</w:t>
      </w:r>
      <w:r>
        <w:rPr>
          <w:rFonts w:hint="eastAsia"/>
          <w:sz w:val="24"/>
          <w:vertAlign w:val="superscript"/>
        </w:rPr>
        <w:t>[41]</w:t>
      </w:r>
      <w:r>
        <w:rPr>
          <w:rFonts w:hint="eastAsia"/>
          <w:sz w:val="24"/>
        </w:rPr>
        <w:t>。饲料中添加10 g/kg黄芩可增加鲤肠道内细菌数，增加芽孢杆菌属、棒杆菌属和不动细菌属等有益菌类，抑制气单胞菌属、邻单胞菌属、假单胞菌属、弧菌属及肠杆菌属等致病菌的繁殖</w:t>
      </w:r>
      <w:r>
        <w:rPr>
          <w:rFonts w:hint="eastAsia"/>
          <w:sz w:val="24"/>
          <w:vertAlign w:val="superscript"/>
        </w:rPr>
        <w:t>[48]</w:t>
      </w:r>
      <w:r>
        <w:rPr>
          <w:rFonts w:hint="eastAsia"/>
          <w:sz w:val="24"/>
        </w:rPr>
        <w:t>。黄芩地上部分提取物具有较强的抑菌作用，添加1%可促进褐蓝子鱼肠道丹毒丝菌等益生菌的生长、抑制</w:t>
      </w:r>
      <w:r>
        <w:rPr>
          <w:i/>
          <w:iCs/>
          <w:sz w:val="24"/>
        </w:rPr>
        <w:t>Δ</w:t>
      </w:r>
      <w:r>
        <w:rPr>
          <w:rFonts w:hint="eastAsia"/>
          <w:sz w:val="24"/>
        </w:rPr>
        <w:t>-变形菌和梭杆菌等致病菌的生长，可以替代恩诺沙星抗生素用于对抗海洋致病菌</w:t>
      </w:r>
      <w:r>
        <w:rPr>
          <w:rFonts w:hint="eastAsia"/>
          <w:sz w:val="24"/>
          <w:vertAlign w:val="superscript"/>
        </w:rPr>
        <w:t>[52]</w:t>
      </w:r>
      <w:r>
        <w:rPr>
          <w:rFonts w:hint="eastAsia"/>
          <w:sz w:val="24"/>
        </w:rPr>
        <w:t>。饲料中添加黄芩苷可通过上调大鼠肠道紧密连接蛋白mRNA表达，提高肠道短链脂肪酸(SCFAs)水平，进而改善肠道微生物群的生态失调，实现调控肠道微生物屏障稳态</w:t>
      </w:r>
      <w:r>
        <w:rPr>
          <w:rFonts w:hint="eastAsia"/>
          <w:sz w:val="24"/>
          <w:vertAlign w:val="superscript"/>
        </w:rPr>
        <w:t>[88-89]</w:t>
      </w:r>
      <w:r>
        <w:rPr>
          <w:rFonts w:hint="eastAsia"/>
          <w:sz w:val="24"/>
        </w:rPr>
        <w:t>。金银花、黄芩及其配伍可通过调节肠道菌群稳态来抵抗LPS诱发的小鼠急性肺炎，其中金银花和黄芩(质量比1</w:t>
      </w:r>
      <w:r>
        <w:rPr>
          <w:sz w:val="24"/>
        </w:rPr>
        <w:t>:</w:t>
      </w:r>
      <w:r>
        <w:rPr>
          <w:rFonts w:hint="eastAsia"/>
          <w:sz w:val="24"/>
        </w:rPr>
        <w:t>1)配伍改善肠道菌群紊乱的效果更明显，二者对肠道菌群的影响可能与蛋白酶体和氨基酸代谢有关</w:t>
      </w:r>
      <w:r>
        <w:rPr>
          <w:rFonts w:hint="eastAsia"/>
          <w:sz w:val="24"/>
          <w:vertAlign w:val="superscript"/>
        </w:rPr>
        <w:t>[90]</w:t>
      </w:r>
      <w:r>
        <w:rPr>
          <w:rFonts w:hint="eastAsia"/>
          <w:sz w:val="24"/>
        </w:rPr>
        <w:t>。以上研究表明，黄芩及其提取物有助于改善肠道菌群的结构，改变肠道微生态系统平衡，从而保证动物的健康。</w:t>
      </w:r>
    </w:p>
    <w:p w14:paraId="4A3D1A00">
      <w:pPr>
        <w:spacing w:line="360" w:lineRule="auto"/>
        <w:rPr>
          <w:sz w:val="24"/>
        </w:rPr>
      </w:pPr>
      <w:r>
        <w:rPr>
          <w:rFonts w:hint="eastAsia"/>
          <w:sz w:val="24"/>
        </w:rPr>
        <w:t>3.6  对水产动物抗病力的影响</w:t>
      </w:r>
    </w:p>
    <w:p w14:paraId="251B610C">
      <w:pPr>
        <w:spacing w:line="360" w:lineRule="auto"/>
        <w:ind w:firstLine="480" w:firstLineChars="200"/>
        <w:rPr>
          <w:sz w:val="24"/>
        </w:rPr>
      </w:pPr>
      <w:r>
        <w:rPr>
          <w:rFonts w:hint="eastAsia"/>
          <w:sz w:val="24"/>
        </w:rPr>
        <w:t>饲料中分别添加200 mg/kg和400 mg/kg黄芩苷可降低罗氏沼虾(</w:t>
      </w:r>
      <w:r>
        <w:rPr>
          <w:rFonts w:hint="eastAsia"/>
          <w:i/>
          <w:iCs/>
          <w:sz w:val="24"/>
        </w:rPr>
        <w:t>Macrobrachium rosenbergii</w:t>
      </w:r>
      <w:r>
        <w:rPr>
          <w:rFonts w:hint="eastAsia"/>
          <w:sz w:val="24"/>
        </w:rPr>
        <w:t>)感染副溶血弧菌后的累积死亡率，主要通过调节Toll信号通路和调节抗菌肽的表达</w:t>
      </w:r>
      <w:r>
        <w:rPr>
          <w:rFonts w:hint="eastAsia"/>
          <w:sz w:val="24"/>
          <w:vertAlign w:val="superscript"/>
        </w:rPr>
        <w:t>[91]</w:t>
      </w:r>
      <w:r>
        <w:rPr>
          <w:rFonts w:hint="eastAsia"/>
          <w:sz w:val="24"/>
        </w:rPr>
        <w:t>。类似地，饲料中适量添加黄芩提取物可增强黄颡鱼、罗非鱼、褐牙鲆和远东鲶鱼等鱼类对嗜水气单胞菌</w:t>
      </w:r>
      <w:r>
        <w:rPr>
          <w:rFonts w:hint="eastAsia"/>
          <w:sz w:val="24"/>
          <w:vertAlign w:val="superscript"/>
        </w:rPr>
        <w:t>[41]</w:t>
      </w:r>
      <w:r>
        <w:rPr>
          <w:rFonts w:hint="eastAsia"/>
          <w:sz w:val="24"/>
        </w:rPr>
        <w:t>、无乳链球菌</w:t>
      </w:r>
      <w:r>
        <w:rPr>
          <w:rFonts w:hint="eastAsia"/>
          <w:sz w:val="24"/>
          <w:vertAlign w:val="superscript"/>
        </w:rPr>
        <w:t>[60]</w:t>
      </w:r>
      <w:r>
        <w:rPr>
          <w:rFonts w:hint="eastAsia"/>
          <w:sz w:val="24"/>
        </w:rPr>
        <w:t>、迟缓爱德华氏菌</w:t>
      </w:r>
      <w:r>
        <w:rPr>
          <w:rFonts w:hint="eastAsia"/>
          <w:sz w:val="24"/>
          <w:vertAlign w:val="superscript"/>
        </w:rPr>
        <w:t>[51]</w:t>
      </w:r>
      <w:r>
        <w:rPr>
          <w:rFonts w:hint="eastAsia"/>
          <w:sz w:val="24"/>
        </w:rPr>
        <w:t>、鳗弧菌和海豚链球菌</w:t>
      </w:r>
      <w:r>
        <w:rPr>
          <w:rFonts w:hint="eastAsia"/>
          <w:sz w:val="24"/>
          <w:vertAlign w:val="superscript"/>
        </w:rPr>
        <w:t>[46]</w:t>
      </w:r>
      <w:r>
        <w:rPr>
          <w:rFonts w:hint="eastAsia"/>
          <w:sz w:val="24"/>
        </w:rPr>
        <w:t>的抵抗力，有效提高致病菌感染后的存活率，这可能与黄芩中的活性成分增强鱼类免疫防御系统有关。还有研究发现，饲料中添加1%或5%黄芩提取物饲喂4周，可提高凡纳滨对虾对副溶血弧菌的抵抗力，但是第2周会降低对弧菌的抗性</w:t>
      </w:r>
      <w:r>
        <w:rPr>
          <w:rFonts w:hint="eastAsia"/>
          <w:sz w:val="24"/>
          <w:vertAlign w:val="superscript"/>
        </w:rPr>
        <w:t>[45]</w:t>
      </w:r>
      <w:r>
        <w:rPr>
          <w:rFonts w:hint="eastAsia"/>
          <w:sz w:val="24"/>
        </w:rPr>
        <w:t>。以上研究说明，黄芩及其提取物可以作为一种有效的防治水产养殖中细菌和病毒感染的策略。</w:t>
      </w:r>
    </w:p>
    <w:p w14:paraId="2666C42E">
      <w:pPr>
        <w:spacing w:line="360" w:lineRule="auto"/>
        <w:rPr>
          <w:sz w:val="24"/>
        </w:rPr>
      </w:pPr>
      <w:r>
        <w:rPr>
          <w:rFonts w:hint="eastAsia"/>
          <w:sz w:val="24"/>
        </w:rPr>
        <w:t>4  展望</w:t>
      </w:r>
    </w:p>
    <w:p w14:paraId="4F80E2BD">
      <w:pPr>
        <w:spacing w:line="360" w:lineRule="auto"/>
        <w:ind w:firstLine="480" w:firstLineChars="200"/>
        <w:rPr>
          <w:sz w:val="24"/>
        </w:rPr>
      </w:pPr>
      <w:r>
        <w:rPr>
          <w:rFonts w:hint="eastAsia"/>
          <w:sz w:val="24"/>
        </w:rPr>
        <w:t>黄芩具有提高机体抗氧化能力和免疫力、抗炎症、抗菌、抗病毒、抗肿瘤和调节血糖血脂等作用，作为绿色安全的饲料添加剂，在畜牧生产和水产养殖中有广阔的应用前景。本综述可为水产养殖中病害的防控提供新的用药选择，也为中药替代抗生素在水产养殖中的应用提供参考。未来的研究方向需要聚焦在以下几点：一是开展黄芩活性物质的分离提取、纯化、鉴定及生物功效研究等；二是开展黄芩产品对水产动物的安全性评价工作；三是开展黄芩及其提取物对水产动物糖脂代谢、抗氧化和免疫调控机制研究，构建不同鱼虾类、不同生长阶段适宜使用量数据库；四是开展黄芩及其提取物产品制备工艺与质量标准化工作，以确保其质量和安全性。</w:t>
      </w:r>
    </w:p>
    <w:p w14:paraId="1E87582F">
      <w:pPr>
        <w:rPr>
          <w:rFonts w:hint="eastAsia" w:ascii="宋体" w:hAnsi="宋体" w:cs="宋体"/>
          <w:sz w:val="24"/>
        </w:rPr>
      </w:pPr>
      <w:r>
        <w:rPr>
          <w:rFonts w:hint="eastAsia" w:ascii="宋体" w:hAnsi="宋体" w:cs="宋体"/>
          <w:sz w:val="24"/>
        </w:rPr>
        <w:t>参考文献：略</w:t>
      </w:r>
    </w:p>
    <w:p w14:paraId="494ECFA7">
      <w:pPr>
        <w:spacing w:line="360" w:lineRule="auto"/>
        <w:jc w:val="right"/>
        <w:rPr>
          <w:szCs w:val="21"/>
        </w:rPr>
      </w:pPr>
      <w:r>
        <w:rPr>
          <w:szCs w:val="21"/>
        </w:rPr>
        <w:t>原文刊登在《</w:t>
      </w:r>
      <w:r>
        <w:rPr>
          <w:rFonts w:hint="eastAsia"/>
          <w:szCs w:val="21"/>
        </w:rPr>
        <w:t>饲料工业</w:t>
      </w:r>
      <w:r>
        <w:rPr>
          <w:szCs w:val="21"/>
        </w:rPr>
        <w:t>》</w:t>
      </w:r>
      <w:r>
        <w:rPr>
          <w:rFonts w:hint="eastAsia"/>
          <w:szCs w:val="21"/>
        </w:rPr>
        <w:t>2026年第9期</w:t>
      </w:r>
    </w:p>
    <w:p w14:paraId="6F810591">
      <w:pPr>
        <w:spacing w:line="360" w:lineRule="auto"/>
        <w:ind w:right="1281"/>
        <w:outlineLvl w:val="0"/>
        <w:rPr>
          <w:rFonts w:eastAsia="黑体"/>
          <w:b/>
          <w:bCs/>
          <w:sz w:val="32"/>
          <w:szCs w:val="32"/>
          <w:bdr w:val="single" w:color="auto" w:sz="4" w:space="0"/>
        </w:rPr>
      </w:pPr>
      <w:bookmarkStart w:id="26" w:name="_Toc225807401"/>
      <w:bookmarkStart w:id="27" w:name="_Toc230941936"/>
      <w:r>
        <w:rPr>
          <w:rFonts w:eastAsia="黑体"/>
          <w:b/>
          <w:bCs/>
          <w:sz w:val="32"/>
          <w:szCs w:val="32"/>
          <w:bdr w:val="single" w:color="auto" w:sz="4" w:space="0"/>
        </w:rPr>
        <w:t>科学研究</w:t>
      </w:r>
      <w:bookmarkEnd w:id="26"/>
      <w:bookmarkEnd w:id="27"/>
    </w:p>
    <w:p w14:paraId="43BF8BF4">
      <w:pPr>
        <w:jc w:val="center"/>
        <w:outlineLvl w:val="1"/>
        <w:rPr>
          <w:rFonts w:hint="eastAsia" w:ascii="黑体" w:hAnsi="黑体" w:eastAsia="黑体"/>
          <w:b/>
          <w:bCs/>
          <w:sz w:val="32"/>
          <w:szCs w:val="32"/>
        </w:rPr>
      </w:pPr>
      <w:bookmarkStart w:id="28" w:name="_Toc230941937"/>
      <w:r>
        <w:rPr>
          <w:rFonts w:hint="eastAsia" w:ascii="黑体" w:hAnsi="黑体" w:eastAsia="黑体"/>
          <w:b/>
          <w:bCs/>
          <w:sz w:val="32"/>
          <w:szCs w:val="32"/>
        </w:rPr>
        <w:t>牛磺酸对鳜生长及肠道结构和功能的影响</w:t>
      </w:r>
      <w:bookmarkEnd w:id="28"/>
    </w:p>
    <w:p w14:paraId="2668E848">
      <w:pPr>
        <w:jc w:val="center"/>
        <w:rPr>
          <w:szCs w:val="21"/>
        </w:rPr>
      </w:pPr>
      <w:r>
        <w:rPr>
          <w:szCs w:val="21"/>
        </w:rPr>
        <w:t>陈雨霜</w:t>
      </w:r>
      <w:r>
        <w:rPr>
          <w:szCs w:val="21"/>
          <w:vertAlign w:val="superscript"/>
        </w:rPr>
        <w:t>1</w:t>
      </w:r>
      <w:r>
        <w:rPr>
          <w:szCs w:val="21"/>
        </w:rPr>
        <w:t xml:space="preserve"> 郭义华</w:t>
      </w:r>
      <w:r>
        <w:rPr>
          <w:szCs w:val="21"/>
          <w:vertAlign w:val="superscript"/>
        </w:rPr>
        <w:t>1</w:t>
      </w:r>
      <w:r>
        <w:rPr>
          <w:szCs w:val="21"/>
        </w:rPr>
        <w:t xml:space="preserve"> 李斌</w:t>
      </w:r>
      <w:r>
        <w:rPr>
          <w:szCs w:val="21"/>
          <w:vertAlign w:val="superscript"/>
        </w:rPr>
        <w:t>2</w:t>
      </w:r>
      <w:r>
        <w:rPr>
          <w:szCs w:val="21"/>
        </w:rPr>
        <w:t xml:space="preserve"> 白富瑾</w:t>
      </w:r>
      <w:r>
        <w:rPr>
          <w:szCs w:val="21"/>
          <w:vertAlign w:val="superscript"/>
        </w:rPr>
        <w:t xml:space="preserve">2 </w:t>
      </w:r>
      <w:r>
        <w:rPr>
          <w:szCs w:val="21"/>
        </w:rPr>
        <w:t>戴明云</w:t>
      </w:r>
      <w:r>
        <w:rPr>
          <w:szCs w:val="21"/>
          <w:vertAlign w:val="superscript"/>
        </w:rPr>
        <w:t>2</w:t>
      </w:r>
      <w:r>
        <w:rPr>
          <w:szCs w:val="21"/>
        </w:rPr>
        <w:t xml:space="preserve"> 罗金强</w:t>
      </w:r>
      <w:r>
        <w:rPr>
          <w:szCs w:val="21"/>
          <w:vertAlign w:val="superscript"/>
        </w:rPr>
        <w:t>3</w:t>
      </w:r>
      <w:r>
        <w:rPr>
          <w:szCs w:val="21"/>
        </w:rPr>
        <w:t xml:space="preserve"> 李晓洁</w:t>
      </w:r>
      <w:r>
        <w:rPr>
          <w:szCs w:val="21"/>
          <w:vertAlign w:val="superscript"/>
        </w:rPr>
        <w:t>3</w:t>
      </w:r>
      <w:r>
        <w:rPr>
          <w:szCs w:val="21"/>
        </w:rPr>
        <w:t xml:space="preserve"> 胡顺沛</w:t>
      </w:r>
      <w:r>
        <w:rPr>
          <w:szCs w:val="21"/>
          <w:vertAlign w:val="superscript"/>
        </w:rPr>
        <w:t>4</w:t>
      </w:r>
      <w:r>
        <w:rPr>
          <w:szCs w:val="21"/>
        </w:rPr>
        <w:t xml:space="preserve"> 罗强</w:t>
      </w:r>
      <w:r>
        <w:rPr>
          <w:szCs w:val="21"/>
          <w:vertAlign w:val="superscript"/>
        </w:rPr>
        <w:t>5</w:t>
      </w:r>
      <w:r>
        <w:rPr>
          <w:szCs w:val="21"/>
        </w:rPr>
        <w:t xml:space="preserve"> 李洪琴</w:t>
      </w:r>
      <w:r>
        <w:rPr>
          <w:szCs w:val="21"/>
          <w:vertAlign w:val="superscript"/>
        </w:rPr>
        <w:t>6*</w:t>
      </w:r>
      <w:r>
        <w:rPr>
          <w:szCs w:val="21"/>
        </w:rPr>
        <w:t xml:space="preserve"> 罗莉</w:t>
      </w:r>
      <w:r>
        <w:rPr>
          <w:szCs w:val="21"/>
          <w:vertAlign w:val="superscript"/>
        </w:rPr>
        <w:t>1*</w:t>
      </w:r>
    </w:p>
    <w:p w14:paraId="21A3E76D">
      <w:pPr>
        <w:jc w:val="center"/>
        <w:rPr>
          <w:szCs w:val="21"/>
        </w:rPr>
      </w:pPr>
      <w:r>
        <w:rPr>
          <w:rFonts w:hint="eastAsia"/>
          <w:szCs w:val="21"/>
        </w:rPr>
        <w:t>(</w:t>
      </w:r>
      <w:r>
        <w:rPr>
          <w:szCs w:val="21"/>
        </w:rPr>
        <w:t>1.西南大学水产学院,淡水鱼类资源与生殖发育教育部重点实验室，重庆400715</w:t>
      </w:r>
      <w:r>
        <w:rPr>
          <w:rFonts w:hint="eastAsia"/>
          <w:szCs w:val="21"/>
        </w:rPr>
        <w:t>；</w:t>
      </w:r>
      <w:r>
        <w:rPr>
          <w:szCs w:val="21"/>
        </w:rPr>
        <w:t>2.重庆市水产技术推广总站</w:t>
      </w:r>
      <w:r>
        <w:rPr>
          <w:rFonts w:hint="eastAsia"/>
          <w:szCs w:val="21"/>
        </w:rPr>
        <w:t>，</w:t>
      </w:r>
      <w:r>
        <w:rPr>
          <w:szCs w:val="21"/>
        </w:rPr>
        <w:t>重庆市生态渔业技术体系，重庆400400；3.重庆市潼南区农业科技推广中心，重庆402660；4.重庆中水水产养殖有限公司，重庆401240；5.重庆市璧山区现代农业发展促进中心，重庆402760；6.四川新希望六和科技创新有限公司，成都610000</w:t>
      </w:r>
      <w:r>
        <w:rPr>
          <w:rFonts w:hint="eastAsia"/>
          <w:szCs w:val="21"/>
        </w:rPr>
        <w:t>)</w:t>
      </w:r>
    </w:p>
    <w:p w14:paraId="27F20F33">
      <w:pPr>
        <w:rPr>
          <w:szCs w:val="21"/>
        </w:rPr>
      </w:pPr>
      <w:r>
        <w:rPr>
          <w:b/>
          <w:bCs/>
          <w:szCs w:val="21"/>
        </w:rPr>
        <w:t>摘要</w:t>
      </w:r>
      <w:r>
        <w:rPr>
          <w:rFonts w:hint="eastAsia"/>
          <w:b/>
          <w:bCs/>
          <w:szCs w:val="21"/>
        </w:rPr>
        <w:t>：</w:t>
      </w:r>
      <w:r>
        <w:rPr>
          <w:szCs w:val="21"/>
        </w:rPr>
        <w:t>本试验旨在研究饲料中牛磺酸含量对鳜生长性能、肠道结构和功能的影响。选取初始体重[</w:t>
      </w:r>
      <w:r>
        <w:rPr>
          <w:rFonts w:hint="eastAsia"/>
          <w:szCs w:val="21"/>
        </w:rPr>
        <w:t>（</w:t>
      </w:r>
      <w:r>
        <w:rPr>
          <w:szCs w:val="21"/>
        </w:rPr>
        <w:t>16.74±0.22</w:t>
      </w:r>
      <w:r>
        <w:rPr>
          <w:rFonts w:hint="eastAsia"/>
          <w:szCs w:val="21"/>
        </w:rPr>
        <w:t>）</w:t>
      </w:r>
      <w:r>
        <w:rPr>
          <w:szCs w:val="21"/>
        </w:rPr>
        <w:t>g]均匀、体质健壮的鳜300尾，随机分为5个组，每个组3个重复，每个重复20尾。对照组（T1组）投喂基础饲料，试验组在基础饲料中分别添加2（T2组）、4（T3组）、8（T4组）、16g/kg（T5组）牛磺酸，5种试验饲料中牛磺酸实测含量分别为5.35、7.33、9.31、13.27、21.19g/kg。试验期48d。结果显示：与T1组相比，T4组鳜的终末均重、增重率（WGR）、特定生长率（SGR）、肥满度、肌肉粗脂肪含量及脑组织促摄食基因神经肽Y（</w:t>
      </w:r>
      <w:r>
        <w:rPr>
          <w:i/>
          <w:iCs/>
          <w:szCs w:val="21"/>
        </w:rPr>
        <w:t>NPY</w:t>
      </w:r>
      <w:r>
        <w:rPr>
          <w:szCs w:val="21"/>
        </w:rPr>
        <w:t>）的mRNA相对表达量均显著提高（</w:t>
      </w:r>
      <w:r>
        <w:rPr>
          <w:i/>
          <w:szCs w:val="21"/>
        </w:rPr>
        <w:t>P</w:t>
      </w:r>
      <w:r>
        <w:rPr>
          <w:szCs w:val="21"/>
        </w:rPr>
        <w:t>&lt;0.05），脑组织抑食基因酪酪肽（</w:t>
      </w:r>
      <w:r>
        <w:rPr>
          <w:i/>
          <w:iCs/>
          <w:szCs w:val="21"/>
        </w:rPr>
        <w:t>PYY</w:t>
      </w:r>
      <w:r>
        <w:rPr>
          <w:szCs w:val="21"/>
        </w:rPr>
        <w:t>）的mRNA相对表达量显著降低（</w:t>
      </w:r>
      <w:r>
        <w:rPr>
          <w:i/>
          <w:szCs w:val="21"/>
        </w:rPr>
        <w:t>P</w:t>
      </w:r>
      <w:r>
        <w:rPr>
          <w:szCs w:val="21"/>
        </w:rPr>
        <w:t>&lt;0.05）；肠长比、肠道绒毛长度及肠道中胰蛋白酶、脂肪酶和钠-钾ATP酶活性显著提高（</w:t>
      </w:r>
      <w:r>
        <w:rPr>
          <w:i/>
          <w:szCs w:val="21"/>
        </w:rPr>
        <w:t>P</w:t>
      </w:r>
      <w:r>
        <w:rPr>
          <w:szCs w:val="21"/>
        </w:rPr>
        <w:t>&lt;0.05），肠道中表皮生长因子（EGF）蛋白表达量及EGF和表皮生长因子受体（</w:t>
      </w:r>
      <w:r>
        <w:rPr>
          <w:i/>
          <w:iCs/>
          <w:szCs w:val="21"/>
        </w:rPr>
        <w:t>EGFR</w:t>
      </w:r>
      <w:r>
        <w:rPr>
          <w:szCs w:val="21"/>
        </w:rPr>
        <w:t>）基因的mRNA相对表达量显著提高（</w:t>
      </w:r>
      <w:r>
        <w:rPr>
          <w:i/>
          <w:szCs w:val="21"/>
        </w:rPr>
        <w:t>P</w:t>
      </w:r>
      <w:r>
        <w:rPr>
          <w:szCs w:val="21"/>
        </w:rPr>
        <w:t>&lt;0.05），肠道空腔率与血浆中二胺氧化酶活性及内毒素、D-乳酸含量显著降低（</w:t>
      </w:r>
      <w:r>
        <w:rPr>
          <w:i/>
          <w:szCs w:val="21"/>
        </w:rPr>
        <w:t>P</w:t>
      </w:r>
      <w:r>
        <w:rPr>
          <w:szCs w:val="21"/>
        </w:rPr>
        <w:t>&lt;0.05）；肠道抗炎基因转化生长因子-β1（</w:t>
      </w:r>
      <w:r>
        <w:rPr>
          <w:i/>
          <w:iCs/>
          <w:szCs w:val="21"/>
        </w:rPr>
        <w:t>TGF-β</w:t>
      </w:r>
      <w:r>
        <w:rPr>
          <w:szCs w:val="21"/>
        </w:rPr>
        <w:t>1）的mRNA相对表达量和免疫球蛋白M（IgM）含量显著提高（</w:t>
      </w:r>
      <w:r>
        <w:rPr>
          <w:i/>
          <w:szCs w:val="21"/>
        </w:rPr>
        <w:t>P</w:t>
      </w:r>
      <w:r>
        <w:rPr>
          <w:szCs w:val="21"/>
        </w:rPr>
        <w:t>&lt;0.05），促炎基因白细胞介素-8（</w:t>
      </w:r>
      <w:r>
        <w:rPr>
          <w:i/>
          <w:iCs/>
          <w:szCs w:val="21"/>
        </w:rPr>
        <w:t>IL-</w:t>
      </w:r>
      <w:r>
        <w:rPr>
          <w:szCs w:val="21"/>
        </w:rPr>
        <w:t>8）、肿瘤坏死因子-α（TNF-α）、白细胞介素-1β（</w:t>
      </w:r>
      <w:r>
        <w:rPr>
          <w:i/>
          <w:iCs/>
          <w:szCs w:val="21"/>
        </w:rPr>
        <w:t>IL-</w:t>
      </w:r>
      <w:r>
        <w:rPr>
          <w:szCs w:val="21"/>
        </w:rPr>
        <w:t>1</w:t>
      </w:r>
      <w:r>
        <w:rPr>
          <w:i/>
          <w:iCs/>
          <w:szCs w:val="21"/>
        </w:rPr>
        <w:t>β</w:t>
      </w:r>
      <w:r>
        <w:rPr>
          <w:szCs w:val="21"/>
        </w:rPr>
        <w:t>）的mRNA相对表达量显著降低（</w:t>
      </w:r>
      <w:r>
        <w:rPr>
          <w:i/>
          <w:szCs w:val="21"/>
        </w:rPr>
        <w:t>P</w:t>
      </w:r>
      <w:r>
        <w:rPr>
          <w:szCs w:val="21"/>
        </w:rPr>
        <w:t>&lt;0.05）。与T1组相比，T5组的终末均重、增重率和特定生长率显著降低（</w:t>
      </w:r>
      <w:r>
        <w:rPr>
          <w:i/>
          <w:szCs w:val="21"/>
        </w:rPr>
        <w:t>P</w:t>
      </w:r>
      <w:r>
        <w:rPr>
          <w:szCs w:val="21"/>
        </w:rPr>
        <w:t>&lt;0.05）。以增重率、饲料系数及肠道IgM含量分别为效应指标，通过二次曲线模型计算得出鳜饲料中牛磺酸适宜含量为11.45~16.65g/kg，不宜高于16.94g/kg。综上所述，饲料中适量牛磺酸可促进鳜的摄食和生长，促进肠道发育，提高其消化能力和免疫功能，而过量添加则会产生抑制效果。该结果可为鳜饲料养殖转型提供科学依据。</w:t>
      </w:r>
    </w:p>
    <w:p w14:paraId="0C3DDFC3">
      <w:pPr>
        <w:rPr>
          <w:szCs w:val="21"/>
        </w:rPr>
      </w:pPr>
      <w:r>
        <w:rPr>
          <w:b/>
          <w:bCs/>
          <w:szCs w:val="21"/>
        </w:rPr>
        <w:t>关键词</w:t>
      </w:r>
      <w:r>
        <w:rPr>
          <w:rFonts w:hint="eastAsia"/>
          <w:b/>
          <w:bCs/>
          <w:szCs w:val="21"/>
        </w:rPr>
        <w:t>：</w:t>
      </w:r>
      <w:r>
        <w:rPr>
          <w:szCs w:val="21"/>
        </w:rPr>
        <w:t>鳜；牛磺酸；生长；肠道；免疫</w:t>
      </w:r>
    </w:p>
    <w:p w14:paraId="3CBDF336">
      <w:pPr>
        <w:jc w:val="center"/>
        <w:rPr>
          <w:b/>
          <w:bCs/>
          <w:sz w:val="24"/>
        </w:rPr>
      </w:pPr>
      <w:r>
        <w:rPr>
          <w:b/>
          <w:bCs/>
          <w:sz w:val="24"/>
        </w:rPr>
        <w:t xml:space="preserve">Effects of Taurine on Growth and Intestinal Structure and Function of Mandarin Fish </w:t>
      </w:r>
      <w:r>
        <w:rPr>
          <w:rFonts w:hint="eastAsia"/>
          <w:b/>
          <w:bCs/>
          <w:sz w:val="24"/>
        </w:rPr>
        <w:t>(</w:t>
      </w:r>
      <w:r>
        <w:rPr>
          <w:b/>
          <w:bCs/>
          <w:i/>
          <w:iCs/>
          <w:sz w:val="24"/>
        </w:rPr>
        <w:t>Siniperca chautsi</w:t>
      </w:r>
      <w:r>
        <w:rPr>
          <w:rFonts w:hint="eastAsia"/>
          <w:b/>
          <w:bCs/>
          <w:sz w:val="24"/>
        </w:rPr>
        <w:t>)</w:t>
      </w:r>
    </w:p>
    <w:p w14:paraId="5E28415F">
      <w:pPr>
        <w:jc w:val="center"/>
        <w:rPr>
          <w:szCs w:val="21"/>
        </w:rPr>
      </w:pPr>
      <w:r>
        <w:rPr>
          <w:szCs w:val="21"/>
        </w:rPr>
        <w:t>CHEN Yushuang</w:t>
      </w:r>
      <w:r>
        <w:rPr>
          <w:rFonts w:hint="eastAsia"/>
          <w:szCs w:val="21"/>
          <w:vertAlign w:val="superscript"/>
        </w:rPr>
        <w:t>1</w:t>
      </w:r>
      <w:r>
        <w:rPr>
          <w:szCs w:val="21"/>
        </w:rPr>
        <w:t xml:space="preserve"> GUO Yihua</w:t>
      </w:r>
      <w:r>
        <w:rPr>
          <w:rFonts w:hint="eastAsia"/>
          <w:szCs w:val="21"/>
          <w:vertAlign w:val="superscript"/>
        </w:rPr>
        <w:t>1</w:t>
      </w:r>
      <w:r>
        <w:rPr>
          <w:szCs w:val="21"/>
        </w:rPr>
        <w:t xml:space="preserve"> LI Bin</w:t>
      </w:r>
      <w:r>
        <w:rPr>
          <w:rFonts w:hint="eastAsia"/>
          <w:szCs w:val="21"/>
          <w:vertAlign w:val="superscript"/>
        </w:rPr>
        <w:t>2</w:t>
      </w:r>
      <w:r>
        <w:rPr>
          <w:szCs w:val="21"/>
        </w:rPr>
        <w:t xml:space="preserve"> BAI Fujin</w:t>
      </w:r>
      <w:r>
        <w:rPr>
          <w:rFonts w:hint="eastAsia"/>
          <w:szCs w:val="21"/>
          <w:vertAlign w:val="superscript"/>
        </w:rPr>
        <w:t>2</w:t>
      </w:r>
      <w:r>
        <w:rPr>
          <w:rFonts w:hint="eastAsia"/>
          <w:szCs w:val="21"/>
        </w:rPr>
        <w:t xml:space="preserve"> </w:t>
      </w:r>
      <w:r>
        <w:rPr>
          <w:szCs w:val="21"/>
        </w:rPr>
        <w:t>DAI Mingyun</w:t>
      </w:r>
      <w:r>
        <w:rPr>
          <w:rFonts w:hint="eastAsia"/>
          <w:szCs w:val="21"/>
          <w:vertAlign w:val="superscript"/>
        </w:rPr>
        <w:t>2</w:t>
      </w:r>
      <w:r>
        <w:rPr>
          <w:szCs w:val="21"/>
        </w:rPr>
        <w:t xml:space="preserve"> LUO Jinqiang</w:t>
      </w:r>
      <w:r>
        <w:rPr>
          <w:rFonts w:hint="eastAsia"/>
          <w:szCs w:val="21"/>
          <w:vertAlign w:val="superscript"/>
        </w:rPr>
        <w:t>3</w:t>
      </w:r>
      <w:r>
        <w:rPr>
          <w:szCs w:val="21"/>
        </w:rPr>
        <w:t xml:space="preserve"> LI Xiaojie</w:t>
      </w:r>
      <w:r>
        <w:rPr>
          <w:rFonts w:hint="eastAsia"/>
          <w:szCs w:val="21"/>
          <w:vertAlign w:val="superscript"/>
        </w:rPr>
        <w:t>3</w:t>
      </w:r>
      <w:r>
        <w:rPr>
          <w:szCs w:val="21"/>
        </w:rPr>
        <w:t xml:space="preserve"> HU Shunpei</w:t>
      </w:r>
      <w:r>
        <w:rPr>
          <w:rFonts w:hint="eastAsia"/>
          <w:szCs w:val="21"/>
          <w:vertAlign w:val="superscript"/>
        </w:rPr>
        <w:t>4</w:t>
      </w:r>
      <w:r>
        <w:rPr>
          <w:szCs w:val="21"/>
        </w:rPr>
        <w:t xml:space="preserve"> LUO Qiang</w:t>
      </w:r>
      <w:r>
        <w:rPr>
          <w:rFonts w:hint="eastAsia"/>
          <w:szCs w:val="21"/>
          <w:vertAlign w:val="superscript"/>
        </w:rPr>
        <w:t>5</w:t>
      </w:r>
      <w:r>
        <w:rPr>
          <w:szCs w:val="21"/>
        </w:rPr>
        <w:t xml:space="preserve"> LI Hongqin</w:t>
      </w:r>
      <w:r>
        <w:rPr>
          <w:rFonts w:hint="eastAsia"/>
          <w:szCs w:val="21"/>
          <w:vertAlign w:val="superscript"/>
        </w:rPr>
        <w:t>6*</w:t>
      </w:r>
      <w:r>
        <w:rPr>
          <w:szCs w:val="21"/>
        </w:rPr>
        <w:t xml:space="preserve"> LUO Li</w:t>
      </w:r>
      <w:r>
        <w:rPr>
          <w:rFonts w:hint="eastAsia"/>
          <w:szCs w:val="21"/>
          <w:vertAlign w:val="superscript"/>
        </w:rPr>
        <w:t>1*</w:t>
      </w:r>
      <w:r>
        <w:rPr>
          <w:rFonts w:hint="eastAsia"/>
          <w:szCs w:val="21"/>
        </w:rPr>
        <w:t xml:space="preserve"> </w:t>
      </w:r>
    </w:p>
    <w:p w14:paraId="4960C2C9">
      <w:pPr>
        <w:jc w:val="center"/>
        <w:rPr>
          <w:i/>
          <w:iCs/>
          <w:szCs w:val="21"/>
        </w:rPr>
      </w:pPr>
      <w:r>
        <w:rPr>
          <w:rFonts w:hint="eastAsia"/>
          <w:szCs w:val="21"/>
        </w:rPr>
        <w:t>(</w:t>
      </w:r>
      <w:r>
        <w:rPr>
          <w:i/>
          <w:iCs/>
          <w:szCs w:val="21"/>
        </w:rPr>
        <w:t>1. Key Laboratory of Freshwater Fish Resources and Reproductive Development, Ministry of Education, School of Fisheries, Southwest University, Chongqing</w:t>
      </w:r>
      <w:r>
        <w:rPr>
          <w:szCs w:val="21"/>
        </w:rPr>
        <w:t xml:space="preserve"> 400715</w:t>
      </w:r>
      <w:r>
        <w:rPr>
          <w:i/>
          <w:iCs/>
          <w:szCs w:val="21"/>
        </w:rPr>
        <w:t xml:space="preserve">, China; 2. Chongqing Ecological Fish Industry Technology System, Chongqing Fishery Technology Extension Station, Chongqing </w:t>
      </w:r>
      <w:r>
        <w:rPr>
          <w:szCs w:val="21"/>
        </w:rPr>
        <w:t>400400</w:t>
      </w:r>
      <w:r>
        <w:rPr>
          <w:i/>
          <w:iCs/>
          <w:szCs w:val="21"/>
        </w:rPr>
        <w:t xml:space="preserve">, China; 3. Tongnan District of Chongqing Agricultural Science and Technology Extension Center, Chongqing </w:t>
      </w:r>
      <w:r>
        <w:rPr>
          <w:szCs w:val="21"/>
        </w:rPr>
        <w:t>402660</w:t>
      </w:r>
      <w:r>
        <w:rPr>
          <w:i/>
          <w:iCs/>
          <w:szCs w:val="21"/>
        </w:rPr>
        <w:t xml:space="preserve">, China; 4. Chongqing Zhongshui Aquaculture Co., Ltd., Chongqing </w:t>
      </w:r>
      <w:r>
        <w:rPr>
          <w:szCs w:val="21"/>
        </w:rPr>
        <w:t>401240</w:t>
      </w:r>
      <w:r>
        <w:rPr>
          <w:i/>
          <w:iCs/>
          <w:szCs w:val="21"/>
        </w:rPr>
        <w:t xml:space="preserve">, China; 5. Bishan District Modern Agriculture Development Promotion Center, Chongqing </w:t>
      </w:r>
      <w:r>
        <w:rPr>
          <w:szCs w:val="21"/>
        </w:rPr>
        <w:t>402760</w:t>
      </w:r>
      <w:r>
        <w:rPr>
          <w:i/>
          <w:iCs/>
          <w:szCs w:val="21"/>
        </w:rPr>
        <w:t xml:space="preserve">, China; 6. Sichuan New Hope Liuhe Science and Technology Innovation Co., Ltd., Chengdu </w:t>
      </w:r>
      <w:r>
        <w:rPr>
          <w:szCs w:val="21"/>
        </w:rPr>
        <w:t>610000</w:t>
      </w:r>
      <w:r>
        <w:rPr>
          <w:i/>
          <w:iCs/>
          <w:szCs w:val="21"/>
        </w:rPr>
        <w:t>, China</w:t>
      </w:r>
      <w:r>
        <w:rPr>
          <w:szCs w:val="21"/>
        </w:rPr>
        <w:t>)</w:t>
      </w:r>
    </w:p>
    <w:p w14:paraId="201D7ABA">
      <w:pPr>
        <w:rPr>
          <w:szCs w:val="21"/>
        </w:rPr>
      </w:pPr>
      <w:r>
        <w:rPr>
          <w:b/>
          <w:bCs/>
          <w:szCs w:val="21"/>
        </w:rPr>
        <w:t>Abstract:</w:t>
      </w:r>
      <w:r>
        <w:rPr>
          <w:szCs w:val="21"/>
        </w:rPr>
        <w:t xml:space="preserve"> This experiment was conducted to investigate the effects of dietary taurine content on growth performance, intestinal structure and function of mandarin fish (</w:t>
      </w:r>
      <w:r>
        <w:rPr>
          <w:i/>
          <w:iCs/>
          <w:szCs w:val="21"/>
        </w:rPr>
        <w:t>Siniperca chautsi</w:t>
      </w:r>
      <w:r>
        <w:rPr>
          <w:szCs w:val="21"/>
        </w:rPr>
        <w:t>). A total of 300 mandarin fish with an initial body weight of (16.74±0.22) g were randomly allocated into 5 groups, each with 3 replicates of 20 fish. The control group (T1 group) was fed a basal diet, while the experimental groups were fed the basal diet supplemented with 2 (T2 group), 4 (T3 group), 8 (T4 group), and 16 g/kg (T5 group) taurine, respectively. The measured taurine contents in the five experimental diets were 5.35, 7.33, 9.31, 13.27, and 21.19 g/kg, respectively. The experiment lasted for 48 days. The results showed as follows: compared with T1 group, fish in the T4 group exhibited significantly higher final body weight, weight gain rate (WGR), specific growth rate (SGR), condition factor, muscle crude lipid content, and the mRNA relative expression level of the feeding-promoting gene neuropeptide Y (</w:t>
      </w:r>
      <w:r>
        <w:rPr>
          <w:i/>
          <w:iCs/>
          <w:szCs w:val="21"/>
        </w:rPr>
        <w:t>NPY</w:t>
      </w:r>
      <w:r>
        <w:rPr>
          <w:szCs w:val="21"/>
        </w:rPr>
        <w:t>) in the brain tissue (</w:t>
      </w:r>
      <w:r>
        <w:rPr>
          <w:i/>
          <w:szCs w:val="21"/>
        </w:rPr>
        <w:t>P</w:t>
      </w:r>
      <w:r>
        <w:rPr>
          <w:szCs w:val="21"/>
        </w:rPr>
        <w:t>&lt;0.05), while the mRNA relative expression level of the feeding-inhibiting gene peptide Y (</w:t>
      </w:r>
      <w:r>
        <w:rPr>
          <w:i/>
          <w:iCs/>
          <w:szCs w:val="21"/>
        </w:rPr>
        <w:t>PYY</w:t>
      </w:r>
      <w:r>
        <w:rPr>
          <w:szCs w:val="21"/>
        </w:rPr>
        <w:t>) in the brain tissue was significantly decreased (</w:t>
      </w:r>
      <w:r>
        <w:rPr>
          <w:i/>
          <w:szCs w:val="21"/>
        </w:rPr>
        <w:t>P</w:t>
      </w:r>
      <w:r>
        <w:rPr>
          <w:szCs w:val="21"/>
        </w:rPr>
        <w:t>&lt;0.05). Furthermore, the gut length ratio, villus length and the activities of trypsin, lipase and Na</w:t>
      </w:r>
      <w:r>
        <w:rPr>
          <w:szCs w:val="21"/>
          <w:vertAlign w:val="superscript"/>
        </w:rPr>
        <w:t>+</w:t>
      </w:r>
      <w:r>
        <w:rPr>
          <w:szCs w:val="21"/>
        </w:rPr>
        <w:t>-K</w:t>
      </w:r>
      <w:r>
        <w:rPr>
          <w:szCs w:val="21"/>
          <w:vertAlign w:val="superscript"/>
        </w:rPr>
        <w:t>+</w:t>
      </w:r>
      <w:r>
        <w:rPr>
          <w:szCs w:val="21"/>
        </w:rPr>
        <w:t>-ATPase in the intestine were significantly increased in the T4 group (</w:t>
      </w:r>
      <w:r>
        <w:rPr>
          <w:i/>
          <w:szCs w:val="21"/>
        </w:rPr>
        <w:t>P</w:t>
      </w:r>
      <w:r>
        <w:rPr>
          <w:szCs w:val="21"/>
        </w:rPr>
        <w:t>&lt;0.05). The protein expression level of epidermal growth factor (EGF) and the mRNA relative expression levels of EGF and epidermal growth factor receptor (</w:t>
      </w:r>
      <w:r>
        <w:rPr>
          <w:i/>
          <w:iCs/>
          <w:szCs w:val="21"/>
        </w:rPr>
        <w:t>EGFR</w:t>
      </w:r>
      <w:r>
        <w:rPr>
          <w:szCs w:val="21"/>
        </w:rPr>
        <w:t>) genes in the intestine were also significantly upregulated (</w:t>
      </w:r>
      <w:r>
        <w:rPr>
          <w:i/>
          <w:szCs w:val="21"/>
        </w:rPr>
        <w:t>P</w:t>
      </w:r>
      <w:r>
        <w:rPr>
          <w:szCs w:val="21"/>
        </w:rPr>
        <w:t>&lt;0.05). Concurrently, the intestinal lumen ratio, plasma diamine oxidase activity, and the contents of endotoxin and D-lactic acid were significantly reduced in this group (</w:t>
      </w:r>
      <w:r>
        <w:rPr>
          <w:i/>
          <w:szCs w:val="21"/>
        </w:rPr>
        <w:t>P</w:t>
      </w:r>
      <w:r>
        <w:rPr>
          <w:szCs w:val="21"/>
        </w:rPr>
        <w:t>&lt;0.05). The mRNA relative expression level of the anti-inflammatory gene transforming growth factor β1 (</w:t>
      </w:r>
      <w:r>
        <w:rPr>
          <w:i/>
          <w:iCs/>
          <w:szCs w:val="21"/>
        </w:rPr>
        <w:t>TGF-β</w:t>
      </w:r>
      <w:r>
        <w:rPr>
          <w:iCs/>
          <w:szCs w:val="21"/>
        </w:rPr>
        <w:t>1</w:t>
      </w:r>
      <w:r>
        <w:rPr>
          <w:szCs w:val="21"/>
        </w:rPr>
        <w:t>) and the content of immunoglobulin M (IgM) in the intestine were significantly increased (</w:t>
      </w:r>
      <w:r>
        <w:rPr>
          <w:i/>
          <w:szCs w:val="21"/>
        </w:rPr>
        <w:t>P</w:t>
      </w:r>
      <w:r>
        <w:rPr>
          <w:szCs w:val="21"/>
        </w:rPr>
        <w:t>&lt;0.05), whereas the mRNA relative expression levels of pro-inflammatory genes interleukin-8 (</w:t>
      </w:r>
      <w:r>
        <w:rPr>
          <w:i/>
          <w:iCs/>
          <w:szCs w:val="21"/>
        </w:rPr>
        <w:t>IL-8</w:t>
      </w:r>
      <w:r>
        <w:rPr>
          <w:szCs w:val="21"/>
        </w:rPr>
        <w:t>), tumor necrosis factor-α (</w:t>
      </w:r>
      <w:r>
        <w:rPr>
          <w:i/>
          <w:iCs/>
          <w:szCs w:val="21"/>
        </w:rPr>
        <w:t>TNF-α</w:t>
      </w:r>
      <w:r>
        <w:rPr>
          <w:szCs w:val="21"/>
        </w:rPr>
        <w:t>), and interleukin-1β (</w:t>
      </w:r>
      <w:r>
        <w:rPr>
          <w:i/>
          <w:iCs/>
          <w:szCs w:val="21"/>
        </w:rPr>
        <w:t>IL-</w:t>
      </w:r>
      <w:r>
        <w:rPr>
          <w:iCs/>
          <w:szCs w:val="21"/>
        </w:rPr>
        <w:t>1</w:t>
      </w:r>
      <w:r>
        <w:rPr>
          <w:i/>
          <w:iCs/>
          <w:szCs w:val="21"/>
        </w:rPr>
        <w:t>β</w:t>
      </w:r>
      <w:r>
        <w:rPr>
          <w:szCs w:val="21"/>
        </w:rPr>
        <w:t>) were significantly decreased (</w:t>
      </w:r>
      <w:r>
        <w:rPr>
          <w:i/>
          <w:szCs w:val="21"/>
        </w:rPr>
        <w:t>P</w:t>
      </w:r>
      <w:r>
        <w:rPr>
          <w:szCs w:val="21"/>
        </w:rPr>
        <w:t>&lt;0.05). In contrast, the T5 group (21.19 g/kg taurine) showed significantly lower final body weight, WGR, and SGR compared to T1 group (</w:t>
      </w:r>
      <w:r>
        <w:rPr>
          <w:i/>
          <w:szCs w:val="21"/>
        </w:rPr>
        <w:t>P</w:t>
      </w:r>
      <w:r>
        <w:rPr>
          <w:szCs w:val="21"/>
        </w:rPr>
        <w:t>&lt;0.05). Based on quadratic regression analysis of WGR, feed conversion ratio, and intestinal IgM content against dietary taurine levels, the optimal dietary taurine content for mandarin fish was estimated to be 11.45 to 16.65 g/kg, with an upper limit not exceeding 16.94 g/kg. In conclusion, appropriate levels of dietary taurine promote feed intake, growth, intestinal development, digestive capacity and immune function in mandarin fish, whereas excessive supplementation exerts inhibitory effects. These findings provide a scientific basis for the transition of mandarin fish aquaculture to formulated feed.</w:t>
      </w:r>
    </w:p>
    <w:p w14:paraId="25FA0604">
      <w:pPr>
        <w:rPr>
          <w:szCs w:val="21"/>
        </w:rPr>
      </w:pPr>
      <w:r>
        <w:rPr>
          <w:b/>
          <w:bCs/>
          <w:szCs w:val="21"/>
        </w:rPr>
        <w:t>Keywords:</w:t>
      </w:r>
      <w:r>
        <w:rPr>
          <w:szCs w:val="21"/>
        </w:rPr>
        <w:t xml:space="preserve"> mandarin fish (</w:t>
      </w:r>
      <w:r>
        <w:rPr>
          <w:i/>
          <w:iCs/>
          <w:szCs w:val="21"/>
        </w:rPr>
        <w:t>Siniperca chautsi</w:t>
      </w:r>
      <w:r>
        <w:rPr>
          <w:szCs w:val="21"/>
        </w:rPr>
        <w:t>); taurine; growth; intestine; immunity</w:t>
      </w:r>
    </w:p>
    <w:p w14:paraId="03C59622">
      <w:pPr>
        <w:rPr>
          <w:szCs w:val="21"/>
        </w:rPr>
      </w:pPr>
    </w:p>
    <w:p w14:paraId="4E1D3F30">
      <w:pPr>
        <w:spacing w:line="360" w:lineRule="auto"/>
        <w:ind w:firstLine="480" w:firstLineChars="200"/>
        <w:rPr>
          <w:sz w:val="24"/>
          <w:szCs w:val="21"/>
        </w:rPr>
      </w:pPr>
      <w:r>
        <w:rPr>
          <w:sz w:val="24"/>
          <w:szCs w:val="21"/>
        </w:rPr>
        <w:t>鳜（</w:t>
      </w:r>
      <w:r>
        <w:rPr>
          <w:i/>
          <w:iCs/>
          <w:sz w:val="24"/>
          <w:szCs w:val="21"/>
        </w:rPr>
        <w:t>Siniperca chuatsi</w:t>
      </w:r>
      <w:r>
        <w:rPr>
          <w:sz w:val="24"/>
          <w:szCs w:val="21"/>
        </w:rPr>
        <w:t>）隶属鲈形目（Perciformes）、鮨科（Serranidae）、鳜属（</w:t>
      </w:r>
      <w:r>
        <w:rPr>
          <w:i/>
          <w:iCs/>
          <w:sz w:val="24"/>
          <w:szCs w:val="21"/>
        </w:rPr>
        <w:t>Siniperca</w:t>
      </w:r>
      <w:r>
        <w:rPr>
          <w:sz w:val="24"/>
          <w:szCs w:val="21"/>
        </w:rPr>
        <w:t>），是中国四大淡水名鱼之一。该物种具有较高的食用和药用价值，可补气血、益脾胃，其主要分布于中国珠江及长江流域</w:t>
      </w:r>
      <w:r>
        <w:rPr>
          <w:sz w:val="24"/>
          <w:szCs w:val="21"/>
          <w:vertAlign w:val="superscript"/>
        </w:rPr>
        <w:t>[</w:t>
      </w:r>
      <w:r>
        <w:rPr>
          <w:rFonts w:hint="eastAsia"/>
          <w:sz w:val="24"/>
          <w:szCs w:val="21"/>
          <w:vertAlign w:val="superscript"/>
        </w:rPr>
        <w:t>1</w:t>
      </w:r>
      <w:r>
        <w:rPr>
          <w:sz w:val="24"/>
          <w:szCs w:val="21"/>
          <w:vertAlign w:val="superscript"/>
        </w:rPr>
        <w:t>]</w:t>
      </w:r>
      <w:r>
        <w:rPr>
          <w:sz w:val="24"/>
          <w:szCs w:val="21"/>
        </w:rPr>
        <w:t>。据中国渔业统计年鉴，2023年我国鳜的养殖产量达到47.75万t，同比增长18.97%</w:t>
      </w:r>
      <w:r>
        <w:rPr>
          <w:sz w:val="24"/>
          <w:szCs w:val="21"/>
          <w:vertAlign w:val="superscript"/>
        </w:rPr>
        <w:t>[</w:t>
      </w:r>
      <w:r>
        <w:rPr>
          <w:rFonts w:hint="eastAsia"/>
          <w:sz w:val="24"/>
          <w:szCs w:val="21"/>
          <w:vertAlign w:val="superscript"/>
        </w:rPr>
        <w:t>2</w:t>
      </w:r>
      <w:r>
        <w:rPr>
          <w:sz w:val="24"/>
          <w:szCs w:val="21"/>
          <w:vertAlign w:val="superscript"/>
        </w:rPr>
        <w:t>]</w:t>
      </w:r>
      <w:r>
        <w:rPr>
          <w:sz w:val="24"/>
          <w:szCs w:val="21"/>
        </w:rPr>
        <w:t>。鳜作为肉食性鱼类，传统的活饵投喂、以鱼养鱼的养殖模式增加了养殖成本、患病风险。活饵鳜由于饵料系数高、投喂量大，水质易污染，易感疾病，难以防控。近年来，为积极践行农业农村部水产技术推广总站提出的“水产绿色健康养殖五大行动”之一的“配合饲料替代幼杂鱼”，本实验室对鳜营养、饲料及生态养殖技术进行了研究</w:t>
      </w:r>
      <w:r>
        <w:rPr>
          <w:sz w:val="24"/>
          <w:szCs w:val="21"/>
          <w:vertAlign w:val="superscript"/>
        </w:rPr>
        <w:t>[3-5]</w:t>
      </w:r>
      <w:r>
        <w:rPr>
          <w:sz w:val="24"/>
          <w:szCs w:val="21"/>
        </w:rPr>
        <w:t>，然而鳜配合饲料驯化过程中极易引发肠道炎症，继发其他疾病和闭口，致使驯化成活率低，严重影响了鳜饲料养殖模式的良性发展。</w:t>
      </w:r>
    </w:p>
    <w:p w14:paraId="530DEE0D">
      <w:pPr>
        <w:spacing w:line="360" w:lineRule="auto"/>
        <w:ind w:firstLine="480" w:firstLineChars="200"/>
        <w:rPr>
          <w:sz w:val="24"/>
          <w:szCs w:val="21"/>
        </w:rPr>
      </w:pPr>
      <w:r>
        <w:rPr>
          <w:sz w:val="24"/>
          <w:szCs w:val="21"/>
        </w:rPr>
        <w:t>牛磺酸是一种鱼类的半必需β-氨基酸</w:t>
      </w:r>
      <w:r>
        <w:rPr>
          <w:rFonts w:hint="eastAsia"/>
          <w:sz w:val="24"/>
          <w:szCs w:val="21"/>
        </w:rPr>
        <w:t>,</w:t>
      </w:r>
      <w:r>
        <w:rPr>
          <w:sz w:val="24"/>
          <w:szCs w:val="21"/>
        </w:rPr>
        <w:t>对鱼类具有广泛的生理功能</w:t>
      </w:r>
      <w:r>
        <w:rPr>
          <w:rFonts w:hint="eastAsia"/>
          <w:sz w:val="24"/>
          <w:szCs w:val="21"/>
        </w:rPr>
        <w:t>,</w:t>
      </w:r>
      <w:r>
        <w:rPr>
          <w:sz w:val="24"/>
          <w:szCs w:val="21"/>
        </w:rPr>
        <w:t>饲料中添加牛磺酸促进鱼类摄食</w:t>
      </w:r>
      <w:r>
        <w:rPr>
          <w:rFonts w:hint="eastAsia"/>
          <w:sz w:val="24"/>
          <w:szCs w:val="21"/>
        </w:rPr>
        <w:t>,</w:t>
      </w:r>
      <w:r>
        <w:rPr>
          <w:sz w:val="24"/>
          <w:szCs w:val="21"/>
        </w:rPr>
        <w:t>其对鹦鹉鱼幼鱼</w:t>
      </w:r>
      <w:r>
        <w:rPr>
          <w:rFonts w:hint="eastAsia"/>
          <w:sz w:val="24"/>
          <w:szCs w:val="21"/>
        </w:rPr>
        <w:t>（</w:t>
      </w:r>
      <w:r>
        <w:rPr>
          <w:i/>
          <w:iCs/>
          <w:sz w:val="24"/>
          <w:szCs w:val="21"/>
        </w:rPr>
        <w:t>Oplegnathus fasciatus</w:t>
      </w:r>
      <w:r>
        <w:rPr>
          <w:rFonts w:hint="eastAsia"/>
          <w:sz w:val="24"/>
          <w:szCs w:val="21"/>
        </w:rPr>
        <w:t>）</w:t>
      </w:r>
      <w:r>
        <w:rPr>
          <w:sz w:val="24"/>
          <w:szCs w:val="21"/>
          <w:vertAlign w:val="superscript"/>
        </w:rPr>
        <w:t>[6]</w:t>
      </w:r>
      <w:r>
        <w:rPr>
          <w:sz w:val="24"/>
          <w:szCs w:val="21"/>
        </w:rPr>
        <w:t>与欧洲鲈（</w:t>
      </w:r>
      <w:r>
        <w:rPr>
          <w:i/>
          <w:iCs/>
          <w:sz w:val="24"/>
          <w:szCs w:val="21"/>
        </w:rPr>
        <w:t>Dicentrarchus labrax</w:t>
      </w:r>
      <w:r>
        <w:rPr>
          <w:sz w:val="24"/>
          <w:szCs w:val="21"/>
        </w:rPr>
        <w:t>）</w:t>
      </w:r>
      <w:r>
        <w:rPr>
          <w:sz w:val="24"/>
          <w:szCs w:val="21"/>
          <w:vertAlign w:val="superscript"/>
        </w:rPr>
        <w:t>[7]</w:t>
      </w:r>
      <w:r>
        <w:rPr>
          <w:sz w:val="24"/>
          <w:szCs w:val="21"/>
        </w:rPr>
        <w:t>的诱食作用均已得到证明。鳜在饲料驯化过程中一方面存在开口难题，需要人工添加诱食剂</w:t>
      </w:r>
      <w:r>
        <w:rPr>
          <w:rFonts w:hint="eastAsia"/>
          <w:sz w:val="24"/>
          <w:szCs w:val="21"/>
        </w:rPr>
        <w:t>,</w:t>
      </w:r>
      <w:r>
        <w:rPr>
          <w:sz w:val="24"/>
          <w:szCs w:val="21"/>
        </w:rPr>
        <w:t>同时还存在鳜肠道的生理适应性问题。大量研究表明</w:t>
      </w:r>
      <w:r>
        <w:rPr>
          <w:rFonts w:hint="eastAsia"/>
          <w:sz w:val="24"/>
          <w:szCs w:val="21"/>
        </w:rPr>
        <w:t>,</w:t>
      </w:r>
      <w:r>
        <w:rPr>
          <w:sz w:val="24"/>
          <w:szCs w:val="21"/>
        </w:rPr>
        <w:t>牛磺酸具有促进肠道生长发育、提高肠道消化与免疫功能的作用</w:t>
      </w:r>
      <w:r>
        <w:rPr>
          <w:rFonts w:hint="eastAsia"/>
          <w:sz w:val="24"/>
          <w:szCs w:val="21"/>
        </w:rPr>
        <w:t>，</w:t>
      </w:r>
      <w:r>
        <w:rPr>
          <w:sz w:val="24"/>
          <w:szCs w:val="21"/>
        </w:rPr>
        <w:t>如对尖吻鲈</w:t>
      </w:r>
      <w:r>
        <w:rPr>
          <w:rFonts w:hint="eastAsia"/>
          <w:sz w:val="24"/>
          <w:szCs w:val="21"/>
        </w:rPr>
        <w:t>（</w:t>
      </w:r>
      <w:r>
        <w:rPr>
          <w:i/>
          <w:iCs/>
          <w:sz w:val="24"/>
          <w:szCs w:val="21"/>
        </w:rPr>
        <w:t>Lates calcarifer</w:t>
      </w:r>
      <w:r>
        <w:rPr>
          <w:rFonts w:hint="eastAsia"/>
          <w:sz w:val="24"/>
          <w:szCs w:val="21"/>
        </w:rPr>
        <w:t>）</w:t>
      </w:r>
      <w:r>
        <w:rPr>
          <w:sz w:val="24"/>
          <w:szCs w:val="21"/>
          <w:vertAlign w:val="superscript"/>
        </w:rPr>
        <w:t>[8]</w:t>
      </w:r>
      <w:r>
        <w:rPr>
          <w:sz w:val="24"/>
          <w:szCs w:val="21"/>
        </w:rPr>
        <w:t>、黄鳍鲷</w:t>
      </w:r>
      <w:r>
        <w:rPr>
          <w:rFonts w:hint="eastAsia"/>
          <w:sz w:val="24"/>
          <w:szCs w:val="21"/>
        </w:rPr>
        <w:t>（</w:t>
      </w:r>
      <w:r>
        <w:rPr>
          <w:i/>
          <w:iCs/>
          <w:sz w:val="24"/>
          <w:szCs w:val="21"/>
        </w:rPr>
        <w:t>Acanthopagrus latus</w:t>
      </w:r>
      <w:r>
        <w:rPr>
          <w:rFonts w:hint="eastAsia"/>
          <w:sz w:val="24"/>
          <w:szCs w:val="21"/>
        </w:rPr>
        <w:t>）</w:t>
      </w:r>
      <w:r>
        <w:rPr>
          <w:sz w:val="24"/>
          <w:szCs w:val="21"/>
          <w:vertAlign w:val="superscript"/>
        </w:rPr>
        <w:t>[9]</w:t>
      </w:r>
      <w:r>
        <w:rPr>
          <w:sz w:val="24"/>
          <w:szCs w:val="21"/>
        </w:rPr>
        <w:t>与黄颡鱼</w:t>
      </w:r>
      <w:r>
        <w:rPr>
          <w:rFonts w:hint="eastAsia"/>
          <w:sz w:val="24"/>
          <w:szCs w:val="21"/>
        </w:rPr>
        <w:t>（</w:t>
      </w:r>
      <w:r>
        <w:rPr>
          <w:i/>
          <w:iCs/>
          <w:sz w:val="24"/>
          <w:szCs w:val="21"/>
        </w:rPr>
        <w:t>Pelteobagrus fulvidraco</w:t>
      </w:r>
      <w:r>
        <w:rPr>
          <w:rFonts w:hint="eastAsia"/>
          <w:sz w:val="24"/>
          <w:szCs w:val="21"/>
        </w:rPr>
        <w:t>）</w:t>
      </w:r>
      <w:r>
        <w:rPr>
          <w:sz w:val="24"/>
          <w:szCs w:val="21"/>
          <w:vertAlign w:val="superscript"/>
        </w:rPr>
        <w:t>[10]</w:t>
      </w:r>
      <w:r>
        <w:rPr>
          <w:sz w:val="24"/>
          <w:szCs w:val="21"/>
        </w:rPr>
        <w:t>等鱼类的研究均已得到证明。除此外</w:t>
      </w:r>
      <w:r>
        <w:rPr>
          <w:rFonts w:hint="eastAsia"/>
          <w:sz w:val="24"/>
          <w:szCs w:val="21"/>
        </w:rPr>
        <w:t>，</w:t>
      </w:r>
      <w:r>
        <w:rPr>
          <w:sz w:val="24"/>
          <w:szCs w:val="21"/>
        </w:rPr>
        <w:t>牛磺酸还参与胆汁酸结合、细胞渗透压调节、神经元兴奋性、炎症反应和葡萄糖代谢</w:t>
      </w:r>
      <w:r>
        <w:rPr>
          <w:sz w:val="24"/>
          <w:szCs w:val="21"/>
          <w:vertAlign w:val="superscript"/>
        </w:rPr>
        <w:t>[11]</w:t>
      </w:r>
      <w:r>
        <w:rPr>
          <w:sz w:val="24"/>
          <w:szCs w:val="21"/>
        </w:rPr>
        <w:t>等生理过程。基于此</w:t>
      </w:r>
      <w:r>
        <w:rPr>
          <w:rFonts w:hint="eastAsia"/>
          <w:sz w:val="24"/>
          <w:szCs w:val="21"/>
        </w:rPr>
        <w:t>,</w:t>
      </w:r>
      <w:r>
        <w:rPr>
          <w:sz w:val="24"/>
          <w:szCs w:val="21"/>
        </w:rPr>
        <w:t>本试验旨在通过探讨饲料中不同含量牛磺酸对鳜生长及肠道结构和功能的影响</w:t>
      </w:r>
      <w:r>
        <w:rPr>
          <w:rFonts w:hint="eastAsia"/>
          <w:sz w:val="24"/>
          <w:szCs w:val="21"/>
        </w:rPr>
        <w:t>,</w:t>
      </w:r>
      <w:r>
        <w:rPr>
          <w:sz w:val="24"/>
          <w:szCs w:val="21"/>
        </w:rPr>
        <w:t>为鳜从传统饵料鱼养殖逐步过渡到饲料养殖提供理论依据和技术支持。</w:t>
      </w:r>
    </w:p>
    <w:p w14:paraId="58724BDA">
      <w:pPr>
        <w:spacing w:line="360" w:lineRule="auto"/>
        <w:rPr>
          <w:sz w:val="24"/>
          <w:szCs w:val="21"/>
        </w:rPr>
      </w:pPr>
      <w:r>
        <w:rPr>
          <w:sz w:val="24"/>
          <w:szCs w:val="21"/>
        </w:rPr>
        <w:t>1材料与方法</w:t>
      </w:r>
    </w:p>
    <w:p w14:paraId="33D4CFF3">
      <w:pPr>
        <w:spacing w:line="360" w:lineRule="auto"/>
        <w:rPr>
          <w:sz w:val="24"/>
          <w:szCs w:val="21"/>
        </w:rPr>
      </w:pPr>
      <w:r>
        <w:rPr>
          <w:sz w:val="24"/>
          <w:szCs w:val="21"/>
        </w:rPr>
        <w:t>1.1试验设计与饲料</w:t>
      </w:r>
    </w:p>
    <w:p w14:paraId="063A6A62">
      <w:pPr>
        <w:spacing w:line="360" w:lineRule="auto"/>
        <w:ind w:firstLine="480" w:firstLineChars="200"/>
        <w:rPr>
          <w:sz w:val="24"/>
          <w:szCs w:val="21"/>
        </w:rPr>
      </w:pPr>
      <w:r>
        <w:rPr>
          <w:sz w:val="24"/>
          <w:szCs w:val="21"/>
        </w:rPr>
        <w:t>动物试验过程严格遵守实验动物伦理规范，并经由西南大学实验动物伦理审查委员会批准，批准号：IACUC-20181015-12。选取初始体重[（16.74±0.22）g]均匀、体质健壮的鳜300尾，随机分为5个组，每个组3个重复，每个重复20尾。对照组（T1组）投喂基础饲料，试验组在基础饲料中分别添加2（T2组）、4（T3组）、8（T4组）、16g/kg（T5组）牛磺酸（有效含量98.5%），5种试验饲料中牛磺酸实测含量分别为5.35、7.33、9.31、13.27、21.19g/kg。试验期48d。</w:t>
      </w:r>
    </w:p>
    <w:p w14:paraId="0A0FE18F">
      <w:pPr>
        <w:spacing w:line="360" w:lineRule="auto"/>
        <w:ind w:firstLine="480" w:firstLineChars="200"/>
        <w:rPr>
          <w:sz w:val="24"/>
          <w:szCs w:val="21"/>
        </w:rPr>
      </w:pPr>
      <w:r>
        <w:rPr>
          <w:sz w:val="24"/>
          <w:szCs w:val="21"/>
        </w:rPr>
        <w:t>综合已有鱼类（尤其是淡水肉食性鱼类）相关研究，饲料中牛磺酸的最适添加量通常为0.5%～1.6%（即5～16g/kg）</w:t>
      </w:r>
      <w:r>
        <w:rPr>
          <w:sz w:val="24"/>
          <w:szCs w:val="21"/>
          <w:vertAlign w:val="superscript"/>
        </w:rPr>
        <w:t>[12]</w:t>
      </w:r>
      <w:r>
        <w:rPr>
          <w:sz w:val="24"/>
          <w:szCs w:val="21"/>
        </w:rPr>
        <w:t>。根据鳜的营养需求，配制以鱼粉、鸡肉粉和鱼油等为原料的基础饲料，在其基础上添加不同剂量的牛磺酸，用微晶纤维素进行调平配制成5种试验饲料，其组成及营养水平见表1。</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076DB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1E4CE805">
            <w:pPr>
              <w:spacing w:line="360" w:lineRule="auto"/>
              <w:jc w:val="center"/>
              <w:rPr>
                <w:sz w:val="24"/>
                <w:szCs w:val="21"/>
              </w:rPr>
            </w:pPr>
            <w:r>
              <w:rPr>
                <w:sz w:val="24"/>
                <w:szCs w:val="21"/>
              </w:rPr>
              <w:drawing>
                <wp:inline distT="0" distB="0" distL="0" distR="0">
                  <wp:extent cx="4928235" cy="2988310"/>
                  <wp:effectExtent l="0" t="0" r="5715" b="2540"/>
                  <wp:docPr id="1802275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5788" name="图片 1"/>
                          <pic:cNvPicPr>
                            <a:picLocks noChangeAspect="1"/>
                          </pic:cNvPicPr>
                        </pic:nvPicPr>
                        <pic:blipFill>
                          <a:blip r:embed="rId10"/>
                          <a:stretch>
                            <a:fillRect/>
                          </a:stretch>
                        </pic:blipFill>
                        <pic:spPr>
                          <a:xfrm>
                            <a:off x="0" y="0"/>
                            <a:ext cx="4943719" cy="2997420"/>
                          </a:xfrm>
                          <a:prstGeom prst="rect">
                            <a:avLst/>
                          </a:prstGeom>
                        </pic:spPr>
                      </pic:pic>
                    </a:graphicData>
                  </a:graphic>
                </wp:inline>
              </w:drawing>
            </w:r>
          </w:p>
        </w:tc>
      </w:tr>
      <w:tr w14:paraId="1171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nil"/>
              <w:left w:val="nil"/>
              <w:bottom w:val="nil"/>
              <w:right w:val="nil"/>
            </w:tcBorders>
          </w:tcPr>
          <w:p w14:paraId="17ED9B77">
            <w:pPr>
              <w:spacing w:line="360" w:lineRule="auto"/>
              <w:jc w:val="center"/>
              <w:rPr>
                <w:sz w:val="24"/>
                <w:szCs w:val="21"/>
              </w:rPr>
            </w:pPr>
            <w:r>
              <w:rPr>
                <w:sz w:val="24"/>
                <w:szCs w:val="21"/>
              </w:rPr>
              <w:drawing>
                <wp:inline distT="0" distB="0" distL="0" distR="0">
                  <wp:extent cx="4997450" cy="2538095"/>
                  <wp:effectExtent l="0" t="0" r="0" b="0"/>
                  <wp:docPr id="499206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06847" name="图片 1"/>
                          <pic:cNvPicPr>
                            <a:picLocks noChangeAspect="1"/>
                          </pic:cNvPicPr>
                        </pic:nvPicPr>
                        <pic:blipFill>
                          <a:blip r:embed="rId11"/>
                          <a:stretch>
                            <a:fillRect/>
                          </a:stretch>
                        </pic:blipFill>
                        <pic:spPr>
                          <a:xfrm>
                            <a:off x="0" y="0"/>
                            <a:ext cx="5014655" cy="2546570"/>
                          </a:xfrm>
                          <a:prstGeom prst="rect">
                            <a:avLst/>
                          </a:prstGeom>
                        </pic:spPr>
                      </pic:pic>
                    </a:graphicData>
                  </a:graphic>
                </wp:inline>
              </w:drawing>
            </w:r>
          </w:p>
        </w:tc>
      </w:tr>
    </w:tbl>
    <w:p w14:paraId="571F6FEB">
      <w:pPr>
        <w:spacing w:line="360" w:lineRule="auto"/>
        <w:rPr>
          <w:sz w:val="24"/>
          <w:szCs w:val="21"/>
        </w:rPr>
      </w:pPr>
      <w:r>
        <w:rPr>
          <w:sz w:val="24"/>
          <w:szCs w:val="21"/>
        </w:rPr>
        <w:t>1.2饲养管理</w:t>
      </w:r>
    </w:p>
    <w:p w14:paraId="6C155FF0">
      <w:pPr>
        <w:spacing w:line="360" w:lineRule="auto"/>
        <w:ind w:firstLine="480" w:firstLineChars="200"/>
        <w:rPr>
          <w:sz w:val="24"/>
          <w:szCs w:val="21"/>
        </w:rPr>
      </w:pPr>
      <w:r>
        <w:rPr>
          <w:sz w:val="24"/>
          <w:szCs w:val="21"/>
        </w:rPr>
        <w:t>在开展试验前，先将购回的鳜于暂养池中通过基础饲料驯食15d。试验期间，鱼饲养于西南大学水产学院室内曝气水养殖系统（直径100cm，高60cm，水深50cm），采取近饱食投喂方式，每天投喂2次（09:00，17:00），记录采食情况。试验水源为曝气水，每天早、晚（10:00，18:00）各换水50%，水体溶解氧含量≥6mg/L，氨氮含量≤0.1mg/L，水温维持在（28±2）℃。光照周期（L:D）为12/12。</w:t>
      </w:r>
    </w:p>
    <w:p w14:paraId="0B0E64AA">
      <w:pPr>
        <w:spacing w:line="360" w:lineRule="auto"/>
        <w:rPr>
          <w:sz w:val="24"/>
          <w:szCs w:val="21"/>
        </w:rPr>
      </w:pPr>
      <w:r>
        <w:rPr>
          <w:sz w:val="24"/>
          <w:szCs w:val="21"/>
        </w:rPr>
        <w:t>1.3样品采集与制备</w:t>
      </w:r>
    </w:p>
    <w:p w14:paraId="42388594">
      <w:pPr>
        <w:spacing w:line="360" w:lineRule="auto"/>
        <w:ind w:firstLine="480" w:firstLineChars="200"/>
        <w:rPr>
          <w:sz w:val="24"/>
          <w:szCs w:val="21"/>
        </w:rPr>
      </w:pPr>
      <w:r>
        <w:rPr>
          <w:sz w:val="24"/>
          <w:szCs w:val="21"/>
        </w:rPr>
        <w:t>养殖试验结束后，饥饿处理24h，每组每个重复中随机选取6尾用3-氨基苯甲酸乙酯甲基磺酸盐（MS-222）麻醉，称重后用经肝素钠润洗的1.0mL一次性无菌注射器从尾部静脉采血后立即放入1.5mL离心管，以1902×g离心10min，将上清液分装并用液氮速冻，存放于-80℃冰箱，用于血浆生化指标测定。采血后将鱼置于冰上解剖，分离背部肌肉用于肌肉常规营养成分测定，取内脏团和肝脏并称重，取1.0cm³胃和肠道组织样本用于酶活性和表皮生长因子（EGF）蛋白表达量测定；T1、T4、T5组每个重复中随机选取3尾，在无菌条件下取0.5cm肠道和约0.2cm³脑组织于无RNA酶离心管中，用于炎症、发育及摄食相关基因的mRNA相对表达量的测定，以上样品采集后均经液氮速冻后存放于-80℃冰箱待测。取T1、T4、T5组1cm中肠组织样本，使用4%多聚甲醛溶液进行固定，用于制作组织切片。</w:t>
      </w:r>
    </w:p>
    <w:p w14:paraId="0D6964F9">
      <w:pPr>
        <w:spacing w:line="360" w:lineRule="auto"/>
        <w:rPr>
          <w:sz w:val="24"/>
          <w:szCs w:val="21"/>
        </w:rPr>
      </w:pPr>
      <w:r>
        <w:rPr>
          <w:sz w:val="24"/>
          <w:szCs w:val="21"/>
        </w:rPr>
        <w:t>1.4指标测定</w:t>
      </w:r>
    </w:p>
    <w:p w14:paraId="1F534EA5">
      <w:pPr>
        <w:spacing w:line="360" w:lineRule="auto"/>
        <w:rPr>
          <w:sz w:val="24"/>
          <w:szCs w:val="21"/>
        </w:rPr>
      </w:pPr>
      <w:r>
        <w:rPr>
          <w:sz w:val="24"/>
          <w:szCs w:val="21"/>
        </w:rPr>
        <w:t>1.4.1饲料和肌肉常规营养成分</w:t>
      </w:r>
    </w:p>
    <w:p w14:paraId="59FCCD88">
      <w:pPr>
        <w:spacing w:line="360" w:lineRule="auto"/>
        <w:ind w:firstLine="480" w:firstLineChars="200"/>
        <w:rPr>
          <w:sz w:val="24"/>
          <w:szCs w:val="21"/>
        </w:rPr>
      </w:pPr>
      <w:r>
        <w:rPr>
          <w:sz w:val="24"/>
          <w:szCs w:val="21"/>
        </w:rPr>
        <w:t>饲料中牛磺酸的含量参考农业部2483号公告—5—2016《饲料中牛磺酸的测定高效液相色谱法》测定；饲料和肌肉中水分含量采用105℃恒温干燥法（GB/T6435—2014）测定，粗蛋白质（CP）含量采用凯氏定氮法（GB/T6432—2018）测定，粗脂肪（EE）含量采用索氏抽提法（GB/T6433—2025）测定，粗灰分（Ash）含量采用550℃灼烧法（GB/T6438—2007）测定。</w:t>
      </w:r>
    </w:p>
    <w:p w14:paraId="5265C015">
      <w:pPr>
        <w:spacing w:line="360" w:lineRule="auto"/>
        <w:rPr>
          <w:sz w:val="24"/>
          <w:szCs w:val="21"/>
        </w:rPr>
      </w:pPr>
      <w:r>
        <w:rPr>
          <w:sz w:val="24"/>
          <w:szCs w:val="21"/>
        </w:rPr>
        <w:t>1.4.2生长性能和形体指标</w:t>
      </w:r>
    </w:p>
    <w:p w14:paraId="2486D221">
      <w:pPr>
        <w:spacing w:line="360" w:lineRule="auto"/>
        <w:ind w:firstLine="480" w:firstLineChars="200"/>
        <w:rPr>
          <w:sz w:val="24"/>
          <w:szCs w:val="21"/>
        </w:rPr>
      </w:pPr>
      <w:r>
        <w:rPr>
          <w:sz w:val="24"/>
          <w:szCs w:val="21"/>
        </w:rPr>
        <w:t>生长性能和形体指标相关计算公式如下：</w:t>
      </w:r>
    </w:p>
    <w:p w14:paraId="6337F010">
      <w:pPr>
        <w:spacing w:line="360" w:lineRule="auto"/>
        <w:ind w:firstLine="480" w:firstLineChars="200"/>
        <w:rPr>
          <w:sz w:val="24"/>
          <w:szCs w:val="21"/>
        </w:rPr>
      </w:pPr>
      <w:r>
        <w:rPr>
          <w:sz w:val="24"/>
          <w:szCs w:val="21"/>
        </w:rPr>
        <w:t>增重率（WGR，%）=[（终末均重-初始均重）/初始均重]×100</w:t>
      </w:r>
    </w:p>
    <w:p w14:paraId="740178DD">
      <w:pPr>
        <w:spacing w:line="360" w:lineRule="auto"/>
        <w:ind w:firstLine="480" w:firstLineChars="200"/>
        <w:rPr>
          <w:sz w:val="24"/>
          <w:szCs w:val="21"/>
        </w:rPr>
      </w:pPr>
      <w:r>
        <w:rPr>
          <w:sz w:val="24"/>
          <w:szCs w:val="21"/>
        </w:rPr>
        <w:t>特定生长率（SGR，%/d）=[ln（终末均重）-ln（初始均重）]/试验天数×100</w:t>
      </w:r>
    </w:p>
    <w:p w14:paraId="7786BB6E">
      <w:pPr>
        <w:spacing w:line="360" w:lineRule="auto"/>
        <w:ind w:firstLine="480" w:firstLineChars="200"/>
        <w:rPr>
          <w:sz w:val="24"/>
          <w:szCs w:val="21"/>
        </w:rPr>
      </w:pPr>
      <w:r>
        <w:rPr>
          <w:sz w:val="24"/>
          <w:szCs w:val="21"/>
        </w:rPr>
        <w:t>饲料系数（FCR）=饲料消耗量/（终末均重-初始均重）</w:t>
      </w:r>
    </w:p>
    <w:p w14:paraId="06D162A0">
      <w:pPr>
        <w:spacing w:line="360" w:lineRule="auto"/>
        <w:ind w:firstLine="480" w:firstLineChars="200"/>
        <w:rPr>
          <w:sz w:val="24"/>
          <w:szCs w:val="21"/>
        </w:rPr>
      </w:pPr>
      <w:r>
        <w:rPr>
          <w:sz w:val="24"/>
          <w:szCs w:val="21"/>
        </w:rPr>
        <w:t>存活率（SR，%）=（终末尾数/初始尾数）×100</w:t>
      </w:r>
    </w:p>
    <w:p w14:paraId="29C14AC0">
      <w:pPr>
        <w:spacing w:line="360" w:lineRule="auto"/>
        <w:ind w:firstLine="480" w:firstLineChars="200"/>
        <w:rPr>
          <w:sz w:val="24"/>
          <w:szCs w:val="21"/>
        </w:rPr>
      </w:pPr>
      <w:r>
        <w:rPr>
          <w:sz w:val="24"/>
          <w:szCs w:val="21"/>
        </w:rPr>
        <w:t>脏体比（VSI，%）=（内脏团重/鱼体重）×100</w:t>
      </w:r>
    </w:p>
    <w:p w14:paraId="775D6B2F">
      <w:pPr>
        <w:spacing w:line="360" w:lineRule="auto"/>
        <w:ind w:firstLine="480" w:firstLineChars="200"/>
        <w:rPr>
          <w:sz w:val="24"/>
          <w:szCs w:val="21"/>
        </w:rPr>
      </w:pPr>
      <w:r>
        <w:rPr>
          <w:sz w:val="24"/>
          <w:szCs w:val="21"/>
        </w:rPr>
        <w:t>肝体比（HSI，%）=（肝脏重/鱼体重）×100</w:t>
      </w:r>
    </w:p>
    <w:p w14:paraId="55E5D632">
      <w:pPr>
        <w:spacing w:line="360" w:lineRule="auto"/>
        <w:ind w:firstLine="480" w:firstLineChars="200"/>
        <w:rPr>
          <w:sz w:val="24"/>
          <w:szCs w:val="21"/>
        </w:rPr>
      </w:pPr>
      <w:r>
        <w:rPr>
          <w:sz w:val="24"/>
          <w:szCs w:val="21"/>
        </w:rPr>
        <w:t>肠长比（GLR，%）=（肠道长/鱼体长）×100</w:t>
      </w:r>
    </w:p>
    <w:p w14:paraId="6D571A32">
      <w:pPr>
        <w:spacing w:line="360" w:lineRule="auto"/>
        <w:ind w:firstLine="480" w:firstLineChars="200"/>
        <w:rPr>
          <w:sz w:val="24"/>
          <w:szCs w:val="21"/>
        </w:rPr>
      </w:pPr>
      <w:r>
        <w:rPr>
          <w:sz w:val="24"/>
          <w:szCs w:val="21"/>
        </w:rPr>
        <w:t>肥满度（CF，g/cm</w:t>
      </w:r>
      <w:r>
        <w:rPr>
          <w:rFonts w:hint="eastAsia"/>
          <w:sz w:val="24"/>
          <w:szCs w:val="21"/>
          <w:vertAlign w:val="superscript"/>
        </w:rPr>
        <w:t>3</w:t>
      </w:r>
      <w:r>
        <w:rPr>
          <w:sz w:val="24"/>
          <w:szCs w:val="21"/>
        </w:rPr>
        <w:t>）=（鱼体重量/鱼体长</w:t>
      </w:r>
      <w:r>
        <w:rPr>
          <w:rFonts w:hint="eastAsia"/>
          <w:sz w:val="24"/>
          <w:szCs w:val="21"/>
          <w:vertAlign w:val="superscript"/>
        </w:rPr>
        <w:t>3</w:t>
      </w:r>
      <w:r>
        <w:rPr>
          <w:sz w:val="24"/>
          <w:szCs w:val="21"/>
        </w:rPr>
        <w:t>）×100</w:t>
      </w:r>
    </w:p>
    <w:p w14:paraId="4194EECB">
      <w:pPr>
        <w:spacing w:line="360" w:lineRule="auto"/>
        <w:rPr>
          <w:sz w:val="24"/>
          <w:szCs w:val="21"/>
        </w:rPr>
      </w:pPr>
      <w:r>
        <w:rPr>
          <w:sz w:val="24"/>
          <w:szCs w:val="21"/>
        </w:rPr>
        <w:t>1.4.3消化吸收与肠道免疫屏障功能生化指标</w:t>
      </w:r>
    </w:p>
    <w:p w14:paraId="0999BAB1">
      <w:pPr>
        <w:spacing w:line="360" w:lineRule="auto"/>
        <w:ind w:firstLine="480" w:firstLineChars="200"/>
        <w:rPr>
          <w:sz w:val="24"/>
          <w:szCs w:val="21"/>
        </w:rPr>
      </w:pPr>
      <w:r>
        <w:rPr>
          <w:sz w:val="24"/>
          <w:szCs w:val="21"/>
        </w:rPr>
        <w:t>胃组织中胃蛋白酶（pepsin）和氢-钾ATP酶（H⁺-K⁺-ATPase）活性及肠道的胰蛋白酶（trypsin）、脂肪酶（lipase）、淀粉酶（amylase）和钠-钾ATP酶（Na⁺-K⁺-ATPase）活性通过南京建成生物工程研究所试剂盒说明书进行测定。肠道中免疫球蛋白M（immune</w:t>
      </w:r>
      <w:r>
        <w:rPr>
          <w:rFonts w:hint="eastAsia"/>
          <w:sz w:val="24"/>
          <w:szCs w:val="21"/>
        </w:rPr>
        <w:t xml:space="preserve"> </w:t>
      </w:r>
      <w:r>
        <w:rPr>
          <w:sz w:val="24"/>
          <w:szCs w:val="21"/>
        </w:rPr>
        <w:t>globulin</w:t>
      </w:r>
      <w:r>
        <w:rPr>
          <w:rFonts w:hint="eastAsia"/>
          <w:sz w:val="24"/>
          <w:szCs w:val="21"/>
        </w:rPr>
        <w:t xml:space="preserve"> </w:t>
      </w:r>
      <w:r>
        <w:rPr>
          <w:sz w:val="24"/>
          <w:szCs w:val="21"/>
        </w:rPr>
        <w:t>M，IgM）含量由厦门慧嘉生物科技有限公司生产的酶联免疫吸附试验（ELISA）试剂盒测定。肠道中EGF含量以及血浆中内毒素（endotoxin，ET）、D-乳酸（</w:t>
      </w:r>
      <w:r>
        <w:rPr>
          <w:i/>
          <w:iCs/>
          <w:sz w:val="24"/>
          <w:szCs w:val="21"/>
        </w:rPr>
        <w:t>D</w:t>
      </w:r>
      <w:r>
        <w:rPr>
          <w:sz w:val="24"/>
          <w:szCs w:val="21"/>
        </w:rPr>
        <w:t>-lactic</w:t>
      </w:r>
      <w:r>
        <w:rPr>
          <w:rFonts w:hint="eastAsia"/>
          <w:sz w:val="24"/>
          <w:szCs w:val="21"/>
        </w:rPr>
        <w:t xml:space="preserve"> </w:t>
      </w:r>
      <w:r>
        <w:rPr>
          <w:sz w:val="24"/>
          <w:szCs w:val="21"/>
        </w:rPr>
        <w:t>acid，</w:t>
      </w:r>
      <w:r>
        <w:rPr>
          <w:i/>
          <w:iCs/>
          <w:sz w:val="24"/>
          <w:szCs w:val="21"/>
        </w:rPr>
        <w:t>D</w:t>
      </w:r>
      <w:r>
        <w:rPr>
          <w:sz w:val="24"/>
          <w:szCs w:val="21"/>
        </w:rPr>
        <w:t>-LA）含量与二胺氧化酶（diamine</w:t>
      </w:r>
      <w:r>
        <w:rPr>
          <w:rFonts w:hint="eastAsia"/>
          <w:sz w:val="24"/>
          <w:szCs w:val="21"/>
        </w:rPr>
        <w:t xml:space="preserve"> </w:t>
      </w:r>
      <w:r>
        <w:rPr>
          <w:sz w:val="24"/>
          <w:szCs w:val="21"/>
        </w:rPr>
        <w:t>oxidase，DAO）活性均采用双抗体夹心ELISA法，通过上海优选生物科技有限公司的ELISA试剂盒测定。需要说明的是，本次试验仅对T1组和生长性能结果最好的T4组进行血浆中DAO活性与ET、D-LA含量测定。</w:t>
      </w:r>
    </w:p>
    <w:p w14:paraId="699BBCB7">
      <w:pPr>
        <w:spacing w:line="360" w:lineRule="auto"/>
        <w:rPr>
          <w:sz w:val="24"/>
          <w:szCs w:val="21"/>
        </w:rPr>
      </w:pPr>
      <w:r>
        <w:rPr>
          <w:sz w:val="24"/>
          <w:szCs w:val="21"/>
        </w:rPr>
        <w:t>1.4.4肠道组织结构与形态学指标</w:t>
      </w:r>
    </w:p>
    <w:p w14:paraId="16A39CF6">
      <w:pPr>
        <w:spacing w:line="360" w:lineRule="auto"/>
        <w:ind w:firstLine="480" w:firstLineChars="200"/>
        <w:rPr>
          <w:sz w:val="24"/>
          <w:szCs w:val="21"/>
        </w:rPr>
      </w:pPr>
      <w:r>
        <w:rPr>
          <w:sz w:val="24"/>
          <w:szCs w:val="21"/>
        </w:rPr>
        <w:t>肠道组织的苏木精-伊红（H&amp;E）染色切片由武汉赛维尔生物科技有限公司完成，采用ImageJ软件对组织切片图像进行形态计量学分析。随机选择10根结构完整的肠绒毛，测量其长度（测量范围为隐窝基部至绒毛顶端）；在肠壁多个方位对肌层厚度进行10次测量；肠道空腔率通过分别勾勒肠腔与肠道总横截面积计算，定义为肠腔面积占肠道总横截面积（包括肠壁和肠腔）的百分比。</w:t>
      </w:r>
    </w:p>
    <w:p w14:paraId="1DC95319">
      <w:pPr>
        <w:spacing w:line="360" w:lineRule="auto"/>
        <w:rPr>
          <w:sz w:val="24"/>
          <w:szCs w:val="21"/>
        </w:rPr>
      </w:pPr>
      <w:r>
        <w:rPr>
          <w:sz w:val="24"/>
          <w:szCs w:val="21"/>
        </w:rPr>
        <w:t>1.4.5肠道和脑组织总RNA的提取与cDNA合成</w:t>
      </w:r>
    </w:p>
    <w:p w14:paraId="4F85B5BB">
      <w:pPr>
        <w:spacing w:line="360" w:lineRule="auto"/>
        <w:ind w:firstLine="480" w:firstLineChars="200"/>
        <w:rPr>
          <w:sz w:val="24"/>
          <w:szCs w:val="21"/>
        </w:rPr>
      </w:pPr>
      <w:r>
        <w:rPr>
          <w:sz w:val="24"/>
          <w:szCs w:val="21"/>
        </w:rPr>
        <w:t>取0.5</w:t>
      </w:r>
      <w:r>
        <w:rPr>
          <w:rFonts w:hint="eastAsia"/>
          <w:sz w:val="24"/>
          <w:szCs w:val="21"/>
        </w:rPr>
        <w:t xml:space="preserve"> ]</w:t>
      </w:r>
      <w:r>
        <w:rPr>
          <w:sz w:val="24"/>
          <w:szCs w:val="21"/>
        </w:rPr>
        <w:t>g液氮速冻后的T1、T4和T5组的肠道和脑组织样品，参照说明书，总RNA使用RNAiso</w:t>
      </w:r>
      <w:r>
        <w:rPr>
          <w:rFonts w:hint="eastAsia"/>
          <w:sz w:val="24"/>
          <w:szCs w:val="21"/>
        </w:rPr>
        <w:t xml:space="preserve"> </w:t>
      </w:r>
      <w:r>
        <w:rPr>
          <w:sz w:val="24"/>
          <w:szCs w:val="21"/>
        </w:rPr>
        <w:t>Plus试剂（Takara，日本）提取，使用NanoDrop2000超微量分光光度计（Thermo</w:t>
      </w:r>
      <w:r>
        <w:rPr>
          <w:rFonts w:hint="eastAsia"/>
          <w:sz w:val="24"/>
          <w:szCs w:val="21"/>
        </w:rPr>
        <w:t xml:space="preserve"> </w:t>
      </w:r>
      <w:r>
        <w:rPr>
          <w:sz w:val="24"/>
          <w:szCs w:val="21"/>
        </w:rPr>
        <w:t>Fisher，美国）测定总RNA浓度。并通过在1.2%琼脂糖凝胶电泳检测RNA完整性。取1μg总RNA为模板，按照Premix</w:t>
      </w:r>
      <w:r>
        <w:rPr>
          <w:rFonts w:hint="eastAsia"/>
          <w:sz w:val="24"/>
          <w:szCs w:val="21"/>
        </w:rPr>
        <w:t xml:space="preserve"> </w:t>
      </w:r>
      <w:r>
        <w:rPr>
          <w:sz w:val="24"/>
          <w:szCs w:val="21"/>
        </w:rPr>
        <w:t>Script™</w:t>
      </w:r>
      <w:r>
        <w:rPr>
          <w:rFonts w:hint="eastAsia"/>
          <w:sz w:val="24"/>
          <w:szCs w:val="21"/>
        </w:rPr>
        <w:t xml:space="preserve"> </w:t>
      </w:r>
      <w:r>
        <w:rPr>
          <w:sz w:val="24"/>
          <w:szCs w:val="21"/>
        </w:rPr>
        <w:t>RT</w:t>
      </w:r>
      <w:r>
        <w:rPr>
          <w:rFonts w:hint="eastAsia"/>
          <w:sz w:val="24"/>
          <w:szCs w:val="21"/>
        </w:rPr>
        <w:t xml:space="preserve"> </w:t>
      </w:r>
      <w:r>
        <w:rPr>
          <w:sz w:val="24"/>
          <w:szCs w:val="21"/>
        </w:rPr>
        <w:t>Master</w:t>
      </w:r>
      <w:r>
        <w:rPr>
          <w:rFonts w:hint="eastAsia"/>
          <w:sz w:val="24"/>
          <w:szCs w:val="21"/>
        </w:rPr>
        <w:t xml:space="preserve"> </w:t>
      </w:r>
      <w:r>
        <w:rPr>
          <w:sz w:val="24"/>
          <w:szCs w:val="21"/>
        </w:rPr>
        <w:t>Mix反转录试剂盒（Takara公司）说明书将RNA反转录cDNA，于-20℃保存备用。</w:t>
      </w:r>
    </w:p>
    <w:p w14:paraId="5799A3FE">
      <w:pPr>
        <w:spacing w:line="360" w:lineRule="auto"/>
        <w:ind w:firstLine="480" w:firstLineChars="200"/>
        <w:rPr>
          <w:sz w:val="24"/>
          <w:szCs w:val="21"/>
        </w:rPr>
      </w:pPr>
      <w:r>
        <w:rPr>
          <w:sz w:val="24"/>
          <w:szCs w:val="21"/>
        </w:rPr>
        <w:t>实时荧光定量PCR（qRT-PCR）：根据本实验室鳜肠道转录组测序（RNA-Seq）结果，筛选出抗炎基因转化生长因子-β1（</w:t>
      </w:r>
      <w:r>
        <w:rPr>
          <w:i/>
          <w:iCs/>
          <w:sz w:val="24"/>
          <w:szCs w:val="21"/>
        </w:rPr>
        <w:t>TGF-β</w:t>
      </w:r>
      <w:r>
        <w:rPr>
          <w:sz w:val="24"/>
          <w:szCs w:val="21"/>
        </w:rPr>
        <w:t>1），促炎基因白细胞介素-8（</w:t>
      </w:r>
      <w:r>
        <w:rPr>
          <w:i/>
          <w:iCs/>
          <w:sz w:val="24"/>
          <w:szCs w:val="21"/>
        </w:rPr>
        <w:t>IL</w:t>
      </w:r>
      <w:r>
        <w:rPr>
          <w:sz w:val="24"/>
          <w:szCs w:val="21"/>
        </w:rPr>
        <w:t>-8）、白细胞介素-1β（</w:t>
      </w:r>
      <w:r>
        <w:rPr>
          <w:i/>
          <w:iCs/>
          <w:sz w:val="24"/>
          <w:szCs w:val="21"/>
        </w:rPr>
        <w:t>IL</w:t>
      </w:r>
      <w:r>
        <w:rPr>
          <w:sz w:val="24"/>
          <w:szCs w:val="21"/>
        </w:rPr>
        <w:t>-1β）、肿瘤坏死因子-α（</w:t>
      </w:r>
      <w:r>
        <w:rPr>
          <w:i/>
          <w:iCs/>
          <w:sz w:val="24"/>
          <w:szCs w:val="21"/>
        </w:rPr>
        <w:t>TNF-α</w:t>
      </w:r>
      <w:r>
        <w:rPr>
          <w:sz w:val="24"/>
          <w:szCs w:val="21"/>
        </w:rPr>
        <w:t>），发育相关基因EGF、表皮生长因子受体（</w:t>
      </w:r>
      <w:r>
        <w:rPr>
          <w:i/>
          <w:iCs/>
          <w:sz w:val="24"/>
          <w:szCs w:val="21"/>
        </w:rPr>
        <w:t>EGFR</w:t>
      </w:r>
      <w:r>
        <w:rPr>
          <w:sz w:val="24"/>
          <w:szCs w:val="21"/>
        </w:rPr>
        <w:t>），以β-肌动蛋白（</w:t>
      </w:r>
      <w:r>
        <w:rPr>
          <w:i/>
          <w:iCs/>
          <w:sz w:val="24"/>
          <w:szCs w:val="21"/>
        </w:rPr>
        <w:t>β-actin</w:t>
      </w:r>
      <w:r>
        <w:rPr>
          <w:sz w:val="24"/>
          <w:szCs w:val="21"/>
        </w:rPr>
        <w:t>）为内参基因；根据本实验室鳜脑组织转录组的测序结果，筛选出促摄食基因神经肽Y（neuropeptide</w:t>
      </w:r>
      <w:r>
        <w:rPr>
          <w:rFonts w:hint="eastAsia"/>
          <w:sz w:val="24"/>
          <w:szCs w:val="21"/>
        </w:rPr>
        <w:t xml:space="preserve"> </w:t>
      </w:r>
      <w:r>
        <w:rPr>
          <w:sz w:val="24"/>
          <w:szCs w:val="21"/>
        </w:rPr>
        <w:t>Y，</w:t>
      </w:r>
      <w:r>
        <w:rPr>
          <w:rFonts w:hint="eastAsia"/>
          <w:i/>
          <w:iCs/>
          <w:sz w:val="24"/>
          <w:szCs w:val="21"/>
        </w:rPr>
        <w:t>NPY</w:t>
      </w:r>
      <w:r>
        <w:rPr>
          <w:rFonts w:hint="eastAsia"/>
          <w:sz w:val="24"/>
          <w:szCs w:val="21"/>
        </w:rPr>
        <w:t>），抑食基因酪酪肽（peptide tyrosine tyrosine，</w:t>
      </w:r>
      <w:r>
        <w:rPr>
          <w:rFonts w:hint="eastAsia"/>
          <w:i/>
          <w:iCs/>
          <w:sz w:val="24"/>
          <w:szCs w:val="21"/>
        </w:rPr>
        <w:t>PYY</w:t>
      </w:r>
      <w:r>
        <w:rPr>
          <w:rFonts w:hint="eastAsia"/>
          <w:sz w:val="24"/>
          <w:szCs w:val="21"/>
        </w:rPr>
        <w:t>），以核糖体蛋白</w:t>
      </w:r>
      <w:r>
        <w:rPr>
          <w:sz w:val="24"/>
          <w:szCs w:val="21"/>
        </w:rPr>
        <w:t>L13A（</w:t>
      </w:r>
      <w:r>
        <w:rPr>
          <w:i/>
          <w:iCs/>
          <w:sz w:val="24"/>
          <w:szCs w:val="21"/>
        </w:rPr>
        <w:t>RPL</w:t>
      </w:r>
      <w:r>
        <w:rPr>
          <w:iCs/>
          <w:sz w:val="24"/>
          <w:szCs w:val="21"/>
        </w:rPr>
        <w:t>13</w:t>
      </w:r>
      <w:r>
        <w:rPr>
          <w:i/>
          <w:iCs/>
          <w:sz w:val="24"/>
          <w:szCs w:val="21"/>
        </w:rPr>
        <w:t>A</w:t>
      </w:r>
      <w:r>
        <w:rPr>
          <w:sz w:val="24"/>
          <w:szCs w:val="21"/>
        </w:rPr>
        <w:t>）为内参基因。运用Primer</w:t>
      </w:r>
      <w:r>
        <w:rPr>
          <w:rFonts w:hint="eastAsia"/>
          <w:sz w:val="24"/>
          <w:szCs w:val="21"/>
        </w:rPr>
        <w:t xml:space="preserve"> </w:t>
      </w:r>
      <w:r>
        <w:rPr>
          <w:sz w:val="24"/>
          <w:szCs w:val="21"/>
        </w:rPr>
        <w:t>Premier</w:t>
      </w:r>
      <w:r>
        <w:rPr>
          <w:rFonts w:hint="eastAsia"/>
          <w:sz w:val="24"/>
          <w:szCs w:val="21"/>
        </w:rPr>
        <w:t xml:space="preserve"> </w:t>
      </w:r>
      <w:r>
        <w:rPr>
          <w:sz w:val="24"/>
          <w:szCs w:val="21"/>
        </w:rPr>
        <w:t>6.0软件设计特异性引物序列，具体见表2，并送至生工生物工程（上海）股份有限公司合成。使用ABI-7500型荧光定量PCR仪（Applied</w:t>
      </w:r>
      <w:r>
        <w:rPr>
          <w:rFonts w:hint="eastAsia"/>
          <w:sz w:val="24"/>
          <w:szCs w:val="21"/>
        </w:rPr>
        <w:t xml:space="preserve"> </w:t>
      </w:r>
      <w:r>
        <w:rPr>
          <w:sz w:val="24"/>
          <w:szCs w:val="21"/>
        </w:rPr>
        <w:t>Biosystems，ABI，美国）进行qRT-PCR检测。通过梯度稀释法构建标准曲线，获得相应的标准方程及相关系数。反应体系总体积为20μL，其中包含cDNA模板2μL，SYBR</w:t>
      </w:r>
      <w:r>
        <w:rPr>
          <w:rFonts w:hint="eastAsia"/>
          <w:sz w:val="24"/>
          <w:szCs w:val="21"/>
        </w:rPr>
        <w:t xml:space="preserve"> </w:t>
      </w:r>
      <w:r>
        <w:rPr>
          <w:sz w:val="24"/>
          <w:szCs w:val="21"/>
        </w:rPr>
        <w:t>Premix</w:t>
      </w:r>
      <w:r>
        <w:rPr>
          <w:rFonts w:hint="eastAsia"/>
          <w:sz w:val="24"/>
          <w:szCs w:val="21"/>
        </w:rPr>
        <w:t xml:space="preserve"> </w:t>
      </w:r>
      <w:r>
        <w:rPr>
          <w:sz w:val="24"/>
          <w:szCs w:val="21"/>
        </w:rPr>
        <w:t>Ex</w:t>
      </w:r>
      <w:r>
        <w:rPr>
          <w:rFonts w:hint="eastAsia"/>
          <w:sz w:val="24"/>
          <w:szCs w:val="21"/>
        </w:rPr>
        <w:t xml:space="preserve"> </w:t>
      </w:r>
      <w:r>
        <w:rPr>
          <w:sz w:val="24"/>
          <w:szCs w:val="21"/>
        </w:rPr>
        <w:t>Taq™（Takara）10μL，上、下游引物各0.5μL，ddH</w:t>
      </w:r>
      <w:r>
        <w:rPr>
          <w:rFonts w:hint="eastAsia"/>
          <w:sz w:val="24"/>
          <w:szCs w:val="21"/>
          <w:vertAlign w:val="subscript"/>
        </w:rPr>
        <w:t>2</w:t>
      </w:r>
      <w:r>
        <w:rPr>
          <w:sz w:val="24"/>
          <w:szCs w:val="21"/>
        </w:rPr>
        <w:t>O7μL。qRT-PCR反应程序为：95℃预变性60s；95℃变性5s，60℃退火30s，共40个循环；最后0℃反应60s。肠道组织目的基因以</w:t>
      </w:r>
      <w:r>
        <w:rPr>
          <w:i/>
          <w:iCs/>
          <w:sz w:val="24"/>
          <w:szCs w:val="21"/>
        </w:rPr>
        <w:t>β-actin</w:t>
      </w:r>
      <w:r>
        <w:rPr>
          <w:sz w:val="24"/>
          <w:szCs w:val="21"/>
        </w:rPr>
        <w:t>作为内参基因，脑组织目的基因以</w:t>
      </w:r>
      <w:r>
        <w:rPr>
          <w:i/>
          <w:iCs/>
          <w:sz w:val="24"/>
          <w:szCs w:val="21"/>
        </w:rPr>
        <w:t>RPL</w:t>
      </w:r>
      <w:r>
        <w:rPr>
          <w:iCs/>
          <w:sz w:val="24"/>
          <w:szCs w:val="21"/>
        </w:rPr>
        <w:t>13</w:t>
      </w:r>
      <w:r>
        <w:rPr>
          <w:i/>
          <w:iCs/>
          <w:sz w:val="24"/>
          <w:szCs w:val="21"/>
        </w:rPr>
        <w:t>A</w:t>
      </w:r>
      <w:r>
        <w:rPr>
          <w:sz w:val="24"/>
          <w:szCs w:val="21"/>
        </w:rPr>
        <w:t>作为内参基因，采用2</w:t>
      </w:r>
      <w:r>
        <w:rPr>
          <w:sz w:val="24"/>
          <w:szCs w:val="21"/>
          <w:vertAlign w:val="superscript"/>
        </w:rPr>
        <w:t>⁻ΔΔCt</w:t>
      </w:r>
      <w:r>
        <w:rPr>
          <w:sz w:val="24"/>
          <w:szCs w:val="21"/>
        </w:rPr>
        <w:t>法计算目的基因的mRNA相对表达量。</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60B3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3C35380B">
            <w:pPr>
              <w:spacing w:line="360" w:lineRule="auto"/>
              <w:jc w:val="center"/>
              <w:rPr>
                <w:sz w:val="24"/>
                <w:szCs w:val="21"/>
              </w:rPr>
            </w:pPr>
            <w:r>
              <w:rPr>
                <w:sz w:val="24"/>
                <w:szCs w:val="21"/>
              </w:rPr>
              <w:drawing>
                <wp:inline distT="0" distB="0" distL="0" distR="0">
                  <wp:extent cx="5054600" cy="2024380"/>
                  <wp:effectExtent l="0" t="0" r="0" b="0"/>
                  <wp:docPr id="1602850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50834" name="图片 1"/>
                          <pic:cNvPicPr>
                            <a:picLocks noChangeAspect="1"/>
                          </pic:cNvPicPr>
                        </pic:nvPicPr>
                        <pic:blipFill>
                          <a:blip r:embed="rId12"/>
                          <a:stretch>
                            <a:fillRect/>
                          </a:stretch>
                        </pic:blipFill>
                        <pic:spPr>
                          <a:xfrm>
                            <a:off x="0" y="0"/>
                            <a:ext cx="5062111" cy="2027647"/>
                          </a:xfrm>
                          <a:prstGeom prst="rect">
                            <a:avLst/>
                          </a:prstGeom>
                        </pic:spPr>
                      </pic:pic>
                    </a:graphicData>
                  </a:graphic>
                </wp:inline>
              </w:drawing>
            </w:r>
          </w:p>
        </w:tc>
      </w:tr>
      <w:tr w14:paraId="1D346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6ACB882F">
            <w:pPr>
              <w:spacing w:line="360" w:lineRule="auto"/>
              <w:jc w:val="center"/>
              <w:rPr>
                <w:sz w:val="24"/>
                <w:szCs w:val="21"/>
              </w:rPr>
            </w:pPr>
            <w:r>
              <w:rPr>
                <w:sz w:val="24"/>
                <w:szCs w:val="21"/>
              </w:rPr>
              <w:drawing>
                <wp:inline distT="0" distB="0" distL="0" distR="0">
                  <wp:extent cx="5016500" cy="2338705"/>
                  <wp:effectExtent l="0" t="0" r="0" b="4445"/>
                  <wp:docPr id="49965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5543" name="图片 1"/>
                          <pic:cNvPicPr>
                            <a:picLocks noChangeAspect="1"/>
                          </pic:cNvPicPr>
                        </pic:nvPicPr>
                        <pic:blipFill>
                          <a:blip r:embed="rId13"/>
                          <a:stretch>
                            <a:fillRect/>
                          </a:stretch>
                        </pic:blipFill>
                        <pic:spPr>
                          <a:xfrm>
                            <a:off x="0" y="0"/>
                            <a:ext cx="5027030" cy="2344051"/>
                          </a:xfrm>
                          <a:prstGeom prst="rect">
                            <a:avLst/>
                          </a:prstGeom>
                        </pic:spPr>
                      </pic:pic>
                    </a:graphicData>
                  </a:graphic>
                </wp:inline>
              </w:drawing>
            </w:r>
          </w:p>
        </w:tc>
      </w:tr>
    </w:tbl>
    <w:p w14:paraId="7E68716F">
      <w:pPr>
        <w:spacing w:line="360" w:lineRule="auto"/>
        <w:rPr>
          <w:sz w:val="24"/>
          <w:szCs w:val="21"/>
        </w:rPr>
      </w:pPr>
      <w:r>
        <w:rPr>
          <w:rFonts w:hint="eastAsia"/>
          <w:sz w:val="24"/>
          <w:szCs w:val="21"/>
        </w:rPr>
        <w:t>1.5数据处理与统计</w:t>
      </w:r>
    </w:p>
    <w:p w14:paraId="07D4A1F8">
      <w:pPr>
        <w:spacing w:line="360" w:lineRule="auto"/>
        <w:ind w:firstLine="480" w:firstLineChars="200"/>
        <w:rPr>
          <w:sz w:val="24"/>
          <w:szCs w:val="21"/>
        </w:rPr>
      </w:pPr>
      <w:r>
        <w:rPr>
          <w:sz w:val="24"/>
          <w:szCs w:val="21"/>
        </w:rPr>
        <w:t>试验数据采用SPSS22.0软件进行统计分析。首先，利用Shapiro-Wilk检验对数据进行正态性检验，并通过Levene检验进行方差齐性分析。若数据满足方差齐性，采用单因素方差分析进行组间差异比较；若方差不齐，则采用Welch校正方差分析。当方差分析结果差异显著时，进一步进行多重比较；方差齐性数据采用Duncan氏法，方差不齐数据则采用Games-Howell法。</w:t>
      </w:r>
      <w:r>
        <w:rPr>
          <w:i/>
          <w:iCs/>
          <w:sz w:val="24"/>
          <w:szCs w:val="21"/>
        </w:rPr>
        <w:t>P</w:t>
      </w:r>
      <w:r>
        <w:rPr>
          <w:sz w:val="24"/>
          <w:szCs w:val="21"/>
        </w:rPr>
        <w:t>&lt;0.05作为差异显著性判断标准。数据用平均值±标准差（mean±SD）表示。</w:t>
      </w:r>
    </w:p>
    <w:p w14:paraId="03565747">
      <w:pPr>
        <w:spacing w:line="360" w:lineRule="auto"/>
        <w:rPr>
          <w:sz w:val="24"/>
          <w:szCs w:val="21"/>
        </w:rPr>
      </w:pPr>
      <w:r>
        <w:rPr>
          <w:rFonts w:hint="eastAsia"/>
          <w:sz w:val="24"/>
          <w:szCs w:val="21"/>
        </w:rPr>
        <w:t>2结果</w:t>
      </w:r>
    </w:p>
    <w:p w14:paraId="225EEA67">
      <w:pPr>
        <w:spacing w:line="360" w:lineRule="auto"/>
        <w:rPr>
          <w:sz w:val="24"/>
          <w:szCs w:val="21"/>
        </w:rPr>
      </w:pPr>
      <w:r>
        <w:rPr>
          <w:rFonts w:hint="eastAsia"/>
          <w:sz w:val="24"/>
          <w:szCs w:val="21"/>
        </w:rPr>
        <w:t>2.1牛磺酸对生长性能、形体指标及肌肉常规营养成分的影响</w:t>
      </w:r>
    </w:p>
    <w:p w14:paraId="2E534052">
      <w:pPr>
        <w:spacing w:line="360" w:lineRule="auto"/>
        <w:ind w:firstLine="480" w:firstLineChars="200"/>
        <w:rPr>
          <w:sz w:val="24"/>
          <w:szCs w:val="21"/>
        </w:rPr>
      </w:pPr>
      <w:r>
        <w:rPr>
          <w:rFonts w:hint="eastAsia"/>
          <w:sz w:val="24"/>
          <w:szCs w:val="21"/>
        </w:rPr>
        <w:t>由表3可知，各组间初始均重和存活率差异不显著（</w:t>
      </w:r>
      <w:r>
        <w:rPr>
          <w:rFonts w:hint="eastAsia"/>
          <w:i/>
          <w:sz w:val="24"/>
          <w:szCs w:val="21"/>
        </w:rPr>
        <w:t>P</w:t>
      </w:r>
      <w:r>
        <w:rPr>
          <w:rFonts w:hint="eastAsia"/>
          <w:sz w:val="24"/>
          <w:szCs w:val="21"/>
        </w:rPr>
        <w:t>&gt;0.05）。与T1组相比，T4组的终末均重和增重率分别显著增加了13.00%与18.38%（</w:t>
      </w:r>
      <w:r>
        <w:rPr>
          <w:rFonts w:hint="eastAsia"/>
          <w:i/>
          <w:sz w:val="24"/>
          <w:szCs w:val="21"/>
        </w:rPr>
        <w:t>P</w:t>
      </w:r>
      <w:r>
        <w:rPr>
          <w:rFonts w:hint="eastAsia"/>
          <w:sz w:val="24"/>
          <w:szCs w:val="21"/>
        </w:rPr>
        <w:t>&lt;0.05），T5组终末均重、增重率和特定生长率显著降低（</w:t>
      </w:r>
      <w:r>
        <w:rPr>
          <w:rFonts w:hint="eastAsia"/>
          <w:i/>
          <w:sz w:val="24"/>
          <w:szCs w:val="21"/>
        </w:rPr>
        <w:t>P</w:t>
      </w:r>
      <w:r>
        <w:rPr>
          <w:rFonts w:hint="eastAsia"/>
          <w:sz w:val="24"/>
          <w:szCs w:val="21"/>
        </w:rPr>
        <w:t>&lt;0.05）。</w:t>
      </w:r>
    </w:p>
    <w:p w14:paraId="4AD74788">
      <w:pPr>
        <w:spacing w:line="360" w:lineRule="auto"/>
        <w:ind w:firstLine="480" w:firstLineChars="200"/>
        <w:rPr>
          <w:sz w:val="24"/>
          <w:szCs w:val="21"/>
        </w:rPr>
      </w:pPr>
      <w:r>
        <w:rPr>
          <w:rFonts w:hint="eastAsia"/>
          <w:sz w:val="24"/>
          <w:szCs w:val="21"/>
        </w:rPr>
        <w:t>由表4可知，肥满度在T4组达到最高，且显著高于T1组（</w:t>
      </w:r>
      <w:r>
        <w:rPr>
          <w:rFonts w:hint="eastAsia"/>
          <w:i/>
          <w:sz w:val="24"/>
          <w:szCs w:val="21"/>
        </w:rPr>
        <w:t>P</w:t>
      </w:r>
      <w:r>
        <w:rPr>
          <w:rFonts w:hint="eastAsia"/>
          <w:sz w:val="24"/>
          <w:szCs w:val="21"/>
        </w:rPr>
        <w:t>&lt;0.05）；各组间脏体比、肝体比无显著差异（</w:t>
      </w:r>
      <w:r>
        <w:rPr>
          <w:rFonts w:hint="eastAsia"/>
          <w:i/>
          <w:sz w:val="24"/>
          <w:szCs w:val="21"/>
        </w:rPr>
        <w:t>P</w:t>
      </w:r>
      <w:r>
        <w:rPr>
          <w:rFonts w:hint="eastAsia"/>
          <w:sz w:val="24"/>
          <w:szCs w:val="21"/>
        </w:rPr>
        <w:t>&gt;0.05）；与T1组相比，试验组肠长比均显著提高（</w:t>
      </w:r>
      <w:r>
        <w:rPr>
          <w:rFonts w:hint="eastAsia"/>
          <w:i/>
          <w:sz w:val="24"/>
          <w:szCs w:val="21"/>
        </w:rPr>
        <w:t>P</w:t>
      </w:r>
      <w:r>
        <w:rPr>
          <w:rFonts w:hint="eastAsia"/>
          <w:sz w:val="24"/>
          <w:szCs w:val="21"/>
        </w:rPr>
        <w:t>&lt;0.05）。随着饲料中牛磺酸添加量增加，肌肉EE含量呈先升后降的趋势，T4组肌肉EE含量显著高于T1组（</w:t>
      </w:r>
      <w:r>
        <w:rPr>
          <w:rFonts w:hint="eastAsia"/>
          <w:i/>
          <w:sz w:val="24"/>
          <w:szCs w:val="21"/>
        </w:rPr>
        <w:t>P</w:t>
      </w:r>
      <w:r>
        <w:rPr>
          <w:rFonts w:hint="eastAsia"/>
          <w:sz w:val="24"/>
          <w:szCs w:val="21"/>
        </w:rPr>
        <w:t>&lt;0.05）且达到最大值；各组间肌肉水分、C</w:t>
      </w:r>
      <w:r>
        <w:rPr>
          <w:rFonts w:hint="eastAsia"/>
          <w:iCs/>
          <w:sz w:val="24"/>
          <w:szCs w:val="21"/>
        </w:rPr>
        <w:t>P</w:t>
      </w:r>
      <w:r>
        <w:rPr>
          <w:rFonts w:hint="eastAsia"/>
          <w:sz w:val="24"/>
          <w:szCs w:val="21"/>
        </w:rPr>
        <w:t>、Ash含量无显著差异（</w:t>
      </w:r>
      <w:r>
        <w:rPr>
          <w:rFonts w:hint="eastAsia"/>
          <w:i/>
          <w:sz w:val="24"/>
          <w:szCs w:val="21"/>
        </w:rPr>
        <w:t>P</w:t>
      </w:r>
      <w:r>
        <w:rPr>
          <w:rFonts w:hint="eastAsia"/>
          <w:sz w:val="24"/>
          <w:szCs w:val="21"/>
        </w:rPr>
        <w:t>&gt;0.05）。</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0E798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3FDFF9A8">
            <w:pPr>
              <w:spacing w:line="360" w:lineRule="auto"/>
              <w:jc w:val="center"/>
              <w:rPr>
                <w:sz w:val="24"/>
                <w:szCs w:val="21"/>
              </w:rPr>
            </w:pPr>
            <w:r>
              <w:rPr>
                <w:sz w:val="24"/>
                <w:szCs w:val="21"/>
              </w:rPr>
              <w:drawing>
                <wp:inline distT="0" distB="0" distL="0" distR="0">
                  <wp:extent cx="5040630" cy="2070100"/>
                  <wp:effectExtent l="0" t="0" r="7620" b="6350"/>
                  <wp:docPr id="169846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6425" name="图片 1"/>
                          <pic:cNvPicPr>
                            <a:picLocks noChangeAspect="1"/>
                          </pic:cNvPicPr>
                        </pic:nvPicPr>
                        <pic:blipFill>
                          <a:blip r:embed="rId14"/>
                          <a:stretch>
                            <a:fillRect/>
                          </a:stretch>
                        </pic:blipFill>
                        <pic:spPr>
                          <a:xfrm>
                            <a:off x="0" y="0"/>
                            <a:ext cx="5046620" cy="2072480"/>
                          </a:xfrm>
                          <a:prstGeom prst="rect">
                            <a:avLst/>
                          </a:prstGeom>
                        </pic:spPr>
                      </pic:pic>
                    </a:graphicData>
                  </a:graphic>
                </wp:inline>
              </w:drawing>
            </w:r>
          </w:p>
        </w:tc>
      </w:tr>
      <w:tr w14:paraId="0A46F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672179B5">
            <w:pPr>
              <w:spacing w:line="360" w:lineRule="auto"/>
              <w:jc w:val="center"/>
              <w:rPr>
                <w:sz w:val="24"/>
                <w:szCs w:val="21"/>
              </w:rPr>
            </w:pPr>
            <w:r>
              <w:rPr>
                <w:sz w:val="24"/>
                <w:szCs w:val="21"/>
              </w:rPr>
              <w:drawing>
                <wp:inline distT="0" distB="0" distL="0" distR="0">
                  <wp:extent cx="5029200" cy="2251710"/>
                  <wp:effectExtent l="0" t="0" r="0" b="0"/>
                  <wp:docPr id="204875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133" name="图片 1"/>
                          <pic:cNvPicPr>
                            <a:picLocks noChangeAspect="1"/>
                          </pic:cNvPicPr>
                        </pic:nvPicPr>
                        <pic:blipFill>
                          <a:blip r:embed="rId15"/>
                          <a:stretch>
                            <a:fillRect/>
                          </a:stretch>
                        </pic:blipFill>
                        <pic:spPr>
                          <a:xfrm>
                            <a:off x="0" y="0"/>
                            <a:ext cx="5038194" cy="2255844"/>
                          </a:xfrm>
                          <a:prstGeom prst="rect">
                            <a:avLst/>
                          </a:prstGeom>
                        </pic:spPr>
                      </pic:pic>
                    </a:graphicData>
                  </a:graphic>
                </wp:inline>
              </w:drawing>
            </w:r>
          </w:p>
        </w:tc>
      </w:tr>
    </w:tbl>
    <w:p w14:paraId="5E8F6B23">
      <w:pPr>
        <w:spacing w:line="360" w:lineRule="auto"/>
        <w:rPr>
          <w:sz w:val="24"/>
          <w:szCs w:val="21"/>
        </w:rPr>
      </w:pPr>
      <w:r>
        <w:rPr>
          <w:rFonts w:hint="eastAsia"/>
          <w:sz w:val="24"/>
          <w:szCs w:val="21"/>
        </w:rPr>
        <w:t>2.2牛磺酸对消化吸收与肠道免疫屏障功能生化指标的影响</w:t>
      </w:r>
    </w:p>
    <w:p w14:paraId="3F0E190C">
      <w:pPr>
        <w:spacing w:line="360" w:lineRule="auto"/>
        <w:ind w:firstLine="480" w:firstLineChars="200"/>
        <w:rPr>
          <w:sz w:val="24"/>
          <w:szCs w:val="21"/>
        </w:rPr>
      </w:pPr>
      <w:r>
        <w:rPr>
          <w:rFonts w:hint="eastAsia"/>
          <w:sz w:val="24"/>
          <w:szCs w:val="21"/>
        </w:rPr>
        <w:t>由表5可知，各组间鳜胃组织中胃蛋白酶和氢-钾ATP酶活性均无显著差异（</w:t>
      </w:r>
      <w:r>
        <w:rPr>
          <w:rFonts w:hint="eastAsia"/>
          <w:i/>
          <w:sz w:val="24"/>
          <w:szCs w:val="21"/>
        </w:rPr>
        <w:t>P</w:t>
      </w:r>
      <w:r>
        <w:rPr>
          <w:rFonts w:hint="eastAsia"/>
          <w:sz w:val="24"/>
          <w:szCs w:val="21"/>
        </w:rPr>
        <w:t>&gt;0.05）。随着饲料中牛磺酸添加量增加，肠道中胰蛋白酶、脂肪酶和钠-钾ATP酶活性及IgM含量均呈先升后降趋势，且在T4组达到最高，较T1组分别显著提高了16.67%、76.97%、32.25%和39.87%（</w:t>
      </w:r>
      <w:r>
        <w:rPr>
          <w:rFonts w:hint="eastAsia"/>
          <w:i/>
          <w:sz w:val="24"/>
          <w:szCs w:val="21"/>
        </w:rPr>
        <w:t>P</w:t>
      </w:r>
      <w:r>
        <w:rPr>
          <w:rFonts w:hint="eastAsia"/>
          <w:sz w:val="24"/>
          <w:szCs w:val="21"/>
        </w:rPr>
        <w:t>&lt;0.05）；随着饲料中牛磺酸添加量增加，肠道中淀粉酶活性与EGF蛋白表达量均呈上升趋势，在T5组达到最大值，且显著高于T1组（</w:t>
      </w:r>
      <w:r>
        <w:rPr>
          <w:rFonts w:hint="eastAsia"/>
          <w:i/>
          <w:sz w:val="24"/>
          <w:szCs w:val="21"/>
        </w:rPr>
        <w:t>P</w:t>
      </w:r>
      <w:r>
        <w:rPr>
          <w:rFonts w:hint="eastAsia"/>
          <w:sz w:val="24"/>
          <w:szCs w:val="21"/>
        </w:rPr>
        <w:t>&lt;0.05）。与T1组相比，T4组血浆中DAO活性与ET、</w:t>
      </w:r>
      <w:r>
        <w:rPr>
          <w:rFonts w:hint="eastAsia"/>
          <w:i/>
          <w:iCs/>
          <w:sz w:val="24"/>
          <w:szCs w:val="21"/>
        </w:rPr>
        <w:t>D</w:t>
      </w:r>
      <w:r>
        <w:rPr>
          <w:rFonts w:hint="eastAsia"/>
          <w:sz w:val="24"/>
          <w:szCs w:val="21"/>
        </w:rPr>
        <w:t>-LA含量分别显著降低了39.91%、38.29%和22.66%（</w:t>
      </w:r>
      <w:r>
        <w:rPr>
          <w:rFonts w:hint="eastAsia"/>
          <w:i/>
          <w:sz w:val="24"/>
          <w:szCs w:val="21"/>
        </w:rPr>
        <w:t>P</w:t>
      </w:r>
      <w:r>
        <w:rPr>
          <w:rFonts w:hint="eastAsia"/>
          <w:sz w:val="24"/>
          <w:szCs w:val="21"/>
        </w:rPr>
        <w:t>&lt;0.05）。</w:t>
      </w:r>
    </w:p>
    <w:tbl>
      <w:tblPr>
        <w:tblStyle w:val="19"/>
        <w:tblW w:w="8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6"/>
      </w:tblGrid>
      <w:tr w14:paraId="2D74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8" w:hRule="atLeast"/>
        </w:trPr>
        <w:tc>
          <w:tcPr>
            <w:tcW w:w="8386" w:type="dxa"/>
          </w:tcPr>
          <w:p w14:paraId="1AE3BA74">
            <w:pPr>
              <w:spacing w:line="360" w:lineRule="auto"/>
              <w:jc w:val="center"/>
              <w:rPr>
                <w:sz w:val="24"/>
                <w:szCs w:val="21"/>
              </w:rPr>
            </w:pPr>
            <w:r>
              <w:rPr>
                <w:sz w:val="24"/>
                <w:szCs w:val="21"/>
              </w:rPr>
              <w:drawing>
                <wp:inline distT="0" distB="0" distL="0" distR="0">
                  <wp:extent cx="5073650" cy="2988310"/>
                  <wp:effectExtent l="0" t="0" r="0" b="2540"/>
                  <wp:docPr id="1334439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9737" name="图片 1"/>
                          <pic:cNvPicPr>
                            <a:picLocks noChangeAspect="1"/>
                          </pic:cNvPicPr>
                        </pic:nvPicPr>
                        <pic:blipFill>
                          <a:blip r:embed="rId16"/>
                          <a:stretch>
                            <a:fillRect/>
                          </a:stretch>
                        </pic:blipFill>
                        <pic:spPr>
                          <a:xfrm>
                            <a:off x="0" y="0"/>
                            <a:ext cx="5083462" cy="2994629"/>
                          </a:xfrm>
                          <a:prstGeom prst="rect">
                            <a:avLst/>
                          </a:prstGeom>
                        </pic:spPr>
                      </pic:pic>
                    </a:graphicData>
                  </a:graphic>
                </wp:inline>
              </w:drawing>
            </w:r>
          </w:p>
        </w:tc>
      </w:tr>
      <w:tr w14:paraId="54ED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1" w:hRule="atLeast"/>
        </w:trPr>
        <w:tc>
          <w:tcPr>
            <w:tcW w:w="8386" w:type="dxa"/>
          </w:tcPr>
          <w:p w14:paraId="6F240C02">
            <w:pPr>
              <w:spacing w:line="360" w:lineRule="auto"/>
              <w:jc w:val="center"/>
              <w:rPr>
                <w:sz w:val="24"/>
                <w:szCs w:val="21"/>
              </w:rPr>
            </w:pPr>
            <w:r>
              <w:rPr>
                <w:sz w:val="24"/>
                <w:szCs w:val="21"/>
              </w:rPr>
              <w:drawing>
                <wp:inline distT="0" distB="0" distL="0" distR="0">
                  <wp:extent cx="4959350" cy="2026285"/>
                  <wp:effectExtent l="0" t="0" r="0" b="0"/>
                  <wp:docPr id="1307749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9903" name="图片 1"/>
                          <pic:cNvPicPr>
                            <a:picLocks noChangeAspect="1"/>
                          </pic:cNvPicPr>
                        </pic:nvPicPr>
                        <pic:blipFill>
                          <a:blip r:embed="rId17"/>
                          <a:stretch>
                            <a:fillRect/>
                          </a:stretch>
                        </pic:blipFill>
                        <pic:spPr>
                          <a:xfrm>
                            <a:off x="0" y="0"/>
                            <a:ext cx="4979902" cy="2034889"/>
                          </a:xfrm>
                          <a:prstGeom prst="rect">
                            <a:avLst/>
                          </a:prstGeom>
                        </pic:spPr>
                      </pic:pic>
                    </a:graphicData>
                  </a:graphic>
                </wp:inline>
              </w:drawing>
            </w:r>
          </w:p>
        </w:tc>
      </w:tr>
    </w:tbl>
    <w:p w14:paraId="3A293ECC">
      <w:pPr>
        <w:spacing w:line="360" w:lineRule="auto"/>
        <w:rPr>
          <w:sz w:val="24"/>
          <w:szCs w:val="21"/>
        </w:rPr>
      </w:pPr>
      <w:r>
        <w:rPr>
          <w:rFonts w:hint="eastAsia"/>
          <w:sz w:val="24"/>
          <w:szCs w:val="21"/>
        </w:rPr>
        <w:t>2.3牛磺酸对肠道黏膜结构的影响</w:t>
      </w:r>
    </w:p>
    <w:p w14:paraId="5B5AD9E5">
      <w:pPr>
        <w:spacing w:line="360" w:lineRule="auto"/>
        <w:ind w:firstLine="480" w:firstLineChars="200"/>
        <w:rPr>
          <w:sz w:val="24"/>
          <w:szCs w:val="21"/>
        </w:rPr>
      </w:pPr>
      <w:r>
        <w:rPr>
          <w:rFonts w:hint="eastAsia"/>
          <w:sz w:val="24"/>
          <w:szCs w:val="21"/>
        </w:rPr>
        <w:t>由表6可知，随着饲料中牛磺酸添加量增加，肠道肌层厚度、绒毛数和绒毛长度均呈现先升后降的趋势，在T4组达到最高。与T1组相比，T4组绒毛长度显著提高了18.42%（</w:t>
      </w:r>
      <w:r>
        <w:rPr>
          <w:rFonts w:hint="eastAsia"/>
          <w:i/>
          <w:sz w:val="24"/>
          <w:szCs w:val="21"/>
        </w:rPr>
        <w:t>P</w:t>
      </w:r>
      <w:r>
        <w:rPr>
          <w:rFonts w:hint="eastAsia"/>
          <w:sz w:val="24"/>
          <w:szCs w:val="21"/>
        </w:rPr>
        <w:t>&lt;0.05），空腔率显著降低了33.94%（</w:t>
      </w:r>
      <w:r>
        <w:rPr>
          <w:rFonts w:hint="eastAsia"/>
          <w:i/>
          <w:sz w:val="24"/>
          <w:szCs w:val="21"/>
        </w:rPr>
        <w:t>P</w:t>
      </w:r>
      <w:r>
        <w:rPr>
          <w:rFonts w:hint="eastAsia"/>
          <w:sz w:val="24"/>
          <w:szCs w:val="21"/>
        </w:rPr>
        <w:t>&lt;0.05）。如图1所示，通过肠道组织切片观察发现，试验组肠道壁厚度、绒毛高度和隐窝深度较T1组均有所增加。</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58923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47661276">
            <w:pPr>
              <w:spacing w:line="360" w:lineRule="auto"/>
              <w:jc w:val="center"/>
              <w:rPr>
                <w:sz w:val="24"/>
                <w:szCs w:val="21"/>
              </w:rPr>
            </w:pPr>
            <w:r>
              <w:rPr>
                <w:sz w:val="24"/>
                <w:szCs w:val="21"/>
              </w:rPr>
              <w:drawing>
                <wp:inline distT="0" distB="0" distL="0" distR="0">
                  <wp:extent cx="5022850" cy="1222375"/>
                  <wp:effectExtent l="0" t="0" r="6350" b="0"/>
                  <wp:docPr id="654717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7645" name="图片 1"/>
                          <pic:cNvPicPr>
                            <a:picLocks noChangeAspect="1"/>
                          </pic:cNvPicPr>
                        </pic:nvPicPr>
                        <pic:blipFill>
                          <a:blip r:embed="rId18"/>
                          <a:stretch>
                            <a:fillRect/>
                          </a:stretch>
                        </pic:blipFill>
                        <pic:spPr>
                          <a:xfrm>
                            <a:off x="0" y="0"/>
                            <a:ext cx="5040462" cy="1227042"/>
                          </a:xfrm>
                          <a:prstGeom prst="rect">
                            <a:avLst/>
                          </a:prstGeom>
                        </pic:spPr>
                      </pic:pic>
                    </a:graphicData>
                  </a:graphic>
                </wp:inline>
              </w:drawing>
            </w:r>
            <w:r>
              <w:rPr>
                <w:sz w:val="24"/>
                <w:szCs w:val="21"/>
              </w:rPr>
              <w:drawing>
                <wp:inline distT="0" distB="0" distL="0" distR="0">
                  <wp:extent cx="3252470" cy="1802765"/>
                  <wp:effectExtent l="0" t="0" r="5080" b="6985"/>
                  <wp:docPr id="862602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02312" name="图片 1"/>
                          <pic:cNvPicPr>
                            <a:picLocks noChangeAspect="1"/>
                          </pic:cNvPicPr>
                        </pic:nvPicPr>
                        <pic:blipFill>
                          <a:blip r:embed="rId19"/>
                          <a:stretch>
                            <a:fillRect/>
                          </a:stretch>
                        </pic:blipFill>
                        <pic:spPr>
                          <a:xfrm>
                            <a:off x="0" y="0"/>
                            <a:ext cx="3266672" cy="1810740"/>
                          </a:xfrm>
                          <a:prstGeom prst="rect">
                            <a:avLst/>
                          </a:prstGeom>
                        </pic:spPr>
                      </pic:pic>
                    </a:graphicData>
                  </a:graphic>
                </wp:inline>
              </w:drawing>
            </w:r>
          </w:p>
          <w:p w14:paraId="31DF24C4">
            <w:pPr>
              <w:spacing w:line="360" w:lineRule="auto"/>
              <w:rPr>
                <w:sz w:val="24"/>
                <w:szCs w:val="21"/>
              </w:rPr>
            </w:pPr>
            <w:r>
              <w:rPr>
                <w:sz w:val="24"/>
                <w:szCs w:val="21"/>
              </w:rPr>
              <w:t>2.4牛磺酸对肠道炎症、发育相关基因及脑组织食欲相关基因表达的影响</w:t>
            </w:r>
          </w:p>
        </w:tc>
      </w:tr>
    </w:tbl>
    <w:p w14:paraId="7D1E8DA2">
      <w:pPr>
        <w:spacing w:line="360" w:lineRule="auto"/>
        <w:ind w:firstLine="480" w:firstLineChars="200"/>
        <w:rPr>
          <w:sz w:val="24"/>
          <w:szCs w:val="21"/>
        </w:rPr>
      </w:pPr>
      <w:r>
        <w:rPr>
          <w:sz w:val="24"/>
          <w:szCs w:val="21"/>
        </w:rPr>
        <w:t>如图2所示，与T1组相比，T4、T5组肠道抗炎基因</w:t>
      </w:r>
      <w:r>
        <w:rPr>
          <w:i/>
          <w:iCs/>
          <w:sz w:val="24"/>
          <w:szCs w:val="21"/>
        </w:rPr>
        <w:t>TGF-β</w:t>
      </w:r>
      <w:r>
        <w:rPr>
          <w:iCs/>
          <w:sz w:val="24"/>
          <w:szCs w:val="21"/>
        </w:rPr>
        <w:t>1</w:t>
      </w:r>
      <w:r>
        <w:rPr>
          <w:sz w:val="24"/>
          <w:szCs w:val="21"/>
        </w:rPr>
        <w:t>的mRNA相对表达量显著上调（</w:t>
      </w:r>
      <w:r>
        <w:rPr>
          <w:i/>
          <w:sz w:val="24"/>
          <w:szCs w:val="21"/>
        </w:rPr>
        <w:t>P</w:t>
      </w:r>
      <w:r>
        <w:rPr>
          <w:sz w:val="24"/>
          <w:szCs w:val="21"/>
        </w:rPr>
        <w:t>&lt;0.05），T4、T5组肠道促炎基因</w:t>
      </w:r>
      <w:r>
        <w:rPr>
          <w:i/>
          <w:iCs/>
          <w:sz w:val="24"/>
          <w:szCs w:val="21"/>
        </w:rPr>
        <w:t>IL-</w:t>
      </w:r>
      <w:r>
        <w:rPr>
          <w:sz w:val="24"/>
          <w:szCs w:val="21"/>
        </w:rPr>
        <w:t>8和</w:t>
      </w:r>
      <w:r>
        <w:rPr>
          <w:i/>
          <w:iCs/>
          <w:sz w:val="24"/>
          <w:szCs w:val="21"/>
        </w:rPr>
        <w:t>IL-</w:t>
      </w:r>
      <w:r>
        <w:rPr>
          <w:iCs/>
          <w:sz w:val="24"/>
          <w:szCs w:val="21"/>
        </w:rPr>
        <w:t>1</w:t>
      </w:r>
      <w:r>
        <w:rPr>
          <w:i/>
          <w:iCs/>
          <w:sz w:val="24"/>
          <w:szCs w:val="21"/>
        </w:rPr>
        <w:t>β</w:t>
      </w:r>
      <w:r>
        <w:rPr>
          <w:sz w:val="24"/>
          <w:szCs w:val="21"/>
        </w:rPr>
        <w:t>的mRNA相对表达量均显著下调（</w:t>
      </w:r>
      <w:r>
        <w:rPr>
          <w:i/>
          <w:sz w:val="24"/>
          <w:szCs w:val="21"/>
        </w:rPr>
        <w:t>P</w:t>
      </w:r>
      <w:r>
        <w:rPr>
          <w:sz w:val="24"/>
          <w:szCs w:val="21"/>
        </w:rPr>
        <w:t>&lt;0.05），T4组肠道促炎基因</w:t>
      </w:r>
      <w:r>
        <w:rPr>
          <w:i/>
          <w:iCs/>
          <w:sz w:val="24"/>
          <w:szCs w:val="21"/>
        </w:rPr>
        <w:t>TNF-α</w:t>
      </w:r>
      <w:r>
        <w:rPr>
          <w:sz w:val="24"/>
          <w:szCs w:val="21"/>
        </w:rPr>
        <w:t>的mRNA相对表达量显著下调（</w:t>
      </w:r>
      <w:r>
        <w:rPr>
          <w:i/>
          <w:sz w:val="24"/>
          <w:szCs w:val="21"/>
        </w:rPr>
        <w:t>P</w:t>
      </w:r>
      <w:r>
        <w:rPr>
          <w:sz w:val="24"/>
          <w:szCs w:val="21"/>
        </w:rPr>
        <w:t>&lt;0.05）。</w:t>
      </w:r>
    </w:p>
    <w:p w14:paraId="182C8201">
      <w:pPr>
        <w:spacing w:line="360" w:lineRule="auto"/>
        <w:ind w:firstLine="480" w:firstLineChars="200"/>
        <w:rPr>
          <w:sz w:val="24"/>
          <w:szCs w:val="21"/>
        </w:rPr>
      </w:pPr>
      <w:r>
        <w:rPr>
          <w:rFonts w:hint="eastAsia"/>
          <w:sz w:val="24"/>
          <w:szCs w:val="21"/>
        </w:rPr>
        <w:t>如图3所示，与T1组相比，T4、T5组的肠道发育相关基因</w:t>
      </w:r>
      <w:r>
        <w:rPr>
          <w:rFonts w:hint="eastAsia"/>
          <w:i/>
          <w:iCs/>
          <w:sz w:val="24"/>
          <w:szCs w:val="21"/>
        </w:rPr>
        <w:t>EGF</w:t>
      </w:r>
      <w:r>
        <w:rPr>
          <w:rFonts w:hint="eastAsia"/>
          <w:sz w:val="24"/>
          <w:szCs w:val="21"/>
        </w:rPr>
        <w:t>、</w:t>
      </w:r>
      <w:r>
        <w:rPr>
          <w:rFonts w:hint="eastAsia"/>
          <w:i/>
          <w:iCs/>
          <w:sz w:val="24"/>
          <w:szCs w:val="21"/>
        </w:rPr>
        <w:t>EGFR</w:t>
      </w:r>
      <w:r>
        <w:rPr>
          <w:rFonts w:hint="eastAsia"/>
          <w:sz w:val="24"/>
          <w:szCs w:val="21"/>
        </w:rPr>
        <w:t>的mRNA相对表达量均显著上调（</w:t>
      </w:r>
      <w:r>
        <w:rPr>
          <w:rFonts w:hint="eastAsia"/>
          <w:i/>
          <w:sz w:val="24"/>
          <w:szCs w:val="21"/>
        </w:rPr>
        <w:t>P</w:t>
      </w:r>
      <w:r>
        <w:rPr>
          <w:rFonts w:hint="eastAsia"/>
          <w:sz w:val="24"/>
          <w:szCs w:val="21"/>
        </w:rPr>
        <w:t>&lt;0.05）。</w:t>
      </w:r>
    </w:p>
    <w:p w14:paraId="7E842777">
      <w:pPr>
        <w:spacing w:line="360" w:lineRule="auto"/>
        <w:ind w:firstLine="480" w:firstLineChars="200"/>
        <w:rPr>
          <w:sz w:val="24"/>
          <w:szCs w:val="21"/>
        </w:rPr>
      </w:pPr>
      <w:r>
        <w:rPr>
          <w:rFonts w:hint="eastAsia"/>
          <w:sz w:val="24"/>
          <w:szCs w:val="21"/>
        </w:rPr>
        <w:t>如图4所示，与T1组相比，T4组脑组织促摄食基因NPY的mRNA相对表达量显著上调（</w:t>
      </w:r>
      <w:r>
        <w:rPr>
          <w:rFonts w:hint="eastAsia"/>
          <w:i/>
          <w:sz w:val="24"/>
          <w:szCs w:val="21"/>
        </w:rPr>
        <w:t>P</w:t>
      </w:r>
      <w:r>
        <w:rPr>
          <w:rFonts w:hint="eastAsia"/>
          <w:sz w:val="24"/>
          <w:szCs w:val="21"/>
        </w:rPr>
        <w:t>&lt;0.05），抑食基因</w:t>
      </w:r>
      <w:r>
        <w:rPr>
          <w:rFonts w:hint="eastAsia"/>
          <w:i/>
          <w:iCs/>
          <w:sz w:val="24"/>
          <w:szCs w:val="21"/>
        </w:rPr>
        <w:t>PYY</w:t>
      </w:r>
      <w:r>
        <w:rPr>
          <w:rFonts w:hint="eastAsia"/>
          <w:sz w:val="24"/>
          <w:szCs w:val="21"/>
        </w:rPr>
        <w:t>的mRNA相对表达量显著下调（</w:t>
      </w:r>
      <w:r>
        <w:rPr>
          <w:rFonts w:hint="eastAsia"/>
          <w:i/>
          <w:sz w:val="24"/>
          <w:szCs w:val="21"/>
        </w:rPr>
        <w:t>P</w:t>
      </w:r>
      <w:r>
        <w:rPr>
          <w:rFonts w:hint="eastAsia"/>
          <w:sz w:val="24"/>
          <w:szCs w:val="21"/>
        </w:rPr>
        <w:t>&lt;0.05）。</w:t>
      </w:r>
    </w:p>
    <w:p w14:paraId="2EEB0EE5">
      <w:pPr>
        <w:spacing w:line="360" w:lineRule="auto"/>
        <w:ind w:firstLine="480" w:firstLineChars="200"/>
        <w:jc w:val="center"/>
        <w:rPr>
          <w:sz w:val="24"/>
          <w:szCs w:val="21"/>
        </w:rPr>
      </w:pPr>
      <w:r>
        <w:rPr>
          <w:sz w:val="24"/>
          <w:szCs w:val="21"/>
        </w:rPr>
        <w:drawing>
          <wp:inline distT="0" distB="0" distL="0" distR="0">
            <wp:extent cx="3092450" cy="5847080"/>
            <wp:effectExtent l="0" t="0" r="0" b="1270"/>
            <wp:docPr id="318916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6247" name="图片 1"/>
                    <pic:cNvPicPr>
                      <a:picLocks noChangeAspect="1"/>
                    </pic:cNvPicPr>
                  </pic:nvPicPr>
                  <pic:blipFill>
                    <a:blip r:embed="rId20"/>
                    <a:stretch>
                      <a:fillRect/>
                    </a:stretch>
                  </pic:blipFill>
                  <pic:spPr>
                    <a:xfrm>
                      <a:off x="0" y="0"/>
                      <a:ext cx="3098444" cy="5858710"/>
                    </a:xfrm>
                    <a:prstGeom prst="rect">
                      <a:avLst/>
                    </a:prstGeom>
                  </pic:spPr>
                </pic:pic>
              </a:graphicData>
            </a:graphic>
          </wp:inline>
        </w:drawing>
      </w:r>
    </w:p>
    <w:p w14:paraId="0AA73B0A">
      <w:pPr>
        <w:spacing w:line="360" w:lineRule="auto"/>
        <w:ind w:firstLine="420" w:firstLineChars="200"/>
        <w:jc w:val="center"/>
        <w:rPr>
          <w:sz w:val="24"/>
          <w:szCs w:val="21"/>
        </w:rPr>
      </w:pPr>
      <w:r>
        <w:drawing>
          <wp:inline distT="0" distB="0" distL="0" distR="0">
            <wp:extent cx="2586990" cy="2095500"/>
            <wp:effectExtent l="0" t="0" r="3810" b="0"/>
            <wp:docPr id="1084697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97705" name="图片 1"/>
                    <pic:cNvPicPr>
                      <a:picLocks noChangeAspect="1"/>
                    </pic:cNvPicPr>
                  </pic:nvPicPr>
                  <pic:blipFill>
                    <a:blip r:embed="rId21"/>
                    <a:stretch>
                      <a:fillRect/>
                    </a:stretch>
                  </pic:blipFill>
                  <pic:spPr>
                    <a:xfrm>
                      <a:off x="0" y="0"/>
                      <a:ext cx="2604072" cy="2109217"/>
                    </a:xfrm>
                    <a:prstGeom prst="rect">
                      <a:avLst/>
                    </a:prstGeom>
                  </pic:spPr>
                </pic:pic>
              </a:graphicData>
            </a:graphic>
          </wp:inline>
        </w:drawing>
      </w:r>
    </w:p>
    <w:p w14:paraId="4C90ABEC">
      <w:pPr>
        <w:spacing w:line="360" w:lineRule="auto"/>
        <w:rPr>
          <w:sz w:val="24"/>
          <w:szCs w:val="21"/>
        </w:rPr>
      </w:pPr>
      <w:r>
        <w:rPr>
          <w:sz w:val="24"/>
          <w:szCs w:val="21"/>
        </w:rPr>
        <w:t>2.5基于关键指标回归分析与牛磺酸最适含量</w:t>
      </w:r>
    </w:p>
    <w:p w14:paraId="65206CE6">
      <w:pPr>
        <w:spacing w:line="360" w:lineRule="auto"/>
        <w:ind w:firstLine="480" w:firstLineChars="200"/>
        <w:rPr>
          <w:sz w:val="24"/>
          <w:szCs w:val="21"/>
        </w:rPr>
      </w:pPr>
      <w:r>
        <w:rPr>
          <w:sz w:val="24"/>
          <w:szCs w:val="21"/>
        </w:rPr>
        <w:t>以饲料中牛磺酸实测含量为自变量，以增重率、饲料系数及肠道IgM含量为因变量进行二次回归分析得出，鳜饲料中牛磺酸适宜含量为11.45~16.65g/kg，不宜高于16.94g/kg（图5）。</w:t>
      </w:r>
    </w:p>
    <w:p w14:paraId="27FEB089">
      <w:pPr>
        <w:spacing w:line="360" w:lineRule="auto"/>
        <w:ind w:firstLine="480" w:firstLineChars="200"/>
        <w:jc w:val="center"/>
        <w:rPr>
          <w:sz w:val="24"/>
          <w:szCs w:val="21"/>
        </w:rPr>
      </w:pPr>
      <w:r>
        <w:rPr>
          <w:sz w:val="24"/>
          <w:szCs w:val="21"/>
        </w:rPr>
        <w:drawing>
          <wp:inline distT="0" distB="0" distL="0" distR="0">
            <wp:extent cx="4330700" cy="2825750"/>
            <wp:effectExtent l="0" t="0" r="0" b="0"/>
            <wp:docPr id="1357921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804" name="图片 1"/>
                    <pic:cNvPicPr>
                      <a:picLocks noChangeAspect="1"/>
                    </pic:cNvPicPr>
                  </pic:nvPicPr>
                  <pic:blipFill>
                    <a:blip r:embed="rId22"/>
                    <a:stretch>
                      <a:fillRect/>
                    </a:stretch>
                  </pic:blipFill>
                  <pic:spPr>
                    <a:xfrm>
                      <a:off x="0" y="0"/>
                      <a:ext cx="4338414" cy="2830468"/>
                    </a:xfrm>
                    <a:prstGeom prst="rect">
                      <a:avLst/>
                    </a:prstGeom>
                  </pic:spPr>
                </pic:pic>
              </a:graphicData>
            </a:graphic>
          </wp:inline>
        </w:drawing>
      </w:r>
    </w:p>
    <w:p w14:paraId="70C750B5">
      <w:pPr>
        <w:spacing w:line="360" w:lineRule="auto"/>
        <w:rPr>
          <w:sz w:val="24"/>
          <w:szCs w:val="21"/>
        </w:rPr>
      </w:pPr>
      <w:r>
        <w:rPr>
          <w:rFonts w:hint="eastAsia"/>
          <w:sz w:val="24"/>
          <w:szCs w:val="21"/>
        </w:rPr>
        <w:t>3讨论</w:t>
      </w:r>
    </w:p>
    <w:p w14:paraId="297020E6">
      <w:pPr>
        <w:spacing w:line="360" w:lineRule="auto"/>
        <w:rPr>
          <w:sz w:val="24"/>
          <w:szCs w:val="21"/>
        </w:rPr>
      </w:pPr>
      <w:r>
        <w:rPr>
          <w:rFonts w:hint="eastAsia"/>
          <w:sz w:val="24"/>
          <w:szCs w:val="21"/>
        </w:rPr>
        <w:t>3.1牛磺酸提高鳜生长性能</w:t>
      </w:r>
    </w:p>
    <w:p w14:paraId="4DAAD5D2">
      <w:pPr>
        <w:spacing w:line="360" w:lineRule="auto"/>
        <w:ind w:firstLine="480" w:firstLineChars="200"/>
        <w:rPr>
          <w:sz w:val="24"/>
          <w:szCs w:val="21"/>
        </w:rPr>
      </w:pPr>
      <w:r>
        <w:rPr>
          <w:sz w:val="24"/>
          <w:szCs w:val="21"/>
        </w:rPr>
        <w:t>本试验结果表明</w:t>
      </w:r>
      <w:r>
        <w:rPr>
          <w:rFonts w:hint="eastAsia"/>
          <w:sz w:val="24"/>
          <w:szCs w:val="21"/>
        </w:rPr>
        <w:t>,</w:t>
      </w:r>
      <w:r>
        <w:rPr>
          <w:sz w:val="24"/>
          <w:szCs w:val="21"/>
        </w:rPr>
        <w:t>牛磺酸可显著提高鳜生长性能。牛磺酸作为一种含硫氨基酸</w:t>
      </w:r>
      <w:r>
        <w:rPr>
          <w:rFonts w:hint="eastAsia"/>
          <w:sz w:val="24"/>
          <w:szCs w:val="21"/>
        </w:rPr>
        <w:t>,</w:t>
      </w:r>
      <w:r>
        <w:rPr>
          <w:sz w:val="24"/>
          <w:szCs w:val="21"/>
        </w:rPr>
        <w:t>可以电离成胺基和磺酸基，鱼类的嗅觉感觉细胞对离子化氨基酸特别敏感</w:t>
      </w:r>
      <w:r>
        <w:rPr>
          <w:sz w:val="24"/>
          <w:szCs w:val="21"/>
          <w:vertAlign w:val="superscript"/>
        </w:rPr>
        <w:t>[13]</w:t>
      </w:r>
      <w:r>
        <w:rPr>
          <w:sz w:val="24"/>
          <w:szCs w:val="21"/>
        </w:rPr>
        <w:t>。研究发现</w:t>
      </w:r>
      <w:r>
        <w:rPr>
          <w:rFonts w:hint="eastAsia"/>
          <w:sz w:val="24"/>
          <w:szCs w:val="21"/>
        </w:rPr>
        <w:t>，</w:t>
      </w:r>
      <w:r>
        <w:rPr>
          <w:sz w:val="24"/>
          <w:szCs w:val="21"/>
        </w:rPr>
        <w:t>牛磺酸能够显著影响大黄鱼嗅觉受体基因表达</w:t>
      </w:r>
      <w:r>
        <w:rPr>
          <w:sz w:val="24"/>
          <w:szCs w:val="21"/>
          <w:vertAlign w:val="superscript"/>
        </w:rPr>
        <w:t>[14]</w:t>
      </w:r>
      <w:r>
        <w:rPr>
          <w:rFonts w:hint="eastAsia"/>
          <w:sz w:val="24"/>
          <w:szCs w:val="21"/>
        </w:rPr>
        <w:t>，</w:t>
      </w:r>
      <w:r>
        <w:rPr>
          <w:sz w:val="24"/>
          <w:szCs w:val="21"/>
        </w:rPr>
        <w:t>显著增强鱼类对饲料的感知和摄食行为，本试验中</w:t>
      </w:r>
      <w:r>
        <w:rPr>
          <w:rFonts w:hint="eastAsia"/>
          <w:sz w:val="24"/>
          <w:szCs w:val="21"/>
        </w:rPr>
        <w:t>，</w:t>
      </w:r>
      <w:r>
        <w:rPr>
          <w:sz w:val="24"/>
          <w:szCs w:val="21"/>
        </w:rPr>
        <w:t>鳜的尾均摄食量随饲料中牛磺酸添加量增加而不断提高的结果也支持这一结论</w:t>
      </w:r>
      <w:r>
        <w:rPr>
          <w:rFonts w:hint="eastAsia"/>
          <w:sz w:val="24"/>
          <w:szCs w:val="21"/>
        </w:rPr>
        <w:t>，</w:t>
      </w:r>
      <w:r>
        <w:rPr>
          <w:sz w:val="24"/>
          <w:szCs w:val="21"/>
        </w:rPr>
        <w:t>表明牛磺酸是一种有效的诱食剂。其诱食效果在尼罗罗非鱼</w:t>
      </w:r>
      <w:r>
        <w:rPr>
          <w:rFonts w:hint="eastAsia"/>
          <w:sz w:val="24"/>
          <w:szCs w:val="21"/>
        </w:rPr>
        <w:t>（</w:t>
      </w:r>
      <w:r>
        <w:rPr>
          <w:i/>
          <w:iCs/>
          <w:sz w:val="24"/>
          <w:szCs w:val="21"/>
        </w:rPr>
        <w:t>Oreochromis niloticus</w:t>
      </w:r>
      <w:r>
        <w:rPr>
          <w:rFonts w:hint="eastAsia"/>
          <w:sz w:val="24"/>
          <w:szCs w:val="21"/>
        </w:rPr>
        <w:t>）</w:t>
      </w:r>
      <w:r>
        <w:rPr>
          <w:sz w:val="24"/>
          <w:szCs w:val="21"/>
          <w:vertAlign w:val="superscript"/>
        </w:rPr>
        <w:t>[15]</w:t>
      </w:r>
      <w:r>
        <w:rPr>
          <w:sz w:val="24"/>
          <w:szCs w:val="21"/>
        </w:rPr>
        <w:t>与黄鳝</w:t>
      </w:r>
      <w:r>
        <w:rPr>
          <w:rFonts w:hint="eastAsia"/>
          <w:sz w:val="24"/>
          <w:szCs w:val="21"/>
        </w:rPr>
        <w:t>（</w:t>
      </w:r>
      <w:r>
        <w:rPr>
          <w:i/>
          <w:iCs/>
          <w:sz w:val="24"/>
          <w:szCs w:val="21"/>
        </w:rPr>
        <w:t>Monopterus albus</w:t>
      </w:r>
      <w:r>
        <w:rPr>
          <w:rFonts w:hint="eastAsia"/>
          <w:sz w:val="24"/>
          <w:szCs w:val="21"/>
        </w:rPr>
        <w:t>）</w:t>
      </w:r>
      <w:r>
        <w:rPr>
          <w:sz w:val="24"/>
          <w:szCs w:val="21"/>
          <w:vertAlign w:val="superscript"/>
        </w:rPr>
        <w:t>[16]</w:t>
      </w:r>
      <w:r>
        <w:rPr>
          <w:sz w:val="24"/>
          <w:szCs w:val="21"/>
        </w:rPr>
        <w:t>上也得到证实。</w:t>
      </w:r>
    </w:p>
    <w:p w14:paraId="2DD9B0F5">
      <w:pPr>
        <w:spacing w:line="360" w:lineRule="auto"/>
        <w:ind w:firstLine="480" w:firstLineChars="200"/>
        <w:rPr>
          <w:sz w:val="24"/>
          <w:szCs w:val="21"/>
        </w:rPr>
      </w:pPr>
      <w:r>
        <w:rPr>
          <w:sz w:val="24"/>
          <w:szCs w:val="21"/>
        </w:rPr>
        <w:t>NPY是一种中枢性促摄食神经递质，在已有研究中</w:t>
      </w:r>
      <w:r>
        <w:rPr>
          <w:sz w:val="24"/>
          <w:szCs w:val="21"/>
          <w:vertAlign w:val="superscript"/>
        </w:rPr>
        <w:t>[17]</w:t>
      </w:r>
      <w:r>
        <w:rPr>
          <w:sz w:val="24"/>
          <w:szCs w:val="21"/>
        </w:rPr>
        <w:t>被证实能够有效刺激鱼类摄食，从而直接或间接促进生长。而PYY则通过介导下丘脑弓状核及丝裂原活化蛋白激酶（MAPK）信号通路作用于食欲中枢，增加机体饱腹感</w:t>
      </w:r>
      <w:r>
        <w:rPr>
          <w:sz w:val="24"/>
          <w:szCs w:val="21"/>
          <w:vertAlign w:val="superscript"/>
        </w:rPr>
        <w:t>[18]</w:t>
      </w:r>
      <w:r>
        <w:rPr>
          <w:sz w:val="24"/>
          <w:szCs w:val="21"/>
        </w:rPr>
        <w:t>，从而抑制摄食。本试验中，与T1组相比，当饲料中牛磺酸含量为13.27g/kg（T4组）时，脑组织</w:t>
      </w:r>
      <w:r>
        <w:rPr>
          <w:i/>
          <w:iCs/>
          <w:sz w:val="24"/>
          <w:szCs w:val="21"/>
        </w:rPr>
        <w:t>NPY</w:t>
      </w:r>
      <w:r>
        <w:rPr>
          <w:sz w:val="24"/>
          <w:szCs w:val="21"/>
        </w:rPr>
        <w:t>的mRNA相对表达量显著上调，同时</w:t>
      </w:r>
      <w:r>
        <w:rPr>
          <w:i/>
          <w:iCs/>
          <w:sz w:val="24"/>
          <w:szCs w:val="21"/>
        </w:rPr>
        <w:t>PYY</w:t>
      </w:r>
      <w:r>
        <w:rPr>
          <w:sz w:val="24"/>
          <w:szCs w:val="21"/>
        </w:rPr>
        <w:t>的mRNA相对表达量显著下调。这表明，牛磺酸可能通</w:t>
      </w:r>
      <w:r>
        <w:rPr>
          <w:rFonts w:hint="eastAsia"/>
          <w:sz w:val="24"/>
          <w:szCs w:val="21"/>
        </w:rPr>
        <w:t>过同时上调</w:t>
      </w:r>
      <w:r>
        <w:rPr>
          <w:rFonts w:hint="eastAsia"/>
          <w:i/>
          <w:iCs/>
          <w:sz w:val="24"/>
          <w:szCs w:val="21"/>
        </w:rPr>
        <w:t>NPY</w:t>
      </w:r>
      <w:r>
        <w:rPr>
          <w:rFonts w:hint="eastAsia"/>
          <w:sz w:val="24"/>
          <w:szCs w:val="21"/>
        </w:rPr>
        <w:t>和下调</w:t>
      </w:r>
      <w:r>
        <w:rPr>
          <w:rFonts w:hint="eastAsia"/>
          <w:i/>
          <w:iCs/>
          <w:sz w:val="24"/>
          <w:szCs w:val="21"/>
        </w:rPr>
        <w:t>PYY</w:t>
      </w:r>
      <w:r>
        <w:rPr>
          <w:rFonts w:hint="eastAsia"/>
          <w:sz w:val="24"/>
          <w:szCs w:val="21"/>
        </w:rPr>
        <w:t>的表达，双重调控摄食中枢的信号平衡。这种对食欲调控网络的协同作用，从分子层面解释了牛磺酸对鳜具有显著诱食效果的作用机制。</w:t>
      </w:r>
    </w:p>
    <w:p w14:paraId="13666E6A">
      <w:pPr>
        <w:spacing w:line="360" w:lineRule="auto"/>
        <w:ind w:firstLine="480" w:firstLineChars="200"/>
        <w:rPr>
          <w:sz w:val="24"/>
          <w:szCs w:val="21"/>
        </w:rPr>
      </w:pPr>
      <w:r>
        <w:rPr>
          <w:rFonts w:hint="eastAsia"/>
          <w:sz w:val="24"/>
          <w:szCs w:val="21"/>
        </w:rPr>
        <w:t>本试验进一步揭示了牛磺酸的效应具有显著的物种特异性。相较于黄颡鱼等对人工饲料接受度较高的杂食性鱼类，鳜作为典型肉食性鱼类，其诱食剂的研发更具挑战。已有的物种对比研究表明，牛磺酸的最适添加量因鱼而异</w:t>
      </w:r>
      <w:r>
        <w:rPr>
          <w:rFonts w:hint="eastAsia"/>
          <w:sz w:val="24"/>
          <w:szCs w:val="21"/>
          <w:vertAlign w:val="superscript"/>
        </w:rPr>
        <w:t>[12]</w:t>
      </w:r>
      <w:r>
        <w:rPr>
          <w:rFonts w:hint="eastAsia"/>
          <w:sz w:val="24"/>
          <w:szCs w:val="21"/>
        </w:rPr>
        <w:t>。例如，对于大菱鲆（</w:t>
      </w:r>
      <w:r>
        <w:rPr>
          <w:rFonts w:hint="eastAsia"/>
          <w:i/>
          <w:iCs/>
          <w:sz w:val="24"/>
          <w:szCs w:val="21"/>
        </w:rPr>
        <w:t>Scophthalmus maximus</w:t>
      </w:r>
      <w:r>
        <w:rPr>
          <w:rFonts w:hint="eastAsia"/>
          <w:sz w:val="24"/>
          <w:szCs w:val="21"/>
        </w:rPr>
        <w:t>），研究表明其半精制饲料中最适添加量为0.5%～1.0%（即5～10g/kg），且能有效促进摄食和生长</w:t>
      </w:r>
      <w:r>
        <w:rPr>
          <w:rFonts w:hint="eastAsia"/>
          <w:sz w:val="24"/>
          <w:szCs w:val="21"/>
          <w:vertAlign w:val="superscript"/>
        </w:rPr>
        <w:t>[19]</w:t>
      </w:r>
      <w:r>
        <w:rPr>
          <w:rFonts w:hint="eastAsia"/>
          <w:sz w:val="24"/>
          <w:szCs w:val="21"/>
        </w:rPr>
        <w:t>；在植物蛋白质饲料中补充牛磺酸也能缓解其生长抑制</w:t>
      </w:r>
      <w:r>
        <w:rPr>
          <w:rFonts w:hint="eastAsia"/>
          <w:sz w:val="24"/>
          <w:szCs w:val="21"/>
          <w:vertAlign w:val="superscript"/>
        </w:rPr>
        <w:t>[20]</w:t>
      </w:r>
      <w:r>
        <w:rPr>
          <w:rFonts w:hint="eastAsia"/>
          <w:sz w:val="24"/>
          <w:szCs w:val="21"/>
        </w:rPr>
        <w:t>。相比之下，本试验发现鳜获得最佳生长性能的T4组，牛磺酸含量为13.27g/kg（约1.33%），且首次在鳜上从摄食相关基因（</w:t>
      </w:r>
      <w:r>
        <w:rPr>
          <w:rFonts w:hint="eastAsia"/>
          <w:i/>
          <w:iCs/>
          <w:sz w:val="24"/>
          <w:szCs w:val="21"/>
        </w:rPr>
        <w:t>NPY</w:t>
      </w:r>
      <w:r>
        <w:rPr>
          <w:rFonts w:hint="eastAsia"/>
          <w:sz w:val="24"/>
          <w:szCs w:val="21"/>
        </w:rPr>
        <w:t>、</w:t>
      </w:r>
      <w:r>
        <w:rPr>
          <w:rFonts w:hint="eastAsia"/>
          <w:i/>
          <w:iCs/>
          <w:sz w:val="24"/>
          <w:szCs w:val="21"/>
        </w:rPr>
        <w:t>PYY</w:t>
      </w:r>
      <w:r>
        <w:rPr>
          <w:rFonts w:hint="eastAsia"/>
          <w:sz w:val="24"/>
          <w:szCs w:val="21"/>
        </w:rPr>
        <w:t>）协同表达角度阐明其诱食机制。这凸显了针对特定养殖品种开展精准营养研究的必要性。</w:t>
      </w:r>
    </w:p>
    <w:p w14:paraId="5BA68FF4">
      <w:pPr>
        <w:spacing w:line="360" w:lineRule="auto"/>
        <w:rPr>
          <w:sz w:val="24"/>
          <w:szCs w:val="21"/>
        </w:rPr>
      </w:pPr>
      <w:r>
        <w:rPr>
          <w:rFonts w:hint="eastAsia"/>
          <w:sz w:val="24"/>
          <w:szCs w:val="21"/>
        </w:rPr>
        <w:t>3.2牛磺酸通过促进鳜肠道发育提高消化吸收功能</w:t>
      </w:r>
    </w:p>
    <w:p w14:paraId="1FED6D5E">
      <w:pPr>
        <w:spacing w:line="360" w:lineRule="auto"/>
        <w:ind w:firstLine="480" w:firstLineChars="200"/>
        <w:rPr>
          <w:sz w:val="24"/>
          <w:szCs w:val="21"/>
        </w:rPr>
      </w:pPr>
      <w:r>
        <w:rPr>
          <w:rFonts w:hint="eastAsia"/>
          <w:sz w:val="24"/>
          <w:szCs w:val="21"/>
        </w:rPr>
        <w:t>牛磺酸能够改善鱼类肠道形态结构，有助于扩大吸收面积</w:t>
      </w:r>
      <w:r>
        <w:rPr>
          <w:rFonts w:hint="eastAsia"/>
          <w:sz w:val="24"/>
          <w:szCs w:val="21"/>
          <w:vertAlign w:val="superscript"/>
        </w:rPr>
        <w:t>[21]</w:t>
      </w:r>
      <w:r>
        <w:rPr>
          <w:rFonts w:hint="eastAsia"/>
          <w:sz w:val="24"/>
          <w:szCs w:val="21"/>
        </w:rPr>
        <w:t>，从而提高消化吸收效率。本试验中，饲料中添加牛磺酸血浆中DAO活性与ET、</w:t>
      </w:r>
      <w:r>
        <w:rPr>
          <w:rFonts w:hint="eastAsia"/>
          <w:i/>
          <w:iCs/>
          <w:sz w:val="24"/>
          <w:szCs w:val="21"/>
        </w:rPr>
        <w:t>D</w:t>
      </w:r>
      <w:r>
        <w:rPr>
          <w:rFonts w:hint="eastAsia"/>
          <w:sz w:val="24"/>
          <w:szCs w:val="21"/>
        </w:rPr>
        <w:t>-LA含量显著下降，表明牛磺酸能够显著改善鳜肠道屏障功能，减少肠道通透性，防止有害物质进入血液循环。同时，本试验中，与T1组相比，T4组肠道绒毛长度显著提高，空腔率显著降低，这有助于增加肠道的吸收面积，提高营养物质的吸收效率。本试验中，与T1组相比，T4、T5组的肠道发育相关基因</w:t>
      </w:r>
      <w:r>
        <w:rPr>
          <w:rFonts w:hint="eastAsia"/>
          <w:i/>
          <w:iCs/>
          <w:sz w:val="24"/>
          <w:szCs w:val="21"/>
        </w:rPr>
        <w:t>EGF</w:t>
      </w:r>
      <w:r>
        <w:rPr>
          <w:rFonts w:hint="eastAsia"/>
          <w:sz w:val="24"/>
          <w:szCs w:val="21"/>
        </w:rPr>
        <w:t>、</w:t>
      </w:r>
      <w:r>
        <w:rPr>
          <w:rFonts w:hint="eastAsia"/>
          <w:i/>
          <w:iCs/>
          <w:sz w:val="24"/>
          <w:szCs w:val="21"/>
        </w:rPr>
        <w:t>EGFR</w:t>
      </w:r>
      <w:r>
        <w:rPr>
          <w:rFonts w:hint="eastAsia"/>
          <w:sz w:val="24"/>
          <w:szCs w:val="21"/>
        </w:rPr>
        <w:t>的mRNA相对表达量均显著上调，进一步说明牛磺酸可促进肠道发育，这与Wen等</w:t>
      </w:r>
      <w:r>
        <w:rPr>
          <w:rFonts w:hint="eastAsia"/>
          <w:sz w:val="24"/>
          <w:szCs w:val="21"/>
          <w:vertAlign w:val="superscript"/>
        </w:rPr>
        <w:t>[22]</w:t>
      </w:r>
      <w:r>
        <w:rPr>
          <w:rFonts w:hint="eastAsia"/>
          <w:sz w:val="24"/>
          <w:szCs w:val="21"/>
        </w:rPr>
        <w:t>研究结果一致。EGF信号传导是细胞生物学中的一个关键过程，涉及到细胞增殖、分化和存活。EGF与EGFR可共同形成表皮生长因子受体二聚体，介导EGFR磷酸化与蛋白激酶亚单位的聚集，引起Ras蛋白激活，促进细胞增殖</w:t>
      </w:r>
      <w:r>
        <w:rPr>
          <w:rFonts w:hint="eastAsia"/>
          <w:sz w:val="24"/>
          <w:szCs w:val="21"/>
          <w:vertAlign w:val="superscript"/>
        </w:rPr>
        <w:t>[23]</w:t>
      </w:r>
      <w:r>
        <w:rPr>
          <w:rFonts w:hint="eastAsia"/>
          <w:sz w:val="24"/>
          <w:szCs w:val="21"/>
        </w:rPr>
        <w:t>，从而增强肠道的修复和再生能力。</w:t>
      </w:r>
    </w:p>
    <w:p w14:paraId="72896DF0">
      <w:pPr>
        <w:spacing w:line="360" w:lineRule="auto"/>
        <w:ind w:firstLine="480" w:firstLineChars="200"/>
        <w:rPr>
          <w:sz w:val="24"/>
          <w:szCs w:val="21"/>
        </w:rPr>
      </w:pPr>
      <w:r>
        <w:rPr>
          <w:rFonts w:hint="eastAsia"/>
          <w:sz w:val="24"/>
          <w:szCs w:val="21"/>
        </w:rPr>
        <w:t>牛磺酸还能提高肠道内多种消化酶的活性。它可以与胆汁酸结合形成消化道中脂类消化吸收所必需的牛磺胆酸，增加各种脂肪酶的活性，降低脂肪的表面张力，促进脂肪水解的进行</w:t>
      </w:r>
      <w:r>
        <w:rPr>
          <w:rFonts w:hint="eastAsia"/>
          <w:sz w:val="24"/>
          <w:szCs w:val="21"/>
          <w:vertAlign w:val="superscript"/>
        </w:rPr>
        <w:t>[24]</w:t>
      </w:r>
      <w:r>
        <w:rPr>
          <w:rFonts w:hint="eastAsia"/>
          <w:sz w:val="24"/>
          <w:szCs w:val="21"/>
        </w:rPr>
        <w:t>。本试验中，各组间鳜胃组织中胃蛋白酶和氢-钾ATP酶活性均无显著差异，可见牛磺酸对鳜胃消化能力无显著影响；而肠道中胰蛋白酶、脂肪酶和钠-钾ATP酶活性随着饲料中牛磺酸添加量增加显著提高。钠-钾ATP酶是维持细胞膜电位和驱动多种营养物质主动转运的关键酶</w:t>
      </w:r>
      <w:r>
        <w:rPr>
          <w:rFonts w:hint="eastAsia"/>
          <w:sz w:val="24"/>
          <w:szCs w:val="21"/>
          <w:vertAlign w:val="superscript"/>
        </w:rPr>
        <w:t>[25]</w:t>
      </w:r>
      <w:r>
        <w:rPr>
          <w:rFonts w:hint="eastAsia"/>
          <w:sz w:val="24"/>
          <w:szCs w:val="21"/>
        </w:rPr>
        <w:t>。牛磺酸通</w:t>
      </w:r>
      <w:r>
        <w:rPr>
          <w:sz w:val="24"/>
          <w:szCs w:val="21"/>
        </w:rPr>
        <w:t>过提高钠-钾ATP酶的活性，可进一步增强了肠道上皮细胞的吸收能力。综上所述，牛磺酸可显著改善鳜肠道消化吸收功能，但其对鳜胃消化能力的影响仍需进一步探讨。</w:t>
      </w:r>
    </w:p>
    <w:p w14:paraId="1D4B7245">
      <w:pPr>
        <w:spacing w:line="360" w:lineRule="auto"/>
        <w:ind w:firstLine="480" w:firstLineChars="200"/>
        <w:rPr>
          <w:sz w:val="24"/>
          <w:szCs w:val="21"/>
        </w:rPr>
      </w:pPr>
      <w:r>
        <w:rPr>
          <w:sz w:val="24"/>
          <w:szCs w:val="21"/>
        </w:rPr>
        <w:t>牛磺酸改善肠道健康的功能在不同鱼类中均有报道，但其作用的侧重点和机制可能有所不同。例如，在大菱鲆的研究中，在豆粕替代鱼粉的饲料中添加1%牛磺酸，可显著改善其肠皱襞高度和绒毛高度</w:t>
      </w:r>
      <w:r>
        <w:rPr>
          <w:sz w:val="24"/>
          <w:szCs w:val="21"/>
          <w:vertAlign w:val="superscript"/>
        </w:rPr>
        <w:t>[26]</w:t>
      </w:r>
      <w:r>
        <w:rPr>
          <w:sz w:val="24"/>
          <w:szCs w:val="21"/>
        </w:rPr>
        <w:t>。本试验不仅证实了牛磺酸对鳜肠道形态和屏障功能的全面改善，还通过上调</w:t>
      </w:r>
      <w:r>
        <w:rPr>
          <w:i/>
          <w:iCs/>
          <w:sz w:val="24"/>
          <w:szCs w:val="21"/>
        </w:rPr>
        <w:t>EGF</w:t>
      </w:r>
      <w:r>
        <w:rPr>
          <w:sz w:val="24"/>
          <w:szCs w:val="21"/>
        </w:rPr>
        <w:t>和</w:t>
      </w:r>
      <w:r>
        <w:rPr>
          <w:i/>
          <w:iCs/>
          <w:sz w:val="24"/>
          <w:szCs w:val="21"/>
        </w:rPr>
        <w:t>EGFR</w:t>
      </w:r>
      <w:r>
        <w:rPr>
          <w:sz w:val="24"/>
          <w:szCs w:val="21"/>
        </w:rPr>
        <w:t>表达，从促进细胞增殖的信号通路层面揭示了其促进肠道发育的潜在分子机制。</w:t>
      </w:r>
    </w:p>
    <w:p w14:paraId="726B9210">
      <w:pPr>
        <w:spacing w:line="360" w:lineRule="auto"/>
        <w:rPr>
          <w:sz w:val="24"/>
          <w:szCs w:val="21"/>
        </w:rPr>
      </w:pPr>
      <w:r>
        <w:rPr>
          <w:sz w:val="24"/>
          <w:szCs w:val="21"/>
        </w:rPr>
        <w:t>3.3牛磺酸调节鳜肠道免疫功能</w:t>
      </w:r>
    </w:p>
    <w:p w14:paraId="23CF5737">
      <w:pPr>
        <w:spacing w:line="360" w:lineRule="auto"/>
        <w:ind w:firstLine="480" w:firstLineChars="200"/>
        <w:rPr>
          <w:sz w:val="24"/>
          <w:szCs w:val="21"/>
        </w:rPr>
      </w:pPr>
      <w:r>
        <w:rPr>
          <w:sz w:val="24"/>
          <w:szCs w:val="21"/>
        </w:rPr>
        <w:t>已有研究表明，牛磺酸对鱼类免疫功能的调节作用可能涉及多个通路机制。Yan等</w:t>
      </w:r>
      <w:r>
        <w:rPr>
          <w:sz w:val="24"/>
          <w:szCs w:val="21"/>
          <w:vertAlign w:val="superscript"/>
        </w:rPr>
        <w:t>[27]</w:t>
      </w:r>
      <w:r>
        <w:rPr>
          <w:sz w:val="24"/>
          <w:szCs w:val="21"/>
        </w:rPr>
        <w:t>等发现，牛磺酸可显著提高草鱼幼鱼（</w:t>
      </w:r>
      <w:r>
        <w:rPr>
          <w:i/>
          <w:iCs/>
          <w:sz w:val="24"/>
          <w:szCs w:val="21"/>
        </w:rPr>
        <w:t>Ctenopharyngodon idella</w:t>
      </w:r>
      <w:r>
        <w:rPr>
          <w:sz w:val="24"/>
          <w:szCs w:val="21"/>
        </w:rPr>
        <w:t>）肠道的IgM含量，牛磺酸过量添加其含量仍高于对照组，与本试验结果一致。此外，体外试验证据显示，牛磺酸可通过抑制核因子-κB（nuclear factor kappa B，NF-κB）信号通路活化来调节促炎因子的生物活性</w:t>
      </w:r>
      <w:r>
        <w:rPr>
          <w:sz w:val="24"/>
          <w:szCs w:val="21"/>
          <w:vertAlign w:val="superscript"/>
        </w:rPr>
        <w:t>[28]</w:t>
      </w:r>
      <w:r>
        <w:rPr>
          <w:sz w:val="24"/>
          <w:szCs w:val="21"/>
        </w:rPr>
        <w:t>，提示该通路可能参与介导牛磺酸对IgM表达的调控作用。本试验中观察到试验组抗炎基因</w:t>
      </w:r>
      <w:r>
        <w:rPr>
          <w:i/>
          <w:iCs/>
          <w:sz w:val="24"/>
          <w:szCs w:val="21"/>
        </w:rPr>
        <w:t>TGF-β</w:t>
      </w:r>
      <w:r>
        <w:rPr>
          <w:iCs/>
          <w:sz w:val="24"/>
          <w:szCs w:val="21"/>
        </w:rPr>
        <w:t>1</w:t>
      </w:r>
      <w:r>
        <w:rPr>
          <w:sz w:val="24"/>
          <w:szCs w:val="21"/>
        </w:rPr>
        <w:t>的mRNA相对表达量显著上调，同时促炎基因</w:t>
      </w:r>
      <w:r>
        <w:rPr>
          <w:i/>
          <w:iCs/>
          <w:sz w:val="24"/>
          <w:szCs w:val="21"/>
        </w:rPr>
        <w:t>IL-</w:t>
      </w:r>
      <w:r>
        <w:rPr>
          <w:iCs/>
          <w:sz w:val="24"/>
          <w:szCs w:val="21"/>
        </w:rPr>
        <w:t>8</w:t>
      </w:r>
      <w:r>
        <w:rPr>
          <w:sz w:val="24"/>
          <w:szCs w:val="21"/>
        </w:rPr>
        <w:t>、</w:t>
      </w:r>
      <w:r>
        <w:rPr>
          <w:i/>
          <w:iCs/>
          <w:sz w:val="24"/>
          <w:szCs w:val="21"/>
        </w:rPr>
        <w:t>IL-</w:t>
      </w:r>
      <w:r>
        <w:rPr>
          <w:iCs/>
          <w:sz w:val="24"/>
          <w:szCs w:val="21"/>
        </w:rPr>
        <w:t>1</w:t>
      </w:r>
      <w:r>
        <w:rPr>
          <w:i/>
          <w:iCs/>
          <w:sz w:val="24"/>
          <w:szCs w:val="21"/>
        </w:rPr>
        <w:t>β</w:t>
      </w:r>
      <w:r>
        <w:rPr>
          <w:sz w:val="24"/>
          <w:szCs w:val="21"/>
        </w:rPr>
        <w:t>和</w:t>
      </w:r>
      <w:r>
        <w:rPr>
          <w:i/>
          <w:iCs/>
          <w:sz w:val="24"/>
          <w:szCs w:val="21"/>
        </w:rPr>
        <w:t>TNF-α</w:t>
      </w:r>
      <w:r>
        <w:rPr>
          <w:sz w:val="24"/>
          <w:szCs w:val="21"/>
        </w:rPr>
        <w:t>等的mRNA相对表达量显著下调，这与黄鳝（</w:t>
      </w:r>
      <w:r>
        <w:rPr>
          <w:i/>
          <w:iCs/>
          <w:sz w:val="24"/>
          <w:szCs w:val="21"/>
        </w:rPr>
        <w:t>Monopterus albus</w:t>
      </w:r>
      <w:r>
        <w:rPr>
          <w:sz w:val="24"/>
          <w:szCs w:val="21"/>
        </w:rPr>
        <w:t>）肠道组织</w:t>
      </w:r>
      <w:r>
        <w:rPr>
          <w:sz w:val="24"/>
          <w:szCs w:val="21"/>
          <w:vertAlign w:val="superscript"/>
        </w:rPr>
        <w:t>[29]</w:t>
      </w:r>
      <w:r>
        <w:rPr>
          <w:sz w:val="24"/>
          <w:szCs w:val="21"/>
        </w:rPr>
        <w:t>、大弹涂鱼（</w:t>
      </w:r>
      <w:r>
        <w:rPr>
          <w:i/>
          <w:iCs/>
          <w:sz w:val="24"/>
          <w:szCs w:val="21"/>
        </w:rPr>
        <w:t>Boleophthalmus pectinirostris</w:t>
      </w:r>
      <w:r>
        <w:rPr>
          <w:sz w:val="24"/>
          <w:szCs w:val="21"/>
        </w:rPr>
        <w:t>）肝脏</w:t>
      </w:r>
      <w:r>
        <w:rPr>
          <w:sz w:val="24"/>
          <w:szCs w:val="21"/>
          <w:vertAlign w:val="superscript"/>
        </w:rPr>
        <w:t>[30]</w:t>
      </w:r>
      <w:r>
        <w:rPr>
          <w:sz w:val="24"/>
          <w:szCs w:val="21"/>
        </w:rPr>
        <w:t>的炎症调控研究结果相吻合，进一步支持牛磺酸在硬骨鱼类中具有保守的抗炎作用结论。</w:t>
      </w:r>
    </w:p>
    <w:p w14:paraId="6451A5EE">
      <w:pPr>
        <w:spacing w:line="360" w:lineRule="auto"/>
        <w:ind w:firstLine="480" w:firstLineChars="200"/>
        <w:rPr>
          <w:sz w:val="24"/>
          <w:szCs w:val="21"/>
        </w:rPr>
      </w:pPr>
      <w:r>
        <w:rPr>
          <w:sz w:val="24"/>
          <w:szCs w:val="21"/>
        </w:rPr>
        <w:t>从分子作用机理层面分析，牛磺酸作为已被证实的次氯酸（HOCl）中和剂，其与中性粒细胞氧化剂反应生成的牛磺酸氯胺（TauCl）已被证实可干扰NF-κB信号传导</w:t>
      </w:r>
      <w:r>
        <w:rPr>
          <w:sz w:val="24"/>
          <w:szCs w:val="21"/>
          <w:vertAlign w:val="superscript"/>
        </w:rPr>
        <w:t>[31]</w:t>
      </w:r>
      <w:r>
        <w:rPr>
          <w:sz w:val="24"/>
          <w:szCs w:val="21"/>
        </w:rPr>
        <w:t>。基于鱼类与哺乳动物在先天免疫应答中的保守性特征，饲料中添加的外源性牛磺酸可能与鱼体内源性HOCl/次溴酸（HOBr）发生反应</w:t>
      </w:r>
      <w:r>
        <w:rPr>
          <w:sz w:val="24"/>
          <w:szCs w:val="21"/>
          <w:vertAlign w:val="superscript"/>
        </w:rPr>
        <w:t>[32-33]</w:t>
      </w:r>
      <w:r>
        <w:rPr>
          <w:sz w:val="24"/>
          <w:szCs w:val="21"/>
        </w:rPr>
        <w:t>，促进TauCl/牛磺酸溴胺（TauBr）等生物活性物质的局部形成。这一作用机制在人类慢性鼻窦炎、炎症性肠病等中性粒细胞浸润相关炎症模型中已获得试验证据支持</w:t>
      </w:r>
      <w:r>
        <w:rPr>
          <w:sz w:val="24"/>
          <w:szCs w:val="21"/>
          <w:vertAlign w:val="superscript"/>
        </w:rPr>
        <w:t>[33]</w:t>
      </w:r>
      <w:r>
        <w:rPr>
          <w:sz w:val="24"/>
          <w:szCs w:val="21"/>
        </w:rPr>
        <w:t>，其在水生动物炎症调控中可能具有相似的分子路径，具体有待进一步研究。</w:t>
      </w:r>
    </w:p>
    <w:p w14:paraId="2B578A35">
      <w:pPr>
        <w:spacing w:line="360" w:lineRule="auto"/>
        <w:ind w:firstLine="480" w:firstLineChars="200"/>
        <w:rPr>
          <w:sz w:val="24"/>
          <w:szCs w:val="21"/>
        </w:rPr>
      </w:pPr>
      <w:r>
        <w:rPr>
          <w:sz w:val="24"/>
          <w:szCs w:val="21"/>
        </w:rPr>
        <w:t>综上所述，牛磺酸主要通过刺激摄食、改善肠道结构与功能、调节肠道免疫这3个方面的协同效应提高鳜生长性能，表现为特定生长率的提高和饲料系数的降低。</w:t>
      </w:r>
    </w:p>
    <w:p w14:paraId="585DD890">
      <w:pPr>
        <w:spacing w:line="360" w:lineRule="auto"/>
        <w:rPr>
          <w:sz w:val="24"/>
          <w:szCs w:val="21"/>
        </w:rPr>
      </w:pPr>
      <w:r>
        <w:rPr>
          <w:sz w:val="24"/>
          <w:szCs w:val="21"/>
        </w:rPr>
        <w:t>3.4牛磺酸对鳜生长的抑制作用</w:t>
      </w:r>
    </w:p>
    <w:p w14:paraId="2349E6D4">
      <w:pPr>
        <w:spacing w:line="360" w:lineRule="auto"/>
        <w:ind w:firstLine="480" w:firstLineChars="200"/>
        <w:rPr>
          <w:sz w:val="24"/>
          <w:szCs w:val="21"/>
        </w:rPr>
      </w:pPr>
      <w:r>
        <w:rPr>
          <w:sz w:val="24"/>
          <w:szCs w:val="21"/>
        </w:rPr>
        <w:t>本试验中，当饲料中牛磺酸含量提高至21.19g/kg（T5组）时，鳜生长性能显著下降，这与花鲈（</w:t>
      </w:r>
      <w:r>
        <w:rPr>
          <w:i/>
          <w:iCs/>
          <w:sz w:val="24"/>
          <w:szCs w:val="21"/>
        </w:rPr>
        <w:t>Lateolabrax maculatus</w:t>
      </w:r>
      <w:r>
        <w:rPr>
          <w:sz w:val="24"/>
          <w:szCs w:val="21"/>
        </w:rPr>
        <w:t>）</w:t>
      </w:r>
      <w:r>
        <w:rPr>
          <w:sz w:val="24"/>
          <w:szCs w:val="21"/>
          <w:vertAlign w:val="superscript"/>
        </w:rPr>
        <w:t>[34]</w:t>
      </w:r>
      <w:r>
        <w:rPr>
          <w:sz w:val="24"/>
          <w:szCs w:val="21"/>
        </w:rPr>
        <w:t>和大菱鲆（</w:t>
      </w:r>
      <w:r>
        <w:rPr>
          <w:i/>
          <w:iCs/>
          <w:sz w:val="24"/>
          <w:szCs w:val="21"/>
        </w:rPr>
        <w:t>Scophthalmus maximus</w:t>
      </w:r>
      <w:r>
        <w:rPr>
          <w:sz w:val="24"/>
          <w:szCs w:val="21"/>
        </w:rPr>
        <w:t xml:space="preserve"> L.）</w:t>
      </w:r>
      <w:r>
        <w:rPr>
          <w:sz w:val="24"/>
          <w:szCs w:val="21"/>
          <w:vertAlign w:val="superscript"/>
        </w:rPr>
        <w:t>[35]</w:t>
      </w:r>
      <w:r>
        <w:rPr>
          <w:sz w:val="24"/>
          <w:szCs w:val="21"/>
        </w:rPr>
        <w:t>上研究结果相似。生长受阻直接表现为高剂量组鳜的尾均摄食量显著减少，其背后的分子机制可能与食欲中枢调控失衡有关：该组鳜脑组织中</w:t>
      </w:r>
      <w:r>
        <w:rPr>
          <w:i/>
          <w:iCs/>
          <w:sz w:val="24"/>
          <w:szCs w:val="21"/>
        </w:rPr>
        <w:t>NPY</w:t>
      </w:r>
      <w:r>
        <w:rPr>
          <w:sz w:val="24"/>
          <w:szCs w:val="21"/>
        </w:rPr>
        <w:t>与</w:t>
      </w:r>
      <w:r>
        <w:rPr>
          <w:i/>
          <w:iCs/>
          <w:sz w:val="24"/>
          <w:szCs w:val="21"/>
        </w:rPr>
        <w:t>PYY</w:t>
      </w:r>
      <w:r>
        <w:rPr>
          <w:sz w:val="24"/>
          <w:szCs w:val="21"/>
        </w:rPr>
        <w:t>的mRNA相对表达量均从最适剂量组的峰值回落，二者共同印证了高剂量牛磺酸干扰了精细的摄食调控稳态。</w:t>
      </w:r>
    </w:p>
    <w:p w14:paraId="652916AD">
      <w:pPr>
        <w:spacing w:line="360" w:lineRule="auto"/>
        <w:ind w:firstLine="480" w:firstLineChars="200"/>
        <w:rPr>
          <w:sz w:val="24"/>
          <w:szCs w:val="21"/>
        </w:rPr>
      </w:pPr>
      <w:r>
        <w:rPr>
          <w:sz w:val="24"/>
          <w:szCs w:val="21"/>
        </w:rPr>
        <w:t>从代谢层面分析，饲料中高剂量牛磺酸引发了营养物质利用的紊乱。一方面，肠道中脂肪酶活性升高但鱼肌肉中EE含量反而显著降低，表明脂肪消化与沉积过程脱节，大量水解产生的游离脂肪酸可能未被有效利用，转而增加了肝脏的代谢负荷与氧化应激风险</w:t>
      </w:r>
      <w:r>
        <w:rPr>
          <w:sz w:val="24"/>
          <w:szCs w:val="21"/>
          <w:vertAlign w:val="superscript"/>
        </w:rPr>
        <w:t>[24]</w:t>
      </w:r>
      <w:r>
        <w:rPr>
          <w:sz w:val="24"/>
          <w:szCs w:val="21"/>
        </w:rPr>
        <w:t>；另一方面，作为肉食性鱼类生长的核心限制因素，蛋白质的消化吸收受到直接制约，肠道中胰蛋白酶活性的显著下降直接限制了蛋白质的水解效率与氨基酸的供应</w:t>
      </w:r>
      <w:r>
        <w:rPr>
          <w:sz w:val="24"/>
          <w:szCs w:val="21"/>
          <w:vertAlign w:val="superscript"/>
        </w:rPr>
        <w:t>[36]</w:t>
      </w:r>
      <w:r>
        <w:rPr>
          <w:sz w:val="24"/>
          <w:szCs w:val="21"/>
        </w:rPr>
        <w:t>。</w:t>
      </w:r>
    </w:p>
    <w:p w14:paraId="7457C582">
      <w:pPr>
        <w:spacing w:line="360" w:lineRule="auto"/>
        <w:rPr>
          <w:sz w:val="24"/>
          <w:szCs w:val="21"/>
        </w:rPr>
      </w:pPr>
      <w:r>
        <w:rPr>
          <w:sz w:val="24"/>
          <w:szCs w:val="21"/>
        </w:rPr>
        <w:t>4结论</w:t>
      </w:r>
    </w:p>
    <w:p w14:paraId="6641042F">
      <w:pPr>
        <w:spacing w:line="360" w:lineRule="auto"/>
        <w:ind w:firstLine="480" w:firstLineChars="200"/>
        <w:rPr>
          <w:sz w:val="24"/>
          <w:szCs w:val="21"/>
        </w:rPr>
      </w:pPr>
      <w:r>
        <w:rPr>
          <w:sz w:val="24"/>
          <w:szCs w:val="21"/>
        </w:rPr>
        <w:t>综上所述，饲料中适量（11.45~16.65g/kg）牛磺酸具有促进摄食、生长和肠道发育，提高消化吸收能力，增强肠道屏障及免疫功能的作用，而含量高于16.94g/kg起负面效应。实际生产中建议将饲料中牛磺酸含量控制在11.50g/kg以最大化生长性能，节约成本。</w:t>
      </w:r>
    </w:p>
    <w:p w14:paraId="674A77EE">
      <w:pPr>
        <w:spacing w:line="360" w:lineRule="auto"/>
        <w:rPr>
          <w:sz w:val="24"/>
          <w:szCs w:val="21"/>
        </w:rPr>
      </w:pPr>
      <w:r>
        <w:rPr>
          <w:rFonts w:hint="eastAsia"/>
          <w:sz w:val="24"/>
          <w:szCs w:val="21"/>
        </w:rPr>
        <w:t>参考文献：略</w:t>
      </w:r>
    </w:p>
    <w:p w14:paraId="2EE7E524">
      <w:pPr>
        <w:spacing w:line="360" w:lineRule="auto"/>
        <w:jc w:val="right"/>
        <w:rPr>
          <w:szCs w:val="21"/>
        </w:rPr>
      </w:pPr>
      <w:r>
        <w:rPr>
          <w:rFonts w:hint="eastAsia"/>
          <w:szCs w:val="21"/>
        </w:rPr>
        <w:t>原文刊登在《动物营养学报》2026年第4期</w:t>
      </w:r>
    </w:p>
    <w:p w14:paraId="114E5D57">
      <w:pPr>
        <w:jc w:val="center"/>
        <w:outlineLvl w:val="1"/>
        <w:rPr>
          <w:rFonts w:hint="eastAsia" w:ascii="黑体" w:hAnsi="黑体" w:eastAsia="黑体" w:cs="黑体"/>
          <w:b/>
          <w:bCs/>
          <w:sz w:val="32"/>
          <w:szCs w:val="32"/>
        </w:rPr>
      </w:pPr>
      <w:bookmarkStart w:id="29" w:name="_Toc230941938"/>
      <w:r>
        <w:rPr>
          <w:rFonts w:hint="eastAsia" w:ascii="黑体" w:hAnsi="黑体" w:eastAsia="黑体" w:cs="黑体"/>
          <w:b/>
          <w:bCs/>
          <w:sz w:val="32"/>
          <w:szCs w:val="32"/>
        </w:rPr>
        <w:t>黄粉虫粉替代鱼粉对凡纳滨对虾生长、免疫和营养品质的影响</w:t>
      </w:r>
      <w:bookmarkEnd w:id="29"/>
    </w:p>
    <w:p w14:paraId="065F7C1F">
      <w:pPr>
        <w:jc w:val="center"/>
        <w:rPr>
          <w:szCs w:val="21"/>
          <w:vertAlign w:val="superscript"/>
        </w:rPr>
      </w:pPr>
      <w:r>
        <w:rPr>
          <w:szCs w:val="21"/>
        </w:rPr>
        <w:t>郑煜东</w:t>
      </w:r>
      <w:r>
        <w:rPr>
          <w:szCs w:val="21"/>
          <w:vertAlign w:val="superscript"/>
        </w:rPr>
        <w:t>1</w:t>
      </w:r>
      <w:r>
        <w:rPr>
          <w:szCs w:val="21"/>
        </w:rPr>
        <w:t xml:space="preserve"> 陈 俭</w:t>
      </w:r>
      <w:r>
        <w:rPr>
          <w:szCs w:val="21"/>
          <w:vertAlign w:val="superscript"/>
        </w:rPr>
        <w:t>1, 2</w:t>
      </w:r>
      <w:r>
        <w:rPr>
          <w:szCs w:val="21"/>
        </w:rPr>
        <w:t xml:space="preserve"> 王红明</w:t>
      </w:r>
      <w:r>
        <w:rPr>
          <w:szCs w:val="21"/>
          <w:vertAlign w:val="superscript"/>
        </w:rPr>
        <w:t>1</w:t>
      </w:r>
      <w:r>
        <w:rPr>
          <w:szCs w:val="21"/>
        </w:rPr>
        <w:t xml:space="preserve"> 侯翠红</w:t>
      </w:r>
      <w:r>
        <w:rPr>
          <w:szCs w:val="21"/>
          <w:vertAlign w:val="superscript"/>
        </w:rPr>
        <w:t>1</w:t>
      </w:r>
      <w:r>
        <w:rPr>
          <w:szCs w:val="21"/>
        </w:rPr>
        <w:t xml:space="preserve"> 袁 航</w:t>
      </w:r>
      <w:r>
        <w:rPr>
          <w:szCs w:val="21"/>
          <w:vertAlign w:val="superscript"/>
        </w:rPr>
        <w:t>1</w:t>
      </w:r>
      <w:r>
        <w:rPr>
          <w:szCs w:val="21"/>
        </w:rPr>
        <w:t xml:space="preserve"> 胡乃捷</w:t>
      </w:r>
      <w:r>
        <w:rPr>
          <w:szCs w:val="21"/>
          <w:vertAlign w:val="superscript"/>
        </w:rPr>
        <w:t>1</w:t>
      </w:r>
      <w:r>
        <w:rPr>
          <w:szCs w:val="21"/>
        </w:rPr>
        <w:t xml:space="preserve"> 章 双</w:t>
      </w:r>
      <w:r>
        <w:rPr>
          <w:szCs w:val="21"/>
          <w:vertAlign w:val="superscript"/>
        </w:rPr>
        <w:t>1, 3</w:t>
      </w:r>
    </w:p>
    <w:p w14:paraId="18295681">
      <w:pPr>
        <w:jc w:val="center"/>
        <w:rPr>
          <w:rFonts w:cs="宋体"/>
          <w:szCs w:val="21"/>
        </w:rPr>
      </w:pPr>
      <w:r>
        <w:rPr>
          <w:szCs w:val="21"/>
        </w:rPr>
        <w:t>(</w:t>
      </w:r>
      <w:r>
        <w:rPr>
          <w:rFonts w:hint="eastAsia" w:cs="宋体"/>
          <w:szCs w:val="21"/>
        </w:rPr>
        <w:t>1.广东海洋大学水产学院，水产动物营养与饲料实验室，湛江524088；2.中国热带农业科学院湛江实验站，湛江524013；3.广东省水产动物精准营养与高效饲料工程技术研究中心，湛江524088</w:t>
      </w:r>
      <w:r>
        <w:rPr>
          <w:szCs w:val="21"/>
        </w:rPr>
        <w:t>)</w:t>
      </w:r>
    </w:p>
    <w:p w14:paraId="04E850E8">
      <w:pPr>
        <w:rPr>
          <w:szCs w:val="21"/>
        </w:rPr>
      </w:pPr>
      <w:r>
        <w:rPr>
          <w:rFonts w:hint="eastAsia"/>
          <w:b/>
          <w:bCs/>
          <w:szCs w:val="21"/>
        </w:rPr>
        <w:t>摘要</w:t>
      </w:r>
      <w:r>
        <w:rPr>
          <w:b/>
          <w:bCs/>
          <w:szCs w:val="21"/>
        </w:rPr>
        <w:t>：</w:t>
      </w:r>
      <w:r>
        <w:rPr>
          <w:rFonts w:hint="eastAsia" w:cs="宋体"/>
          <w:szCs w:val="21"/>
        </w:rPr>
        <w:t>本实验旨在研究饲料中黄粉虫粉（</w:t>
      </w:r>
      <w:r>
        <w:rPr>
          <w:rFonts w:hint="eastAsia" w:cs="宋体"/>
          <w:i/>
          <w:iCs/>
          <w:szCs w:val="21"/>
        </w:rPr>
        <w:t>Tenebrio molitor meal</w:t>
      </w:r>
      <w:r>
        <w:rPr>
          <w:rFonts w:hint="eastAsia" w:cs="宋体"/>
          <w:szCs w:val="21"/>
        </w:rPr>
        <w:t>，TMM）替代不同水平鱼粉对凡纳滨对虾（</w:t>
      </w:r>
      <w:r>
        <w:rPr>
          <w:rFonts w:hint="eastAsia" w:cs="宋体"/>
          <w:i/>
          <w:iCs/>
          <w:szCs w:val="21"/>
        </w:rPr>
        <w:t>Litopenaeus vannamei</w:t>
      </w:r>
      <w:r>
        <w:rPr>
          <w:rFonts w:hint="eastAsia" w:cs="宋体"/>
          <w:szCs w:val="21"/>
        </w:rPr>
        <w:t>）生长性能、抗氧化能力和免疫性能及肌肉氨基酸和脂肪酸沉积的影响。本研究以黄粉虫粉分别等蛋白替代0（TMM0）、15%（TMM15）、30%（TMM30）和45%（TMM45）鱼粉配制4组等氮等脂实验饲料，投喂初始体质量为（0.42±0.01）g的凡纳滨对虾幼虾8周。结果表明：饲料总氨基酸含量随替代比例递增而升高，EAA/TAAs没有显著性变化，另外，饲料亚油酸升高16.00%，EPA和DHA分别降低11.79%和20.99%（</w:t>
      </w:r>
      <w:r>
        <w:rPr>
          <w:rFonts w:hint="eastAsia" w:cs="宋体"/>
          <w:i/>
          <w:iCs/>
          <w:szCs w:val="21"/>
        </w:rPr>
        <w:t>P</w:t>
      </w:r>
      <w:r>
        <w:rPr>
          <w:rFonts w:hint="eastAsia" w:cs="宋体"/>
          <w:szCs w:val="21"/>
        </w:rPr>
        <w:t>&lt;0.05）。在生长性能方面，TMM30组增重率和特定生长率较对照组分别提高12.34%和3.47%（</w:t>
      </w:r>
      <w:r>
        <w:rPr>
          <w:rFonts w:hint="eastAsia" w:cs="宋体"/>
          <w:i/>
          <w:iCs/>
          <w:szCs w:val="21"/>
        </w:rPr>
        <w:t>P</w:t>
      </w:r>
      <w:r>
        <w:rPr>
          <w:rFonts w:hint="eastAsia" w:cs="宋体"/>
          <w:szCs w:val="21"/>
        </w:rPr>
        <w:t>&lt;0.05）。在抗氧化性能方面，TMM45组肝胰腺MDA含量显著降低（</w:t>
      </w:r>
      <w:r>
        <w:rPr>
          <w:rFonts w:hint="eastAsia" w:cs="宋体"/>
          <w:i/>
          <w:iCs/>
          <w:szCs w:val="21"/>
        </w:rPr>
        <w:t>P</w:t>
      </w:r>
      <w:r>
        <w:rPr>
          <w:rFonts w:hint="eastAsia" w:cs="宋体"/>
          <w:szCs w:val="21"/>
        </w:rPr>
        <w:t>&lt;0.05），SOD和CAT活性及</w:t>
      </w:r>
      <w:r>
        <w:rPr>
          <w:rFonts w:hint="eastAsia" w:cs="宋体"/>
          <w:i/>
          <w:iCs/>
          <w:szCs w:val="21"/>
        </w:rPr>
        <w:t>sod</w:t>
      </w:r>
      <w:r>
        <w:rPr>
          <w:rFonts w:hint="eastAsia" w:cs="宋体"/>
          <w:szCs w:val="21"/>
        </w:rPr>
        <w:t>基因表达显著升高（</w:t>
      </w:r>
      <w:r>
        <w:rPr>
          <w:rFonts w:hint="eastAsia" w:cs="宋体"/>
          <w:i/>
          <w:iCs/>
          <w:szCs w:val="21"/>
        </w:rPr>
        <w:t>P</w:t>
      </w:r>
      <w:r>
        <w:rPr>
          <w:rFonts w:hint="eastAsia" w:cs="宋体"/>
          <w:szCs w:val="21"/>
        </w:rPr>
        <w:t>&lt;0.05）。在免疫性能方面，酚氧化酶和溶菌酶酶活及基因表达随替代比例增加显著上调，抗菌肽基因（</w:t>
      </w:r>
      <w:r>
        <w:rPr>
          <w:rFonts w:hint="eastAsia" w:cs="宋体"/>
          <w:i/>
          <w:iCs/>
          <w:szCs w:val="21"/>
        </w:rPr>
        <w:t>cru</w:t>
      </w:r>
      <w:r>
        <w:rPr>
          <w:rFonts w:hint="eastAsia" w:cs="宋体"/>
          <w:szCs w:val="21"/>
        </w:rPr>
        <w:t>、</w:t>
      </w:r>
      <w:r>
        <w:rPr>
          <w:rFonts w:hint="eastAsia" w:cs="宋体"/>
          <w:i/>
          <w:iCs/>
          <w:szCs w:val="21"/>
        </w:rPr>
        <w:t>alf</w:t>
      </w:r>
      <w:r>
        <w:rPr>
          <w:rFonts w:hint="eastAsia" w:cs="宋体"/>
          <w:szCs w:val="21"/>
        </w:rPr>
        <w:t>）、Toll/IMD通路基因（</w:t>
      </w:r>
      <w:r>
        <w:rPr>
          <w:rFonts w:hint="eastAsia" w:cs="宋体"/>
          <w:i/>
          <w:iCs/>
          <w:szCs w:val="21"/>
        </w:rPr>
        <w:t>dor</w:t>
      </w:r>
      <w:r>
        <w:rPr>
          <w:rFonts w:hint="eastAsia" w:cs="宋体"/>
          <w:szCs w:val="21"/>
        </w:rPr>
        <w:t>、</w:t>
      </w:r>
      <w:r>
        <w:rPr>
          <w:rFonts w:hint="eastAsia" w:cs="宋体"/>
          <w:i/>
          <w:iCs/>
          <w:szCs w:val="21"/>
        </w:rPr>
        <w:t>rel</w:t>
      </w:r>
      <w:r>
        <w:rPr>
          <w:rFonts w:hint="eastAsia" w:cs="宋体"/>
          <w:szCs w:val="21"/>
        </w:rPr>
        <w:t>）和JAK-STAT通路基因（</w:t>
      </w:r>
      <w:r>
        <w:rPr>
          <w:rFonts w:hint="eastAsia" w:cs="宋体"/>
          <w:i/>
          <w:iCs/>
          <w:szCs w:val="21"/>
        </w:rPr>
        <w:t>stat</w:t>
      </w:r>
      <w:r>
        <w:rPr>
          <w:rFonts w:hint="eastAsia" w:cs="宋体"/>
          <w:szCs w:val="21"/>
        </w:rPr>
        <w:t>、</w:t>
      </w:r>
      <w:r>
        <w:rPr>
          <w:rFonts w:hint="eastAsia" w:cs="宋体"/>
          <w:i/>
          <w:iCs/>
          <w:szCs w:val="21"/>
        </w:rPr>
        <w:t>jun</w:t>
      </w:r>
      <w:r>
        <w:rPr>
          <w:rFonts w:hint="eastAsia" w:cs="宋体"/>
          <w:szCs w:val="21"/>
        </w:rPr>
        <w:t>、</w:t>
      </w:r>
      <w:r>
        <w:rPr>
          <w:rFonts w:hint="eastAsia" w:cs="宋体"/>
          <w:i/>
          <w:iCs/>
          <w:szCs w:val="21"/>
        </w:rPr>
        <w:t>fos</w:t>
      </w:r>
      <w:r>
        <w:rPr>
          <w:rFonts w:hint="eastAsia" w:cs="宋体"/>
          <w:szCs w:val="21"/>
        </w:rPr>
        <w:t>）显著上调（</w:t>
      </w:r>
      <w:r>
        <w:rPr>
          <w:rFonts w:hint="eastAsia" w:cs="宋体"/>
          <w:i/>
          <w:iCs/>
          <w:szCs w:val="21"/>
        </w:rPr>
        <w:t>P</w:t>
      </w:r>
      <w:r>
        <w:rPr>
          <w:rFonts w:hint="eastAsia" w:cs="宋体"/>
          <w:szCs w:val="21"/>
        </w:rPr>
        <w:t>&lt;0.05）。在营养品质方面，对虾肌肉粗蛋白无显著变化，TMM45组风味氨基酸总和显著降低（</w:t>
      </w:r>
      <w:r>
        <w:rPr>
          <w:rFonts w:hint="eastAsia" w:cs="宋体"/>
          <w:i/>
          <w:iCs/>
          <w:szCs w:val="21"/>
        </w:rPr>
        <w:t>P</w:t>
      </w:r>
      <w:r>
        <w:rPr>
          <w:rFonts w:hint="eastAsia" w:cs="宋体"/>
          <w:szCs w:val="21"/>
        </w:rPr>
        <w:t>&lt;0.05）。TMM45组肌肉的粗脂肪升高15.38%（</w:t>
      </w:r>
      <w:r>
        <w:rPr>
          <w:rFonts w:hint="eastAsia" w:cs="宋体"/>
          <w:i/>
          <w:iCs/>
          <w:szCs w:val="21"/>
        </w:rPr>
        <w:t>P</w:t>
      </w:r>
      <w:r>
        <w:rPr>
          <w:rFonts w:hint="eastAsia" w:cs="宋体"/>
          <w:szCs w:val="21"/>
        </w:rPr>
        <w:t>&lt;0.05），尽管饲料EPA和DHA降低，肌肉EPA和DHA分别升高（</w:t>
      </w:r>
      <w:r>
        <w:rPr>
          <w:rFonts w:hint="eastAsia" w:cs="宋体"/>
          <w:i/>
          <w:iCs/>
          <w:szCs w:val="21"/>
        </w:rPr>
        <w:t>P</w:t>
      </w:r>
      <w:r>
        <w:rPr>
          <w:rFonts w:hint="eastAsia" w:cs="宋体"/>
          <w:szCs w:val="21"/>
        </w:rPr>
        <w:t>&lt;0.05）。综合经济效益分析，与TMM0组相比，TMM30组饲料成本降低8.01%，而利润提升35.28%。综上，在等氮等脂条件下，黄粉虫粉替代30%鱼粉为凡纳滨对虾配合饲料中的适宜比例，不仅能节约饲料成本，还可显著促进凡纳滨对虾生长，通过激活Toll/IMD和JAK-STAT信号通路增强凡纳滨对虾抗氧化功能与免疫功能，并维持肌肉蛋白质品质和n-3 LCPUFA的营养价值，为黄粉虫粉在对虾饲料配方中提供理论依据</w:t>
      </w:r>
      <w:r>
        <w:rPr>
          <w:rFonts w:hint="eastAsia"/>
          <w:szCs w:val="21"/>
        </w:rPr>
        <w:t>。</w:t>
      </w:r>
    </w:p>
    <w:p w14:paraId="5F74970A">
      <w:pPr>
        <w:rPr>
          <w:rFonts w:cs="宋体"/>
          <w:szCs w:val="21"/>
        </w:rPr>
      </w:pPr>
      <w:r>
        <w:rPr>
          <w:rFonts w:hint="eastAsia"/>
          <w:b/>
          <w:bCs/>
          <w:szCs w:val="21"/>
        </w:rPr>
        <w:t>关键词</w:t>
      </w:r>
      <w:r>
        <w:rPr>
          <w:b/>
          <w:bCs/>
          <w:szCs w:val="21"/>
        </w:rPr>
        <w:t>：</w:t>
      </w:r>
      <w:r>
        <w:rPr>
          <w:rFonts w:hint="eastAsia" w:cs="宋体"/>
          <w:szCs w:val="21"/>
        </w:rPr>
        <w:t>黄粉虫粉；生长性能；Toll/IMD信号通路；JAK-STAT信号通路；营养品质；凡纳滨对虾</w:t>
      </w:r>
    </w:p>
    <w:p w14:paraId="16D354C5">
      <w:pPr>
        <w:jc w:val="center"/>
        <w:rPr>
          <w:rFonts w:cs="宋体"/>
          <w:b/>
          <w:bCs/>
          <w:sz w:val="24"/>
        </w:rPr>
      </w:pPr>
      <w:r>
        <w:rPr>
          <w:rFonts w:hint="eastAsia" w:cs="宋体"/>
          <w:b/>
          <w:bCs/>
          <w:sz w:val="24"/>
        </w:rPr>
        <w:t>REPLACEMENT OF FISH MEAL WITH TENEBRIO MOLITOR MEAL ON</w:t>
      </w:r>
    </w:p>
    <w:p w14:paraId="4467BFE4">
      <w:pPr>
        <w:jc w:val="center"/>
        <w:rPr>
          <w:rFonts w:cs="宋体"/>
          <w:b/>
          <w:bCs/>
          <w:sz w:val="24"/>
        </w:rPr>
      </w:pPr>
      <w:r>
        <w:rPr>
          <w:rFonts w:hint="eastAsia" w:cs="宋体"/>
          <w:b/>
          <w:bCs/>
          <w:sz w:val="24"/>
        </w:rPr>
        <w:t>GROWTH PERFORMANCE, IMMUNE RESPONSE, AND NUTRITIONAL</w:t>
      </w:r>
    </w:p>
    <w:p w14:paraId="5B395BC1">
      <w:pPr>
        <w:jc w:val="center"/>
        <w:rPr>
          <w:b/>
          <w:bCs/>
          <w:sz w:val="24"/>
        </w:rPr>
      </w:pPr>
      <w:r>
        <w:rPr>
          <w:rFonts w:hint="eastAsia" w:cs="宋体"/>
          <w:b/>
          <w:bCs/>
          <w:sz w:val="24"/>
        </w:rPr>
        <w:t xml:space="preserve">QUALITY OF </w:t>
      </w:r>
      <w:r>
        <w:rPr>
          <w:rFonts w:hint="eastAsia" w:cs="宋体"/>
          <w:b/>
          <w:bCs/>
          <w:i/>
          <w:iCs/>
          <w:sz w:val="24"/>
        </w:rPr>
        <w:t>LITOPENAEUS VANNAMEI</w:t>
      </w:r>
    </w:p>
    <w:p w14:paraId="4281D15B">
      <w:pPr>
        <w:jc w:val="center"/>
        <w:rPr>
          <w:rFonts w:cs="宋体"/>
          <w:szCs w:val="21"/>
        </w:rPr>
      </w:pPr>
      <w:r>
        <w:rPr>
          <w:rFonts w:hint="eastAsia" w:cs="宋体"/>
          <w:szCs w:val="21"/>
        </w:rPr>
        <w:t>ZHENG Yu-Dong</w:t>
      </w:r>
      <w:r>
        <w:rPr>
          <w:rFonts w:hint="eastAsia" w:cs="宋体"/>
          <w:szCs w:val="21"/>
          <w:vertAlign w:val="superscript"/>
        </w:rPr>
        <w:t>1</w:t>
      </w:r>
      <w:r>
        <w:rPr>
          <w:rFonts w:hint="eastAsia" w:cs="宋体"/>
          <w:szCs w:val="21"/>
        </w:rPr>
        <w:t>, CHEN Jian</w:t>
      </w:r>
      <w:r>
        <w:rPr>
          <w:rFonts w:hint="eastAsia" w:cs="宋体"/>
          <w:szCs w:val="21"/>
          <w:vertAlign w:val="superscript"/>
        </w:rPr>
        <w:t>1, 2</w:t>
      </w:r>
      <w:r>
        <w:rPr>
          <w:rFonts w:hint="eastAsia" w:cs="宋体"/>
          <w:szCs w:val="21"/>
        </w:rPr>
        <w:t>, WANG Hong-Ming</w:t>
      </w:r>
      <w:r>
        <w:rPr>
          <w:rFonts w:hint="eastAsia" w:cs="宋体"/>
          <w:szCs w:val="21"/>
          <w:vertAlign w:val="superscript"/>
        </w:rPr>
        <w:t>1</w:t>
      </w:r>
      <w:r>
        <w:rPr>
          <w:rFonts w:hint="eastAsia" w:cs="宋体"/>
          <w:szCs w:val="21"/>
        </w:rPr>
        <w:t>, HOU Cui-Hong</w:t>
      </w:r>
      <w:r>
        <w:rPr>
          <w:rFonts w:hint="eastAsia" w:cs="宋体"/>
          <w:szCs w:val="21"/>
          <w:vertAlign w:val="superscript"/>
        </w:rPr>
        <w:t>1</w:t>
      </w:r>
      <w:r>
        <w:rPr>
          <w:rFonts w:hint="eastAsia" w:cs="宋体"/>
          <w:szCs w:val="21"/>
        </w:rPr>
        <w:t>,YUAN Hang</w:t>
      </w:r>
      <w:r>
        <w:rPr>
          <w:rFonts w:hint="eastAsia" w:cs="宋体"/>
          <w:szCs w:val="21"/>
          <w:vertAlign w:val="superscript"/>
        </w:rPr>
        <w:t>1</w:t>
      </w:r>
      <w:r>
        <w:rPr>
          <w:rFonts w:hint="eastAsia" w:cs="宋体"/>
          <w:szCs w:val="21"/>
        </w:rPr>
        <w:t>,</w:t>
      </w:r>
    </w:p>
    <w:p w14:paraId="09496C86">
      <w:pPr>
        <w:jc w:val="center"/>
        <w:rPr>
          <w:rFonts w:cs="宋体"/>
          <w:szCs w:val="21"/>
          <w:vertAlign w:val="superscript"/>
        </w:rPr>
      </w:pPr>
      <w:r>
        <w:rPr>
          <w:rFonts w:hint="eastAsia" w:cs="宋体"/>
          <w:szCs w:val="21"/>
        </w:rPr>
        <w:t>HU Nai-Jie1and ZHANG Shuang</w:t>
      </w:r>
      <w:r>
        <w:rPr>
          <w:rFonts w:hint="eastAsia" w:cs="宋体"/>
          <w:szCs w:val="21"/>
          <w:vertAlign w:val="superscript"/>
        </w:rPr>
        <w:t>1, 3</w:t>
      </w:r>
    </w:p>
    <w:p w14:paraId="60D509B3">
      <w:pPr>
        <w:jc w:val="center"/>
        <w:rPr>
          <w:rFonts w:cs="宋体"/>
          <w:szCs w:val="21"/>
        </w:rPr>
      </w:pPr>
      <w:r>
        <w:rPr>
          <w:rFonts w:hint="eastAsia"/>
          <w:szCs w:val="21"/>
        </w:rPr>
        <w:t>(</w:t>
      </w:r>
      <w:r>
        <w:rPr>
          <w:rFonts w:hint="eastAsia" w:cs="宋体"/>
          <w:szCs w:val="21"/>
        </w:rPr>
        <w:t xml:space="preserve">1. </w:t>
      </w:r>
      <w:r>
        <w:rPr>
          <w:rFonts w:hint="eastAsia" w:cs="宋体"/>
          <w:i/>
          <w:iCs/>
          <w:szCs w:val="21"/>
        </w:rPr>
        <w:t>College of Fisheries, Guangdong Ocean University, Zhanjiang</w:t>
      </w:r>
      <w:r>
        <w:rPr>
          <w:rFonts w:hint="eastAsia" w:cs="宋体"/>
          <w:szCs w:val="21"/>
        </w:rPr>
        <w:t xml:space="preserve"> 524088,</w:t>
      </w:r>
      <w:r>
        <w:rPr>
          <w:rFonts w:hint="eastAsia" w:cs="宋体"/>
          <w:i/>
          <w:iCs/>
          <w:szCs w:val="21"/>
        </w:rPr>
        <w:t xml:space="preserve"> China</w:t>
      </w:r>
      <w:r>
        <w:rPr>
          <w:rFonts w:hint="eastAsia" w:cs="宋体"/>
          <w:szCs w:val="21"/>
        </w:rPr>
        <w:t xml:space="preserve">; 2. </w:t>
      </w:r>
      <w:r>
        <w:rPr>
          <w:rFonts w:hint="eastAsia" w:cs="宋体"/>
          <w:i/>
          <w:iCs/>
          <w:szCs w:val="21"/>
        </w:rPr>
        <w:t xml:space="preserve">Zhanjiang Experimental Station, CATAS, Zhanjiang </w:t>
      </w:r>
      <w:r>
        <w:rPr>
          <w:rFonts w:hint="eastAsia" w:cs="宋体"/>
          <w:szCs w:val="21"/>
        </w:rPr>
        <w:t>524013,</w:t>
      </w:r>
      <w:r>
        <w:rPr>
          <w:rFonts w:hint="eastAsia" w:cs="宋体"/>
          <w:i/>
          <w:iCs/>
          <w:szCs w:val="21"/>
        </w:rPr>
        <w:t xml:space="preserve"> China</w:t>
      </w:r>
      <w:r>
        <w:rPr>
          <w:rFonts w:hint="eastAsia" w:cs="宋体"/>
          <w:szCs w:val="21"/>
        </w:rPr>
        <w:t xml:space="preserve">; 3. </w:t>
      </w:r>
      <w:r>
        <w:rPr>
          <w:rFonts w:hint="eastAsia" w:cs="宋体"/>
          <w:i/>
          <w:iCs/>
          <w:szCs w:val="21"/>
        </w:rPr>
        <w:t xml:space="preserve">Aquatic Animals Precision Nutrition and High-Efficiency Feed Engineering Research Centre of Guangdong Province, Zhanjiang </w:t>
      </w:r>
      <w:r>
        <w:rPr>
          <w:rFonts w:hint="eastAsia" w:cs="宋体"/>
          <w:szCs w:val="21"/>
        </w:rPr>
        <w:t xml:space="preserve">524088, </w:t>
      </w:r>
      <w:r>
        <w:rPr>
          <w:rFonts w:hint="eastAsia" w:cs="宋体"/>
          <w:i/>
          <w:iCs/>
          <w:szCs w:val="21"/>
        </w:rPr>
        <w:t>China</w:t>
      </w:r>
      <w:r>
        <w:rPr>
          <w:rFonts w:hint="eastAsia"/>
          <w:szCs w:val="21"/>
        </w:rPr>
        <w:t>)</w:t>
      </w:r>
    </w:p>
    <w:p w14:paraId="67E1FAA2">
      <w:pPr>
        <w:rPr>
          <w:rFonts w:cs="宋体"/>
          <w:szCs w:val="21"/>
        </w:rPr>
      </w:pPr>
      <w:r>
        <w:rPr>
          <w:rFonts w:hint="eastAsia" w:cs="宋体"/>
          <w:b/>
          <w:bCs/>
          <w:szCs w:val="21"/>
        </w:rPr>
        <w:t xml:space="preserve">Abstract: </w:t>
      </w:r>
      <w:r>
        <w:rPr>
          <w:rFonts w:hint="eastAsia" w:cs="宋体"/>
          <w:szCs w:val="21"/>
        </w:rPr>
        <w:t xml:space="preserve">This study was conducted to investigate the effects of dietary fish meal (FM) replacement with </w:t>
      </w:r>
      <w:r>
        <w:rPr>
          <w:rFonts w:hint="eastAsia" w:cs="宋体"/>
          <w:i/>
          <w:iCs/>
          <w:szCs w:val="21"/>
        </w:rPr>
        <w:t>Tenebrio molitor</w:t>
      </w:r>
      <w:r>
        <w:rPr>
          <w:rFonts w:hint="eastAsia" w:cs="宋体"/>
          <w:szCs w:val="21"/>
        </w:rPr>
        <w:t xml:space="preserve"> meal (TMM) at different inclusion levels on body composition, muscle amino acid and fatty acid profiles, antioxidant capacity, and immune performance of Pacific white shrimp (</w:t>
      </w:r>
      <w:r>
        <w:rPr>
          <w:rFonts w:hint="eastAsia" w:cs="宋体"/>
          <w:i/>
          <w:iCs/>
          <w:szCs w:val="21"/>
        </w:rPr>
        <w:t>Litopenaeus vannamei</w:t>
      </w:r>
      <w:r>
        <w:rPr>
          <w:rFonts w:hint="eastAsia" w:cs="宋体"/>
          <w:szCs w:val="21"/>
        </w:rPr>
        <w:t>). Four isonitrogenous and isolipidic experimental diets were formulated by replacing FM with TMM at 0 (TMM0, control), 15%(TMM15), 30%(TMM30), and 45%(TMM45) on an equal protein basis. Juvenile shrimp with an initial body weight of (0.42±0.01)g were randomly distributed into four experimental groups and fed the respective diets for 8 weeks under controlled laboratory conditions. The results demonstrated that the total amino acid content in the experimental diets increased linearly with increasing substitution levels of TMM, while the ratio of essential amino acids to total amino acids (EAA/TAAs) remained statistically unchanged among all dietary treatments. Notably, dietary linoleic acid content was elevated by 16.00%in the TMM45 group compared to TMM0 group. Conversely, eicosatetraenoic acid (EPA) and docosahexaenoic acid (DHA) levels were significantly decreased by 11.79% and 20.99%, respectively (</w:t>
      </w:r>
      <w:r>
        <w:rPr>
          <w:rFonts w:hint="eastAsia" w:cs="宋体"/>
          <w:i/>
          <w:iCs/>
          <w:szCs w:val="21"/>
        </w:rPr>
        <w:t>P</w:t>
      </w:r>
      <w:r>
        <w:rPr>
          <w:rFonts w:hint="eastAsia" w:cs="宋体"/>
          <w:szCs w:val="21"/>
        </w:rPr>
        <w:t>&lt;0.05). In terms of growth performance, shrimp fed the TMM30 diet exhibited significantly higher weight gain rate and specific growth rate, which were improved by 12.34%and 3.47%compared to the control group, respectively (</w:t>
      </w:r>
      <w:r>
        <w:rPr>
          <w:rFonts w:hint="eastAsia" w:cs="宋体"/>
          <w:i/>
          <w:iCs/>
          <w:szCs w:val="21"/>
        </w:rPr>
        <w:t>P</w:t>
      </w:r>
      <w:r>
        <w:rPr>
          <w:rFonts w:hint="eastAsia" w:cs="宋体"/>
          <w:szCs w:val="21"/>
        </w:rPr>
        <w:t>&lt;0.05), indicating that moderate replacement of FM with TMM promotes growth without adverse effects. For antioxidant capacity, hepatopancreas malondialdehyde content in the TMM45 group was significantly decreased, indicating reduced lipid peroxidation and oxidative stress. Concurrently, superoxide dismutase (SOD) and catalase (CAT) activities, as well as sod gene expression, were significantly upregulated (</w:t>
      </w:r>
      <w:r>
        <w:rPr>
          <w:rFonts w:hint="eastAsia" w:cs="宋体"/>
          <w:i/>
          <w:iCs/>
          <w:szCs w:val="21"/>
        </w:rPr>
        <w:t>P</w:t>
      </w:r>
      <w:r>
        <w:rPr>
          <w:rFonts w:hint="eastAsia" w:cs="宋体"/>
          <w:szCs w:val="21"/>
        </w:rPr>
        <w:t>&lt;0.05), demonstrating enhanced antioxidant defense. In terms of immune performance, phenoloxidase and lysozyme activities, along with their corresponding gene expression, were significantly elevated with increasing dietary TMM substitution levels. Furthermore, key genes involved in the Toll/IMD signaling pathway (</w:t>
      </w:r>
      <w:r>
        <w:rPr>
          <w:rFonts w:hint="eastAsia" w:cs="宋体"/>
          <w:i/>
          <w:iCs/>
          <w:szCs w:val="21"/>
        </w:rPr>
        <w:t>dor, rel</w:t>
      </w:r>
      <w:r>
        <w:rPr>
          <w:rFonts w:hint="eastAsia" w:cs="宋体"/>
          <w:szCs w:val="21"/>
        </w:rPr>
        <w:t>), the JAK-STAT signaling pathway (</w:t>
      </w:r>
      <w:r>
        <w:rPr>
          <w:rFonts w:hint="eastAsia" w:cs="宋体"/>
          <w:i/>
          <w:iCs/>
          <w:szCs w:val="21"/>
        </w:rPr>
        <w:t>stat, jun, fos</w:t>
      </w:r>
      <w:r>
        <w:rPr>
          <w:rFonts w:hint="eastAsia" w:cs="宋体"/>
          <w:szCs w:val="21"/>
        </w:rPr>
        <w:t>), and antimicrobial peptide genes (</w:t>
      </w:r>
      <w:r>
        <w:rPr>
          <w:rFonts w:hint="eastAsia" w:cs="宋体"/>
          <w:i/>
          <w:iCs/>
          <w:szCs w:val="21"/>
        </w:rPr>
        <w:t>cru, alf</w:t>
      </w:r>
      <w:r>
        <w:rPr>
          <w:rFonts w:hint="eastAsia" w:cs="宋体"/>
          <w:szCs w:val="21"/>
        </w:rPr>
        <w:t>) were significantly upregulated in treatment groups compared to the control group (</w:t>
      </w:r>
      <w:r>
        <w:rPr>
          <w:rFonts w:hint="eastAsia" w:cs="宋体"/>
          <w:i/>
          <w:iCs/>
          <w:szCs w:val="21"/>
        </w:rPr>
        <w:t>P</w:t>
      </w:r>
      <w:r>
        <w:rPr>
          <w:rFonts w:hint="eastAsia" w:cs="宋体"/>
          <w:szCs w:val="21"/>
        </w:rPr>
        <w:t>&lt;0.05), suggesting</w:t>
      </w:r>
    </w:p>
    <w:p w14:paraId="6358F430">
      <w:pPr>
        <w:rPr>
          <w:rFonts w:cs="宋体"/>
          <w:szCs w:val="21"/>
        </w:rPr>
      </w:pPr>
      <w:r>
        <w:rPr>
          <w:rFonts w:hint="eastAsia" w:cs="宋体"/>
          <w:szCs w:val="21"/>
        </w:rPr>
        <w:t>that TMM could activate innate immune responses through multiple signaling pathways. Regarding nutritional quality, no significant differences were observed in crude protein content of shrimp muscle among all treatment groups. However, the total content of flavor amino acids in the TMM45 group was significantly reduced compared to the TMM0 group (</w:t>
      </w:r>
      <w:r>
        <w:rPr>
          <w:rFonts w:hint="eastAsia" w:cs="宋体"/>
          <w:i/>
          <w:iCs/>
          <w:szCs w:val="21"/>
        </w:rPr>
        <w:t>P</w:t>
      </w:r>
      <w:r>
        <w:rPr>
          <w:rFonts w:hint="eastAsia" w:cs="宋体"/>
          <w:szCs w:val="21"/>
        </w:rPr>
        <w:t>&lt;0.05). Interestingly, although dietary EPA and DHA levels decreased with increasing TMM inclusion, the concentrations of EPA and DHA in shrimp muscle were significantly elevated by 18.59%and 19.82% in the TMM45 group (</w:t>
      </w:r>
      <w:r>
        <w:rPr>
          <w:rFonts w:hint="eastAsia" w:cs="宋体"/>
          <w:i/>
          <w:iCs/>
          <w:szCs w:val="21"/>
        </w:rPr>
        <w:t>P</w:t>
      </w:r>
      <w:r>
        <w:rPr>
          <w:rFonts w:hint="eastAsia" w:cs="宋体"/>
          <w:szCs w:val="21"/>
        </w:rPr>
        <w:t>&lt;0.05), suggesting a potential compensatory mechanism or selective retention of these long-chain polyunsaturated fatty acids. Additionally, crude lipid content in muscle increased significantly by 15.38% in the TMM45 group (</w:t>
      </w:r>
      <w:r>
        <w:rPr>
          <w:rFonts w:hint="eastAsia" w:cs="宋体"/>
          <w:i/>
          <w:iCs/>
          <w:szCs w:val="21"/>
        </w:rPr>
        <w:t>P</w:t>
      </w:r>
      <w:r>
        <w:rPr>
          <w:rFonts w:hint="eastAsia" w:cs="宋体"/>
          <w:szCs w:val="21"/>
        </w:rPr>
        <w:t xml:space="preserve">&lt;0.05).Based on the economic benefit analysis, compared with the control group, the TMM30 group reduced feed costs by 8.01%while increasing profit by 35.28%.In conclusion, under isonitrogenous and isolipidic conditions, the optimal dietary inclusion level of TMM as a FM replacement for </w:t>
      </w:r>
      <w:r>
        <w:rPr>
          <w:rFonts w:hint="eastAsia" w:cs="宋体"/>
          <w:i/>
          <w:iCs/>
          <w:szCs w:val="21"/>
        </w:rPr>
        <w:t>L.vannamei</w:t>
      </w:r>
      <w:r>
        <w:rPr>
          <w:rFonts w:hint="eastAsia" w:cs="宋体"/>
          <w:szCs w:val="21"/>
        </w:rPr>
        <w:t xml:space="preserve"> is 30%,which can not only reduce feed cost but also significantly promote shrimp growth performance, maintain muscle protein quality and the nutritional value of n-3 long-chain polyunsaturated fatty acids, and enhance antioxidant function and immune capacity through the activation of Toll/IMD and JAK-STAT signaling pathways. These findings provide theoretical support and practical guidance for the application of TMM in shrimp feed formulations, contributing to the sustainable development of aquaculture through reduced reliance on FM.</w:t>
      </w:r>
    </w:p>
    <w:p w14:paraId="669CBF62">
      <w:pPr>
        <w:rPr>
          <w:rFonts w:cs="宋体"/>
          <w:szCs w:val="21"/>
        </w:rPr>
      </w:pPr>
      <w:r>
        <w:rPr>
          <w:rFonts w:hint="eastAsia" w:cs="宋体"/>
          <w:b/>
          <w:bCs/>
          <w:szCs w:val="21"/>
        </w:rPr>
        <w:t>Key words:</w:t>
      </w:r>
      <w:r>
        <w:rPr>
          <w:rFonts w:hint="eastAsia" w:cs="宋体"/>
          <w:szCs w:val="21"/>
        </w:rPr>
        <w:t xml:space="preserve"> </w:t>
      </w:r>
      <w:r>
        <w:rPr>
          <w:rFonts w:hint="eastAsia" w:cs="宋体"/>
          <w:i/>
          <w:iCs/>
          <w:szCs w:val="21"/>
        </w:rPr>
        <w:t>Tenebrio molitor</w:t>
      </w:r>
      <w:r>
        <w:rPr>
          <w:rFonts w:hint="eastAsia" w:cs="宋体"/>
          <w:szCs w:val="21"/>
        </w:rPr>
        <w:t xml:space="preserve"> meal; Growth performance; Toll/IMD signaling pathway; JAK-STAT signaling pathway; Nutritional quality; </w:t>
      </w:r>
      <w:r>
        <w:rPr>
          <w:rFonts w:hint="eastAsia" w:cs="宋体"/>
          <w:i/>
          <w:iCs/>
          <w:szCs w:val="21"/>
        </w:rPr>
        <w:t>Litopenaeus vannamei</w:t>
      </w:r>
    </w:p>
    <w:p w14:paraId="26670CA9">
      <w:pPr>
        <w:spacing w:line="360" w:lineRule="auto"/>
        <w:ind w:firstLine="480" w:firstLineChars="200"/>
        <w:rPr>
          <w:rFonts w:cs="宋体"/>
          <w:sz w:val="24"/>
        </w:rPr>
      </w:pPr>
    </w:p>
    <w:p w14:paraId="5A5D851C">
      <w:pPr>
        <w:spacing w:line="360" w:lineRule="auto"/>
        <w:ind w:firstLine="480" w:firstLineChars="200"/>
        <w:rPr>
          <w:rFonts w:cs="宋体"/>
          <w:sz w:val="24"/>
        </w:rPr>
      </w:pPr>
      <w:r>
        <w:rPr>
          <w:rFonts w:hint="eastAsia" w:cs="宋体"/>
          <w:sz w:val="24"/>
        </w:rPr>
        <w:t>凡纳滨对虾（</w:t>
      </w:r>
      <w:r>
        <w:rPr>
          <w:rFonts w:hint="eastAsia" w:cs="宋体"/>
          <w:i/>
          <w:iCs/>
          <w:sz w:val="24"/>
        </w:rPr>
        <w:t>Litopenaeus vannamei</w:t>
      </w:r>
      <w:r>
        <w:rPr>
          <w:rFonts w:hint="eastAsia" w:cs="宋体"/>
          <w:sz w:val="24"/>
        </w:rPr>
        <w:t>）不仅是全球水产贸易中经济价值最高的虾类品种之一，也是我国和世界范围内产量最大的对虾养殖对象，可在淡水、咸淡水及海水多类型水体中繁养。据《2025中国渔业统计年鉴》，2024年全国凡纳滨对虾养殖产量达237.39万吨，较2023年增长6.05%，其中海水养殖产量153.38万吨，同比增幅7.27%，淡水养殖产量84.01万吨，同比增幅3.90%</w:t>
      </w:r>
      <w:r>
        <w:rPr>
          <w:rFonts w:hint="eastAsia" w:cs="宋体"/>
          <w:sz w:val="24"/>
          <w:vertAlign w:val="superscript"/>
        </w:rPr>
        <w:t>[1]</w:t>
      </w:r>
      <w:r>
        <w:rPr>
          <w:rFonts w:hint="eastAsia" w:cs="宋体"/>
          <w:sz w:val="24"/>
        </w:rPr>
        <w:t>。近20年来，水产养殖业快速发展，而全球鱼粉产量持续下滑，导致优质鱼粉资源供需失衡，成为制约行业可持续发展的“卡脖子”因素</w:t>
      </w:r>
      <w:r>
        <w:rPr>
          <w:rFonts w:hint="eastAsia" w:cs="宋体"/>
          <w:sz w:val="24"/>
          <w:vertAlign w:val="superscript"/>
        </w:rPr>
        <w:t>[2]</w:t>
      </w:r>
      <w:r>
        <w:rPr>
          <w:rFonts w:hint="eastAsia" w:cs="宋体"/>
          <w:sz w:val="24"/>
        </w:rPr>
        <w:t>。在集约化养殖模式中，配合饲料成本占比超过一半，鱼粉价格波动是决定饲料成本的关键变量，开发可持续的鱼粉替代蛋白源因而成为对虾产业亟待突破的核心科学议题。</w:t>
      </w:r>
    </w:p>
    <w:p w14:paraId="50C87B95">
      <w:pPr>
        <w:spacing w:line="360" w:lineRule="auto"/>
        <w:ind w:firstLine="480" w:firstLineChars="200"/>
        <w:rPr>
          <w:rFonts w:cs="宋体"/>
          <w:sz w:val="24"/>
        </w:rPr>
      </w:pPr>
      <w:r>
        <w:rPr>
          <w:rFonts w:hint="eastAsia" w:cs="宋体"/>
          <w:sz w:val="24"/>
        </w:rPr>
        <w:t>近年来，学界与产业界将替代鱼粉的研究聚焦于昆虫蛋白（黄粉虫、黑水虻）、植物浓缩蛋白（棉籽、大豆）及单细胞蛋白（小球藻、乙醇梭菌）等新兴蛋白源，相关研究已成为水产饲料领域的研究热点。Luthada-Raswiswi等</w:t>
      </w:r>
      <w:r>
        <w:rPr>
          <w:rFonts w:hint="eastAsia" w:cs="宋体"/>
          <w:sz w:val="24"/>
          <w:vertAlign w:val="superscript"/>
        </w:rPr>
        <w:t>[3]</w:t>
      </w:r>
      <w:r>
        <w:rPr>
          <w:rFonts w:hint="eastAsia" w:cs="宋体"/>
          <w:sz w:val="24"/>
        </w:rPr>
        <w:t>研究表明，昆虫粉、陆生动物副产品和渔业加工副产品等动物性蛋白替代适量鱼粉后，能促进水产动物的生长。值得注意的是，与其他类型蛋白源相比，由于昆虫与甲壳动物同属节肢动物门，其氨基酸组成与对虾的需求更为接近</w:t>
      </w:r>
      <w:r>
        <w:rPr>
          <w:rFonts w:hint="eastAsia" w:cs="宋体"/>
          <w:sz w:val="24"/>
          <w:vertAlign w:val="superscript"/>
        </w:rPr>
        <w:t>[4]</w:t>
      </w:r>
      <w:r>
        <w:rPr>
          <w:rFonts w:hint="eastAsia" w:cs="宋体"/>
          <w:sz w:val="24"/>
        </w:rPr>
        <w:t>，因此昆虫蛋白被认为是最具替代鱼粉潜力的动物蛋白源之一。黄粉虫粉（</w:t>
      </w:r>
      <w:r>
        <w:rPr>
          <w:rFonts w:hint="eastAsia" w:cs="宋体"/>
          <w:i/>
          <w:iCs/>
          <w:sz w:val="24"/>
        </w:rPr>
        <w:t>Tenebrio molitormeal</w:t>
      </w:r>
      <w:r>
        <w:rPr>
          <w:rFonts w:hint="eastAsia" w:cs="宋体"/>
          <w:sz w:val="24"/>
        </w:rPr>
        <w:t>，TMM）是由黄粉虫加工而成的饲料，黄粉虫是一种易于饲养和繁衍的昆虫，自2010年起，黄粉虫已在中国实现工厂化养殖</w:t>
      </w:r>
      <w:r>
        <w:rPr>
          <w:rFonts w:hint="eastAsia" w:cs="宋体"/>
          <w:sz w:val="24"/>
          <w:vertAlign w:val="superscript"/>
        </w:rPr>
        <w:t>[5]</w:t>
      </w:r>
      <w:r>
        <w:rPr>
          <w:rFonts w:hint="eastAsia" w:cs="宋体"/>
          <w:sz w:val="24"/>
        </w:rPr>
        <w:t>。同时，由于黄粉虫粉具有优质的营养成分（均衡氨基酸谱、44%—69%蛋白含量、23%—47%脂肪含量，富含无机盐、维生素和多种功能性活性成分），已成为水产饲料研究的热点</w:t>
      </w:r>
      <w:r>
        <w:rPr>
          <w:rFonts w:hint="eastAsia" w:cs="宋体"/>
          <w:sz w:val="24"/>
          <w:vertAlign w:val="superscript"/>
        </w:rPr>
        <w:t>[6]</w:t>
      </w:r>
      <w:r>
        <w:rPr>
          <w:rFonts w:hint="eastAsia" w:cs="宋体"/>
          <w:sz w:val="24"/>
        </w:rPr>
        <w:t>。在珍珠龙胆石斑鱼（</w:t>
      </w:r>
      <w:r>
        <w:rPr>
          <w:rFonts w:hint="eastAsia" w:cs="宋体"/>
          <w:i/>
          <w:iCs/>
          <w:sz w:val="24"/>
        </w:rPr>
        <w:t>Epinephelus lanceolatus</w:t>
      </w:r>
      <w:r>
        <w:rPr>
          <w:sz w:val="24"/>
        </w:rPr>
        <w:t>♂</w:t>
      </w:r>
      <w:r>
        <w:rPr>
          <w:rFonts w:hint="eastAsia" w:cs="宋体"/>
          <w:sz w:val="24"/>
        </w:rPr>
        <w:t>×</w:t>
      </w:r>
      <w:r>
        <w:rPr>
          <w:rFonts w:hint="eastAsia" w:cs="宋体"/>
          <w:i/>
          <w:iCs/>
          <w:sz w:val="24"/>
        </w:rPr>
        <w:t>Epinephelus fuscoguttatus</w:t>
      </w:r>
      <w:r>
        <w:rPr>
          <w:sz w:val="24"/>
        </w:rPr>
        <w:t>♀</w:t>
      </w:r>
      <w:r>
        <w:rPr>
          <w:rFonts w:hint="eastAsia" w:cs="宋体"/>
          <w:sz w:val="24"/>
        </w:rPr>
        <w:t>）、大菱鲆（</w:t>
      </w:r>
      <w:r>
        <w:rPr>
          <w:rFonts w:hint="eastAsia" w:cs="宋体"/>
          <w:i/>
          <w:iCs/>
          <w:sz w:val="24"/>
        </w:rPr>
        <w:t>Scophthalmus maximus</w:t>
      </w:r>
      <w:r>
        <w:rPr>
          <w:rFonts w:hint="eastAsia" w:cs="宋体"/>
          <w:sz w:val="24"/>
        </w:rPr>
        <w:t>）、金头鲷（</w:t>
      </w:r>
      <w:r>
        <w:rPr>
          <w:rFonts w:hint="eastAsia" w:cs="宋体"/>
          <w:i/>
          <w:iCs/>
          <w:sz w:val="24"/>
        </w:rPr>
        <w:t>Sparus aurata</w:t>
      </w:r>
      <w:r>
        <w:rPr>
          <w:rFonts w:hint="eastAsia" w:cs="宋体"/>
          <w:sz w:val="24"/>
        </w:rPr>
        <w:t>）、黄颡鱼（</w:t>
      </w:r>
      <w:r>
        <w:rPr>
          <w:rFonts w:hint="eastAsia" w:cs="宋体"/>
          <w:i/>
          <w:iCs/>
          <w:sz w:val="24"/>
        </w:rPr>
        <w:t>Pelteobagrus fulvidraco</w:t>
      </w:r>
      <w:r>
        <w:rPr>
          <w:rFonts w:hint="eastAsia" w:cs="宋体"/>
          <w:sz w:val="24"/>
        </w:rPr>
        <w:t>）、刺参（</w:t>
      </w:r>
      <w:r>
        <w:rPr>
          <w:rFonts w:hint="eastAsia" w:cs="宋体"/>
          <w:i/>
          <w:iCs/>
          <w:sz w:val="24"/>
        </w:rPr>
        <w:t>Apostichopus japonicus</w:t>
      </w:r>
      <w:r>
        <w:rPr>
          <w:rFonts w:hint="eastAsia" w:cs="宋体"/>
          <w:sz w:val="24"/>
        </w:rPr>
        <w:t>）和凡纳滨对虾等</w:t>
      </w:r>
      <w:r>
        <w:rPr>
          <w:rFonts w:hint="eastAsia" w:cs="宋体"/>
          <w:sz w:val="24"/>
          <w:vertAlign w:val="superscript"/>
        </w:rPr>
        <w:t>[</w:t>
      </w:r>
      <w:r>
        <w:rPr>
          <w:sz w:val="24"/>
          <w:vertAlign w:val="superscript"/>
        </w:rPr>
        <w:t>7—12</w:t>
      </w:r>
      <w:r>
        <w:rPr>
          <w:rFonts w:hint="eastAsia" w:cs="宋体"/>
          <w:sz w:val="24"/>
          <w:vertAlign w:val="superscript"/>
        </w:rPr>
        <w:t>]</w:t>
      </w:r>
      <w:r>
        <w:rPr>
          <w:rFonts w:hint="eastAsia" w:cs="宋体"/>
          <w:sz w:val="24"/>
        </w:rPr>
        <w:t>物种中的试验表明，以黄粉虫粉部分替代鱼粉可显著提升生长性能、降低饲料系数并增强免疫性能。黄粉虫粉富含几丁质、内源性抗菌肽等免疫活性物质，其对对虾先天免疫系统的调控效应尚不明确。凡纳滨对虾缺乏适应性免疫，其免疫防御完全依赖先天免疫系统，其中Toll/IMD和JAK-STAT是调控抗菌肽表达、酚氧化酶激活及抗病毒应答的核心信号通路</w:t>
      </w:r>
      <w:r>
        <w:rPr>
          <w:rFonts w:hint="eastAsia" w:cs="宋体"/>
          <w:sz w:val="24"/>
          <w:vertAlign w:val="superscript"/>
        </w:rPr>
        <w:t>[13]</w:t>
      </w:r>
      <w:r>
        <w:rPr>
          <w:rFonts w:hint="eastAsia" w:cs="宋体"/>
          <w:sz w:val="24"/>
        </w:rPr>
        <w:t>。几丁质作为典型的病原相关分子模式（Pathogenassociated molecular patterns，PAMPs），可被对虾模式识别受体识别并激活Toll通路级联反应，对虾几丁质酶在免疫应答中受c-Jun调控，与JAK-STAT通路下游基因表达密切相关</w:t>
      </w:r>
      <w:r>
        <w:rPr>
          <w:rFonts w:hint="eastAsia" w:cs="宋体"/>
          <w:sz w:val="24"/>
          <w:vertAlign w:val="superscript"/>
        </w:rPr>
        <w:t>[14]</w:t>
      </w:r>
      <w:r>
        <w:rPr>
          <w:rFonts w:hint="eastAsia" w:cs="宋体"/>
          <w:sz w:val="24"/>
        </w:rPr>
        <w:t>。已有研究证实，黑水虻粉替代鱼粉可显著上调凡纳滨对虾Toll和IMD通路关键基因（</w:t>
      </w:r>
      <w:r>
        <w:rPr>
          <w:rFonts w:hint="eastAsia" w:cs="宋体"/>
          <w:i/>
          <w:iCs/>
          <w:sz w:val="24"/>
        </w:rPr>
        <w:t>traf</w:t>
      </w:r>
      <w:r>
        <w:rPr>
          <w:rFonts w:hint="eastAsia" w:cs="宋体"/>
          <w:sz w:val="24"/>
        </w:rPr>
        <w:t>6、</w:t>
      </w:r>
      <w:r>
        <w:rPr>
          <w:rFonts w:hint="eastAsia" w:cs="宋体"/>
          <w:i/>
          <w:iCs/>
          <w:sz w:val="24"/>
        </w:rPr>
        <w:t>dorsal</w:t>
      </w:r>
      <w:r>
        <w:rPr>
          <w:rFonts w:hint="eastAsia" w:cs="宋体"/>
          <w:sz w:val="24"/>
        </w:rPr>
        <w:t>、</w:t>
      </w:r>
      <w:r>
        <w:rPr>
          <w:rFonts w:hint="eastAsia" w:cs="宋体"/>
          <w:i/>
          <w:iCs/>
          <w:sz w:val="24"/>
        </w:rPr>
        <w:t>relish</w:t>
      </w:r>
      <w:r>
        <w:rPr>
          <w:rFonts w:hint="eastAsia" w:cs="宋体"/>
          <w:sz w:val="24"/>
        </w:rPr>
        <w:t>）的表达</w:t>
      </w:r>
      <w:r>
        <w:rPr>
          <w:rFonts w:hint="eastAsia" w:cs="宋体"/>
          <w:sz w:val="24"/>
          <w:vertAlign w:val="superscript"/>
        </w:rPr>
        <w:t>[15]</w:t>
      </w:r>
      <w:r>
        <w:rPr>
          <w:rFonts w:hint="eastAsia" w:cs="宋体"/>
          <w:sz w:val="24"/>
        </w:rPr>
        <w:t>，表明昆虫源蛋白中的生物活性组分能够激活对虾免疫信号级联。然而，黄粉虫粉替代鱼粉对凡纳滨对虾Toll/IMD和JAK-STAT通路的影响尚未见系统报道。另一方面，黄粉虫粉替代鱼粉饲料不仅提高大菱鲆的蛋白质和脂肪沉积</w:t>
      </w:r>
      <w:r>
        <w:rPr>
          <w:rFonts w:hint="eastAsia" w:cs="宋体"/>
          <w:sz w:val="24"/>
          <w:vertAlign w:val="superscript"/>
        </w:rPr>
        <w:t>[7]</w:t>
      </w:r>
      <w:r>
        <w:rPr>
          <w:rFonts w:hint="eastAsia" w:cs="宋体"/>
          <w:sz w:val="24"/>
        </w:rPr>
        <w:t>，还能促使虹鳟肌肉中多不饱和脂肪酸含量增加</w:t>
      </w:r>
      <w:r>
        <w:rPr>
          <w:rFonts w:hint="eastAsia" w:cs="宋体"/>
          <w:sz w:val="24"/>
          <w:vertAlign w:val="superscript"/>
        </w:rPr>
        <w:t>[16]</w:t>
      </w:r>
      <w:r>
        <w:rPr>
          <w:rFonts w:hint="eastAsia" w:cs="宋体"/>
          <w:sz w:val="24"/>
        </w:rPr>
        <w:t>。在凡纳滨对虾中，黄粉虫粉替代水平与肌肉总脂肪酸含量呈显著正相关，替代比例越高，肌肉脂质积累越明显</w:t>
      </w:r>
      <w:r>
        <w:rPr>
          <w:rFonts w:hint="eastAsia" w:cs="宋体"/>
          <w:sz w:val="24"/>
          <w:vertAlign w:val="superscript"/>
        </w:rPr>
        <w:t>[11]</w:t>
      </w:r>
      <w:r>
        <w:rPr>
          <w:rFonts w:hint="eastAsia" w:cs="宋体"/>
          <w:sz w:val="24"/>
        </w:rPr>
        <w:t>。然而，黄粉虫粉对对虾饲料及肌肉氨基酸谱、脂肪酸谱影响的系统性研究仍相对匮乏，其营养效应与作用机制亟待深入解析。本研究以凡纳滨对虾为研究对象，探究黄粉虫粉替代鱼粉对凡纳滨对虾生长性能、免疫性能及饲料和肌肉氨基酸谱和脂肪酸谱的变化，以期为黄粉虫粉在对虾配合饲料中的精准应用提供理论依据。</w:t>
      </w:r>
    </w:p>
    <w:p w14:paraId="3639D8FF">
      <w:pPr>
        <w:spacing w:line="360" w:lineRule="auto"/>
        <w:rPr>
          <w:rFonts w:cs="宋体"/>
          <w:sz w:val="24"/>
        </w:rPr>
      </w:pPr>
      <w:r>
        <w:rPr>
          <w:rFonts w:hint="eastAsia" w:cs="宋体"/>
          <w:sz w:val="24"/>
        </w:rPr>
        <w:t>1材料与方法</w:t>
      </w:r>
    </w:p>
    <w:p w14:paraId="64468E9E">
      <w:pPr>
        <w:spacing w:line="360" w:lineRule="auto"/>
        <w:rPr>
          <w:rFonts w:cs="宋体"/>
          <w:sz w:val="24"/>
        </w:rPr>
      </w:pPr>
      <w:r>
        <w:rPr>
          <w:rFonts w:hint="eastAsia" w:cs="宋体"/>
          <w:sz w:val="24"/>
        </w:rPr>
        <w:t>1.1实验饲料</w:t>
      </w:r>
    </w:p>
    <w:p w14:paraId="01DA3764">
      <w:pPr>
        <w:spacing w:line="360" w:lineRule="auto"/>
        <w:ind w:firstLine="480" w:firstLineChars="200"/>
        <w:rPr>
          <w:rFonts w:cs="宋体"/>
          <w:szCs w:val="21"/>
        </w:rPr>
      </w:pPr>
      <w:r>
        <w:rPr>
          <w:rFonts w:hint="eastAsia" w:cs="宋体"/>
          <w:sz w:val="24"/>
        </w:rPr>
        <w:t>黄粉虫粉由广东泽和诚生物科技有限公司提供,其主要营养成分见表1。本实验以鱼粉、豆粕、花生粕和黄粉虫粉为主要蛋白源，大豆卵磷脂、豆油和鱼油为主要脂肪源，设计等氮等脂的4组实验饲料与之前的研究一致（表2）</w:t>
      </w:r>
      <w:r>
        <w:rPr>
          <w:rFonts w:hint="eastAsia" w:cs="宋体"/>
          <w:sz w:val="24"/>
          <w:vertAlign w:val="superscript"/>
        </w:rPr>
        <w:t>[17]</w:t>
      </w:r>
      <w:r>
        <w:rPr>
          <w:rFonts w:hint="eastAsia" w:cs="宋体"/>
          <w:sz w:val="24"/>
        </w:rPr>
        <w:t>。对照组（TMM0组）含25%鱼粉，不含黄粉虫粉，而其余3组分别以黄粉虫粉等蛋白替代15%、30%和45%鱼粉（TMM15组、TMM30组、TMM45组）。实验饲料的氨基酸组成及脂肪酸组成分别见表3和表4。所有饲料原料粉碎后过80目筛，按配方称量，采用逐级扩大法预混，V型混合机处理12min，再加入鱼油、豆油及大豆卵磷脂，手工打散油块并二次过筛。再利用搅拌机（恒联食品机械厂，广州）边加水边混匀，经F-26双螺杆挤条机（华南理工大学，广州）挤出直径1.0与1.5mm颗粒（比例约1﹕2），在空调房内自然晾干，装入封口袋，于-20</w:t>
      </w:r>
      <w:r>
        <w:rPr>
          <w:sz w:val="24"/>
        </w:rPr>
        <w:t>℃</w:t>
      </w:r>
      <w:r>
        <w:rPr>
          <w:rFonts w:hint="eastAsia" w:cs="宋体"/>
          <w:sz w:val="24"/>
        </w:rPr>
        <w:t>保存备用。</w:t>
      </w:r>
    </w:p>
    <w:p w14:paraId="2B8BB1B3">
      <w:pPr>
        <w:spacing w:line="360" w:lineRule="auto"/>
        <w:jc w:val="center"/>
      </w:pPr>
      <w:r>
        <w:drawing>
          <wp:inline distT="0" distB="0" distL="114300" distR="114300">
            <wp:extent cx="5269865" cy="2300605"/>
            <wp:effectExtent l="0" t="0" r="63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9865" cy="2300605"/>
                    </a:xfrm>
                    <a:prstGeom prst="rect">
                      <a:avLst/>
                    </a:prstGeom>
                    <a:noFill/>
                    <a:ln>
                      <a:noFill/>
                    </a:ln>
                  </pic:spPr>
                </pic:pic>
              </a:graphicData>
            </a:graphic>
          </wp:inline>
        </w:drawing>
      </w:r>
    </w:p>
    <w:p w14:paraId="292CE69D">
      <w:pPr>
        <w:spacing w:line="360" w:lineRule="auto"/>
        <w:jc w:val="center"/>
      </w:pPr>
      <w:r>
        <w:drawing>
          <wp:inline distT="0" distB="0" distL="114300" distR="114300">
            <wp:extent cx="3981450" cy="4643120"/>
            <wp:effectExtent l="0" t="0" r="0" b="5080"/>
            <wp:docPr id="1896756679" name="图片 189675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56679" name="图片 1896756679"/>
                    <pic:cNvPicPr>
                      <a:picLocks noChangeAspect="1"/>
                    </pic:cNvPicPr>
                  </pic:nvPicPr>
                  <pic:blipFill>
                    <a:blip r:embed="rId24"/>
                    <a:srcRect t="511"/>
                    <a:stretch>
                      <a:fillRect/>
                    </a:stretch>
                  </pic:blipFill>
                  <pic:spPr>
                    <a:xfrm>
                      <a:off x="0" y="0"/>
                      <a:ext cx="3981450" cy="4643397"/>
                    </a:xfrm>
                    <a:prstGeom prst="rect">
                      <a:avLst/>
                    </a:prstGeom>
                    <a:noFill/>
                    <a:ln>
                      <a:noFill/>
                    </a:ln>
                  </pic:spPr>
                </pic:pic>
              </a:graphicData>
            </a:graphic>
          </wp:inline>
        </w:drawing>
      </w:r>
    </w:p>
    <w:p w14:paraId="3A97E390">
      <w:pPr>
        <w:spacing w:line="360" w:lineRule="auto"/>
        <w:jc w:val="center"/>
      </w:pPr>
      <w:r>
        <w:drawing>
          <wp:inline distT="0" distB="0" distL="114300" distR="114300">
            <wp:extent cx="3924935" cy="3882390"/>
            <wp:effectExtent l="0" t="0" r="12065" b="3810"/>
            <wp:docPr id="403661166" name="图片 40366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1166" name="图片 403661166"/>
                    <pic:cNvPicPr>
                      <a:picLocks noChangeAspect="1"/>
                    </pic:cNvPicPr>
                  </pic:nvPicPr>
                  <pic:blipFill>
                    <a:blip r:embed="rId25"/>
                    <a:stretch>
                      <a:fillRect/>
                    </a:stretch>
                  </pic:blipFill>
                  <pic:spPr>
                    <a:xfrm>
                      <a:off x="0" y="0"/>
                      <a:ext cx="3924935" cy="3882390"/>
                    </a:xfrm>
                    <a:prstGeom prst="rect">
                      <a:avLst/>
                    </a:prstGeom>
                    <a:noFill/>
                    <a:ln>
                      <a:noFill/>
                    </a:ln>
                  </pic:spPr>
                </pic:pic>
              </a:graphicData>
            </a:graphic>
          </wp:inline>
        </w:drawing>
      </w:r>
    </w:p>
    <w:p w14:paraId="7001CC93">
      <w:pPr>
        <w:spacing w:line="360" w:lineRule="auto"/>
        <w:jc w:val="center"/>
      </w:pPr>
      <w:r>
        <w:drawing>
          <wp:inline distT="0" distB="0" distL="114300" distR="114300">
            <wp:extent cx="3949700" cy="37909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3949700" cy="3790950"/>
                    </a:xfrm>
                    <a:prstGeom prst="rect">
                      <a:avLst/>
                    </a:prstGeom>
                    <a:noFill/>
                    <a:ln>
                      <a:noFill/>
                    </a:ln>
                  </pic:spPr>
                </pic:pic>
              </a:graphicData>
            </a:graphic>
          </wp:inline>
        </w:drawing>
      </w:r>
    </w:p>
    <w:p w14:paraId="10120543">
      <w:pPr>
        <w:spacing w:line="360" w:lineRule="auto"/>
        <w:jc w:val="center"/>
      </w:pPr>
      <w:r>
        <w:drawing>
          <wp:inline distT="0" distB="0" distL="114300" distR="114300">
            <wp:extent cx="3854450" cy="43624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3854450" cy="4362450"/>
                    </a:xfrm>
                    <a:prstGeom prst="rect">
                      <a:avLst/>
                    </a:prstGeom>
                    <a:noFill/>
                    <a:ln>
                      <a:noFill/>
                    </a:ln>
                  </pic:spPr>
                </pic:pic>
              </a:graphicData>
            </a:graphic>
          </wp:inline>
        </w:drawing>
      </w:r>
    </w:p>
    <w:p w14:paraId="1E609782">
      <w:pPr>
        <w:spacing w:line="360" w:lineRule="auto"/>
        <w:jc w:val="center"/>
      </w:pPr>
      <w:r>
        <w:drawing>
          <wp:inline distT="0" distB="0" distL="114300" distR="114300">
            <wp:extent cx="5271135" cy="3246755"/>
            <wp:effectExtent l="0" t="0" r="1206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271135" cy="3246755"/>
                    </a:xfrm>
                    <a:prstGeom prst="rect">
                      <a:avLst/>
                    </a:prstGeom>
                    <a:noFill/>
                    <a:ln>
                      <a:noFill/>
                    </a:ln>
                  </pic:spPr>
                </pic:pic>
              </a:graphicData>
            </a:graphic>
          </wp:inline>
        </w:drawing>
      </w:r>
      <w:r>
        <w:drawing>
          <wp:inline distT="0" distB="0" distL="114300" distR="114300">
            <wp:extent cx="5177155" cy="322580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177155" cy="3225800"/>
                    </a:xfrm>
                    <a:prstGeom prst="rect">
                      <a:avLst/>
                    </a:prstGeom>
                    <a:noFill/>
                    <a:ln>
                      <a:noFill/>
                    </a:ln>
                  </pic:spPr>
                </pic:pic>
              </a:graphicData>
            </a:graphic>
          </wp:inline>
        </w:drawing>
      </w:r>
    </w:p>
    <w:p w14:paraId="7AA12A98">
      <w:pPr>
        <w:spacing w:line="360" w:lineRule="auto"/>
        <w:rPr>
          <w:rFonts w:cs="宋体"/>
          <w:sz w:val="24"/>
        </w:rPr>
      </w:pPr>
      <w:r>
        <w:rPr>
          <w:rFonts w:hint="eastAsia" w:cs="宋体"/>
          <w:sz w:val="24"/>
        </w:rPr>
        <w:t>1.2实验设计与饲养管理</w:t>
      </w:r>
    </w:p>
    <w:p w14:paraId="13EBF74B">
      <w:pPr>
        <w:spacing w:line="360" w:lineRule="auto"/>
        <w:ind w:firstLine="480" w:firstLineChars="200"/>
        <w:rPr>
          <w:rFonts w:cs="宋体"/>
          <w:sz w:val="24"/>
        </w:rPr>
      </w:pPr>
      <w:r>
        <w:rPr>
          <w:rFonts w:hint="eastAsia" w:cs="宋体"/>
          <w:sz w:val="24"/>
        </w:rPr>
        <w:t>本研究获得广东海洋大学实验动物管理和使用伦理委员会批准（审批号：GDOU-IACUC-2023-A3321），实验人员全程严格遵守相应伦理规范，各项实验工作开展均恪守该委员会制定的规章制度。养殖实验于广东湛江粤海饲料有限公司海水养殖基地开展，选取平均初始体质量为（0.42±0.01）g的凡纳滨对虾幼虾，经7d暂养驯化后，按完全随机设计分配至12个300L的玻璃钢实验桶，每桶40尾，每组设3个平行重复。实验周期8周，各处理组每日07:00、11:00、17:00、21:00定时表观饱食投喂对应饲料，投喂30min后记录残饵量并据此调整次日投喂量。每日通过流水方式更换约80%养殖水体,以排除残饵和粪便、降低氨氮和亚硝酸盐浓度、维持良好的水质条件。在实验过程中，水质参数严格控制在适宜范围,水温维持在27—32</w:t>
      </w:r>
      <w:r>
        <w:rPr>
          <w:sz w:val="24"/>
        </w:rPr>
        <w:t>℃</w:t>
      </w:r>
      <w:r>
        <w:rPr>
          <w:rFonts w:hint="eastAsia" w:cs="宋体"/>
          <w:sz w:val="24"/>
        </w:rPr>
        <w:t>，氨氮浓度控制在≤0.05 mg/L，盐度保持在27—30‰，溶解氧浓度维持在&gt;6.0 mg/L，pH控制在7.7—8.0。</w:t>
      </w:r>
    </w:p>
    <w:p w14:paraId="5E7AA547">
      <w:pPr>
        <w:spacing w:line="360" w:lineRule="auto"/>
        <w:rPr>
          <w:rFonts w:cs="宋体"/>
          <w:sz w:val="24"/>
        </w:rPr>
      </w:pPr>
      <w:r>
        <w:rPr>
          <w:rFonts w:hint="eastAsia" w:cs="宋体"/>
          <w:sz w:val="24"/>
        </w:rPr>
        <w:t>1.3样品收集</w:t>
      </w:r>
    </w:p>
    <w:p w14:paraId="22237501">
      <w:pPr>
        <w:spacing w:line="360" w:lineRule="auto"/>
        <w:ind w:firstLine="480" w:firstLineChars="200"/>
        <w:rPr>
          <w:rFonts w:cs="宋体"/>
          <w:sz w:val="24"/>
        </w:rPr>
      </w:pPr>
      <w:r>
        <w:rPr>
          <w:rFonts w:hint="eastAsia" w:cs="宋体"/>
          <w:sz w:val="24"/>
        </w:rPr>
        <w:t>在8周养殖实验结束后，禁食24h，每组共有3个重复（即3个养殖桶），每桶随机取6尾对虾，分别采集肌肉和肝胰腺组织，来源于每3尾的相同组织等量混合为一个样品，每组共有6个混合样品，分装于1.5 mL离心管中，液氮速冻后转移至-80</w:t>
      </w:r>
      <w:r>
        <w:rPr>
          <w:sz w:val="24"/>
        </w:rPr>
        <w:t>℃</w:t>
      </w:r>
      <w:r>
        <w:rPr>
          <w:rFonts w:hint="eastAsia" w:cs="宋体"/>
          <w:sz w:val="24"/>
        </w:rPr>
        <w:t>冰箱保存，用于后续酶活、营养成分、氨基酸与脂肪酸沉积及基因表达分析。</w:t>
      </w:r>
    </w:p>
    <w:p w14:paraId="454C6388">
      <w:pPr>
        <w:spacing w:line="360" w:lineRule="auto"/>
        <w:rPr>
          <w:rFonts w:cs="宋体"/>
          <w:sz w:val="24"/>
        </w:rPr>
      </w:pPr>
      <w:r>
        <w:rPr>
          <w:rFonts w:hint="eastAsia" w:cs="宋体"/>
          <w:sz w:val="24"/>
        </w:rPr>
        <w:t>1.4生长指标和饲料成本计算公式</w:t>
      </w:r>
    </w:p>
    <w:p w14:paraId="1E932CC7">
      <w:pPr>
        <w:spacing w:line="360" w:lineRule="auto"/>
        <w:ind w:firstLine="480" w:firstLineChars="200"/>
        <w:jc w:val="center"/>
        <w:rPr>
          <w:rFonts w:cs="宋体"/>
          <w:sz w:val="24"/>
        </w:rPr>
      </w:pPr>
      <w:r>
        <w:rPr>
          <w:rFonts w:hint="eastAsia" w:cs="宋体"/>
          <w:sz w:val="24"/>
        </w:rPr>
        <w:t>增重率</w:t>
      </w:r>
      <w:r>
        <w:rPr>
          <w:rFonts w:cs="宋体"/>
          <w:sz w:val="24"/>
        </w:rPr>
        <w:t>(</w:t>
      </w:r>
      <w:r>
        <w:rPr>
          <w:rFonts w:hint="eastAsia" w:cs="宋体"/>
          <w:sz w:val="24"/>
        </w:rPr>
        <w:t>Weight gain rate, WGR, %</w:t>
      </w:r>
      <w:r>
        <w:rPr>
          <w:rFonts w:cs="宋体"/>
          <w:sz w:val="24"/>
        </w:rPr>
        <w:t>)</w:t>
      </w:r>
      <w:r>
        <w:rPr>
          <w:rFonts w:hint="eastAsia" w:cs="宋体"/>
          <w:sz w:val="24"/>
        </w:rPr>
        <w:t>=</w:t>
      </w:r>
      <w:r>
        <w:rPr>
          <w:rFonts w:cs="宋体"/>
          <w:sz w:val="24"/>
        </w:rPr>
        <w:t>(</w:t>
      </w:r>
      <w:r>
        <w:rPr>
          <w:rFonts w:hint="eastAsia" w:cs="宋体"/>
          <w:sz w:val="24"/>
        </w:rPr>
        <w:t>终末体重-初始体重</w:t>
      </w:r>
      <w:r>
        <w:rPr>
          <w:rFonts w:cs="宋体"/>
          <w:sz w:val="24"/>
        </w:rPr>
        <w:t>)</w:t>
      </w:r>
      <w:r>
        <w:rPr>
          <w:rFonts w:hint="eastAsia" w:cs="宋体"/>
          <w:sz w:val="24"/>
        </w:rPr>
        <w:t>/初始体重×100</w:t>
      </w:r>
    </w:p>
    <w:p w14:paraId="0F299601">
      <w:pPr>
        <w:spacing w:line="360" w:lineRule="auto"/>
        <w:ind w:firstLine="480" w:firstLineChars="200"/>
        <w:jc w:val="center"/>
        <w:rPr>
          <w:rFonts w:cs="宋体"/>
          <w:sz w:val="24"/>
        </w:rPr>
      </w:pPr>
      <w:r>
        <w:rPr>
          <w:rFonts w:hint="eastAsia" w:cs="宋体"/>
          <w:sz w:val="24"/>
        </w:rPr>
        <w:t>特定生长率</w:t>
      </w:r>
      <w:r>
        <w:rPr>
          <w:rFonts w:cs="宋体"/>
          <w:sz w:val="24"/>
        </w:rPr>
        <w:t>(</w:t>
      </w:r>
      <w:r>
        <w:rPr>
          <w:rFonts w:hint="eastAsia" w:cs="宋体"/>
          <w:sz w:val="24"/>
        </w:rPr>
        <w:t>Specific growth rate, SGR, %/d</w:t>
      </w:r>
      <w:r>
        <w:rPr>
          <w:rFonts w:cs="宋体"/>
          <w:sz w:val="24"/>
        </w:rPr>
        <w:t>)</w:t>
      </w:r>
      <w:r>
        <w:rPr>
          <w:rFonts w:hint="eastAsia" w:cs="宋体"/>
          <w:sz w:val="24"/>
        </w:rPr>
        <w:t>=[ln</w:t>
      </w:r>
      <w:r>
        <w:rPr>
          <w:rFonts w:cs="宋体"/>
          <w:sz w:val="24"/>
        </w:rPr>
        <w:t>(</w:t>
      </w:r>
      <w:r>
        <w:rPr>
          <w:rFonts w:hint="eastAsia" w:cs="宋体"/>
          <w:sz w:val="24"/>
        </w:rPr>
        <w:t>终末体重</w:t>
      </w:r>
      <w:r>
        <w:rPr>
          <w:rFonts w:cs="宋体"/>
          <w:sz w:val="24"/>
        </w:rPr>
        <w:t>)</w:t>
      </w:r>
      <w:r>
        <w:rPr>
          <w:rFonts w:hint="eastAsia" w:cs="宋体"/>
          <w:sz w:val="24"/>
        </w:rPr>
        <w:t>-ln</w:t>
      </w:r>
      <w:r>
        <w:rPr>
          <w:rFonts w:cs="宋体"/>
          <w:sz w:val="24"/>
        </w:rPr>
        <w:t>(</w:t>
      </w:r>
      <w:r>
        <w:rPr>
          <w:rFonts w:hint="eastAsia" w:cs="宋体"/>
          <w:sz w:val="24"/>
        </w:rPr>
        <w:t>初始体重</w:t>
      </w:r>
      <w:r>
        <w:rPr>
          <w:rFonts w:cs="宋体"/>
          <w:sz w:val="24"/>
        </w:rPr>
        <w:t>)</w:t>
      </w:r>
      <w:r>
        <w:rPr>
          <w:rFonts w:hint="eastAsia" w:cs="宋体"/>
          <w:sz w:val="24"/>
        </w:rPr>
        <w:t>]/实验天数×100</w:t>
      </w:r>
    </w:p>
    <w:p w14:paraId="496C5152">
      <w:pPr>
        <w:spacing w:line="360" w:lineRule="auto"/>
        <w:ind w:firstLine="480" w:firstLineChars="200"/>
        <w:jc w:val="center"/>
        <w:rPr>
          <w:rFonts w:cs="宋体"/>
          <w:sz w:val="24"/>
        </w:rPr>
      </w:pPr>
      <w:r>
        <w:rPr>
          <w:rFonts w:hint="eastAsia" w:cs="宋体"/>
          <w:sz w:val="24"/>
        </w:rPr>
        <w:t>饲料系数</w:t>
      </w:r>
      <w:r>
        <w:rPr>
          <w:rFonts w:cs="宋体"/>
          <w:sz w:val="24"/>
        </w:rPr>
        <w:t>(</w:t>
      </w:r>
      <w:r>
        <w:rPr>
          <w:rFonts w:hint="eastAsia" w:cs="宋体"/>
          <w:sz w:val="24"/>
        </w:rPr>
        <w:t>Feed conversion ratio, FCR</w:t>
      </w:r>
      <w:r>
        <w:rPr>
          <w:rFonts w:cs="宋体"/>
          <w:sz w:val="24"/>
        </w:rPr>
        <w:t>)</w:t>
      </w:r>
      <w:r>
        <w:rPr>
          <w:rFonts w:hint="eastAsia" w:cs="宋体"/>
          <w:sz w:val="24"/>
        </w:rPr>
        <w:t>=投喂饲料重量/</w:t>
      </w:r>
      <w:r>
        <w:rPr>
          <w:rFonts w:cs="宋体"/>
          <w:sz w:val="24"/>
        </w:rPr>
        <w:t>(</w:t>
      </w:r>
      <w:r>
        <w:rPr>
          <w:rFonts w:hint="eastAsia" w:cs="宋体"/>
          <w:sz w:val="24"/>
        </w:rPr>
        <w:t>终末体重-初始体重</w:t>
      </w:r>
      <w:r>
        <w:rPr>
          <w:rFonts w:cs="宋体"/>
          <w:sz w:val="24"/>
        </w:rPr>
        <w:t>)</w:t>
      </w:r>
    </w:p>
    <w:p w14:paraId="5B789007">
      <w:pPr>
        <w:spacing w:line="360" w:lineRule="auto"/>
        <w:ind w:firstLine="480" w:firstLineChars="200"/>
        <w:jc w:val="center"/>
        <w:rPr>
          <w:rFonts w:cs="宋体"/>
          <w:sz w:val="24"/>
        </w:rPr>
      </w:pPr>
      <w:r>
        <w:rPr>
          <w:rFonts w:hint="eastAsia" w:cs="宋体"/>
          <w:sz w:val="24"/>
        </w:rPr>
        <w:t>饲料成本</w:t>
      </w:r>
      <w:r>
        <w:rPr>
          <w:rFonts w:cs="宋体"/>
          <w:sz w:val="24"/>
        </w:rPr>
        <w:t>(</w:t>
      </w:r>
      <w:r>
        <w:rPr>
          <w:rFonts w:hint="eastAsia" w:cs="宋体"/>
          <w:sz w:val="24"/>
        </w:rPr>
        <w:t>Feed cost</w:t>
      </w:r>
      <w:r>
        <w:rPr>
          <w:rFonts w:cs="宋体"/>
          <w:sz w:val="24"/>
        </w:rPr>
        <w:t>)</w:t>
      </w:r>
      <w:r>
        <w:rPr>
          <w:rFonts w:hint="eastAsia" w:cs="宋体"/>
          <w:sz w:val="24"/>
        </w:rPr>
        <w:t>=饲料单价×饲料消耗量</w:t>
      </w:r>
    </w:p>
    <w:p w14:paraId="3B3A4332">
      <w:pPr>
        <w:spacing w:line="360" w:lineRule="auto"/>
        <w:ind w:firstLine="480" w:firstLineChars="200"/>
        <w:jc w:val="center"/>
        <w:rPr>
          <w:rFonts w:cs="宋体"/>
          <w:sz w:val="24"/>
        </w:rPr>
      </w:pPr>
      <w:r>
        <w:rPr>
          <w:rFonts w:hint="eastAsia" w:cs="宋体"/>
          <w:sz w:val="24"/>
        </w:rPr>
        <w:t>总收入</w:t>
      </w:r>
      <w:r>
        <w:rPr>
          <w:rFonts w:cs="宋体"/>
          <w:sz w:val="24"/>
        </w:rPr>
        <w:t>(</w:t>
      </w:r>
      <w:r>
        <w:rPr>
          <w:rFonts w:hint="eastAsia" w:cs="宋体"/>
          <w:sz w:val="24"/>
        </w:rPr>
        <w:t>Gross income</w:t>
      </w:r>
      <w:r>
        <w:rPr>
          <w:rFonts w:cs="宋体"/>
          <w:sz w:val="24"/>
        </w:rPr>
        <w:t>)</w:t>
      </w:r>
      <w:r>
        <w:rPr>
          <w:rFonts w:hint="eastAsia" w:cs="宋体"/>
          <w:sz w:val="24"/>
        </w:rPr>
        <w:t>=终末体重×售价</w:t>
      </w:r>
    </w:p>
    <w:p w14:paraId="4530A929">
      <w:pPr>
        <w:spacing w:line="360" w:lineRule="auto"/>
        <w:ind w:firstLine="480" w:firstLineChars="200"/>
        <w:jc w:val="center"/>
        <w:rPr>
          <w:rFonts w:cs="宋体"/>
          <w:sz w:val="24"/>
        </w:rPr>
      </w:pPr>
      <w:r>
        <w:rPr>
          <w:rFonts w:hint="eastAsia" w:cs="宋体"/>
          <w:sz w:val="24"/>
        </w:rPr>
        <w:t>利润</w:t>
      </w:r>
      <w:r>
        <w:rPr>
          <w:rFonts w:cs="宋体"/>
          <w:sz w:val="24"/>
        </w:rPr>
        <w:t>(</w:t>
      </w:r>
      <w:r>
        <w:rPr>
          <w:rFonts w:hint="eastAsia" w:cs="宋体"/>
          <w:sz w:val="24"/>
        </w:rPr>
        <w:t>Profit</w:t>
      </w:r>
      <w:r>
        <w:rPr>
          <w:rFonts w:cs="宋体"/>
          <w:sz w:val="24"/>
        </w:rPr>
        <w:t>)</w:t>
      </w:r>
      <w:r>
        <w:rPr>
          <w:rFonts w:hint="eastAsia" w:cs="宋体"/>
          <w:sz w:val="24"/>
        </w:rPr>
        <w:t>=总收入-饲料成本</w:t>
      </w:r>
    </w:p>
    <w:p w14:paraId="76D6551F">
      <w:pPr>
        <w:spacing w:line="360" w:lineRule="auto"/>
        <w:rPr>
          <w:rFonts w:cs="宋体"/>
          <w:sz w:val="24"/>
        </w:rPr>
      </w:pPr>
      <w:r>
        <w:rPr>
          <w:rFonts w:hint="eastAsia" w:cs="宋体"/>
          <w:sz w:val="24"/>
        </w:rPr>
        <w:t>1.5常规营养成分、氨基酸组成和脂肪酸组成分析</w:t>
      </w:r>
    </w:p>
    <w:p w14:paraId="178C6E31">
      <w:pPr>
        <w:spacing w:line="360" w:lineRule="auto"/>
        <w:ind w:firstLine="480" w:firstLineChars="200"/>
        <w:rPr>
          <w:rFonts w:cs="宋体"/>
          <w:sz w:val="24"/>
        </w:rPr>
      </w:pPr>
      <w:r>
        <w:rPr>
          <w:rFonts w:hint="eastAsia" w:cs="宋体"/>
          <w:sz w:val="24"/>
        </w:rPr>
        <w:t>饲料与肌肉样品的水分采用105</w:t>
      </w:r>
      <w:r>
        <w:rPr>
          <w:sz w:val="24"/>
        </w:rPr>
        <w:t>℃</w:t>
      </w:r>
      <w:r>
        <w:rPr>
          <w:rFonts w:hint="eastAsia" w:cs="宋体"/>
          <w:sz w:val="24"/>
        </w:rPr>
        <w:t>常压烘干法测定（GZX-9146MBE，上海）。粗蛋白以杜马斯燃烧法测定（Primacs SN-100，荷兰）。粗脂肪经索氏提取，石油醚为溶剂。灰分经550</w:t>
      </w:r>
      <w:r>
        <w:rPr>
          <w:sz w:val="24"/>
        </w:rPr>
        <w:t>℃</w:t>
      </w:r>
      <w:r>
        <w:rPr>
          <w:rFonts w:hint="eastAsia" w:cs="宋体"/>
          <w:sz w:val="24"/>
        </w:rPr>
        <w:t>马弗炉灼烧6h后称量。氨基酸组成按GB 5009.124-2016第一法，使用L-8900氨基酸分析仪（日本东京）测定。脂肪酸组成按GB 5009.168-2016测定，饲料样品采用归一化法（第三法）定量，肌肉样品采用内标法（第一法）定量，使用Agilent 7890B气相色谱-FID检测器（色谱柱:DB-FastFAME 90m×0.250mm×0.25</w:t>
      </w:r>
      <w:r>
        <w:rPr>
          <w:sz w:val="24"/>
        </w:rPr>
        <w:t>μ</w:t>
      </w:r>
      <w:r>
        <w:rPr>
          <w:rFonts w:hint="eastAsia" w:cs="宋体"/>
          <w:sz w:val="24"/>
        </w:rPr>
        <w:t>m）进行分析。</w:t>
      </w:r>
    </w:p>
    <w:p w14:paraId="016BFEE2">
      <w:pPr>
        <w:spacing w:line="360" w:lineRule="auto"/>
        <w:rPr>
          <w:rFonts w:cs="宋体"/>
          <w:sz w:val="24"/>
        </w:rPr>
      </w:pPr>
      <w:r>
        <w:rPr>
          <w:rFonts w:hint="eastAsia" w:cs="宋体"/>
          <w:sz w:val="24"/>
        </w:rPr>
        <w:t>1.6抗氧化指标和免疫指标测定</w:t>
      </w:r>
    </w:p>
    <w:p w14:paraId="271DD69B">
      <w:pPr>
        <w:spacing w:line="360" w:lineRule="auto"/>
        <w:ind w:firstLine="480" w:firstLineChars="200"/>
        <w:rPr>
          <w:rFonts w:cs="宋体"/>
          <w:sz w:val="24"/>
        </w:rPr>
      </w:pPr>
      <w:r>
        <w:rPr>
          <w:rFonts w:hint="eastAsia" w:cs="宋体"/>
          <w:sz w:val="24"/>
        </w:rPr>
        <w:t>取-80</w:t>
      </w:r>
      <w:r>
        <w:rPr>
          <w:sz w:val="24"/>
        </w:rPr>
        <w:t>℃</w:t>
      </w:r>
      <w:r>
        <w:rPr>
          <w:rFonts w:hint="eastAsia" w:cs="宋体"/>
          <w:sz w:val="24"/>
        </w:rPr>
        <w:t>保存的肝胰腺样品，解冻后称量，加入9倍体积预冷0.9%生理盐水，4</w:t>
      </w:r>
      <w:r>
        <w:rPr>
          <w:sz w:val="24"/>
        </w:rPr>
        <w:t>℃</w:t>
      </w:r>
      <w:r>
        <w:rPr>
          <w:rFonts w:hint="eastAsia" w:cs="宋体"/>
          <w:sz w:val="24"/>
        </w:rPr>
        <w:t>条件下匀浆并稀释，随后4</w:t>
      </w:r>
      <w:r>
        <w:rPr>
          <w:sz w:val="24"/>
        </w:rPr>
        <w:t>℃</w:t>
      </w:r>
      <w:r>
        <w:rPr>
          <w:rFonts w:hint="eastAsia" w:cs="宋体"/>
          <w:sz w:val="24"/>
        </w:rPr>
        <w:t>、4000 r/min离心15min，取上清液待测。所得匀浆液用于测定总蛋白（TP）、过氧化氢酶（CAT）、超氧化物歧化酶（SOD）、酚氧化酶（PO）、溶菌酶（LZM）及丙二醛（MDA）等指标。所用试剂盒均购自南京建成生物工程研究所，操作严格按说明书执行。</w:t>
      </w:r>
    </w:p>
    <w:p w14:paraId="3EBEBC1F">
      <w:pPr>
        <w:spacing w:line="360" w:lineRule="auto"/>
        <w:rPr>
          <w:rFonts w:cs="宋体"/>
          <w:sz w:val="24"/>
        </w:rPr>
      </w:pPr>
      <w:r>
        <w:rPr>
          <w:rFonts w:hint="eastAsia" w:cs="宋体"/>
          <w:sz w:val="24"/>
        </w:rPr>
        <w:t>1.7实时荧光定量PCR</w:t>
      </w:r>
    </w:p>
    <w:p w14:paraId="3643BF00">
      <w:pPr>
        <w:spacing w:line="360" w:lineRule="auto"/>
        <w:ind w:firstLine="480" w:firstLineChars="200"/>
        <w:rPr>
          <w:rFonts w:cs="宋体"/>
          <w:szCs w:val="21"/>
        </w:rPr>
      </w:pPr>
      <w:r>
        <w:rPr>
          <w:rFonts w:hint="eastAsia" w:cs="宋体"/>
          <w:sz w:val="24"/>
        </w:rPr>
        <w:t>肝胰腺总RNA采用TRIzol法（TransGen Biotech,北京）提取，经1.0%琼脂糖凝胶电泳和NanoDrop分光光度计（</w:t>
      </w:r>
      <w:r>
        <w:rPr>
          <w:rFonts w:hint="eastAsia" w:cs="宋体"/>
          <w:i/>
          <w:iCs/>
          <w:sz w:val="24"/>
        </w:rPr>
        <w:t>A</w:t>
      </w:r>
      <w:r>
        <w:rPr>
          <w:rFonts w:hint="eastAsia" w:cs="宋体"/>
          <w:sz w:val="24"/>
          <w:vertAlign w:val="subscript"/>
        </w:rPr>
        <w:t>260</w:t>
      </w:r>
      <w:r>
        <w:rPr>
          <w:rFonts w:hint="eastAsia" w:cs="宋体"/>
          <w:sz w:val="24"/>
        </w:rPr>
        <w:t>/</w:t>
      </w:r>
      <w:r>
        <w:rPr>
          <w:rFonts w:hint="eastAsia" w:cs="宋体"/>
          <w:i/>
          <w:iCs/>
          <w:sz w:val="24"/>
        </w:rPr>
        <w:t>A</w:t>
      </w:r>
      <w:r>
        <w:rPr>
          <w:rFonts w:hint="eastAsia" w:cs="宋体"/>
          <w:sz w:val="24"/>
          <w:vertAlign w:val="subscript"/>
        </w:rPr>
        <w:t>280</w:t>
      </w:r>
      <w:r>
        <w:rPr>
          <w:rFonts w:hint="eastAsia" w:cs="宋体"/>
          <w:sz w:val="24"/>
        </w:rPr>
        <w:t>）检测完整性与浓度后，使用PrimeScript™ RT reagent Kit（TaKaRa，中国）去除基因组DNA并反转录为cDNA。荧光定量PCR采用2×SYBR</w:t>
      </w:r>
      <w:r>
        <w:rPr>
          <w:rFonts w:hint="eastAsia" w:cs="宋体"/>
          <w:sz w:val="24"/>
          <w:vertAlign w:val="superscript"/>
        </w:rPr>
        <w:t>®</w:t>
      </w:r>
      <w:r>
        <w:rPr>
          <w:rFonts w:hint="eastAsia" w:cs="宋体"/>
          <w:sz w:val="24"/>
        </w:rPr>
        <w:t xml:space="preserve"> Premix Ex </w:t>
      </w:r>
      <w:r>
        <w:rPr>
          <w:rFonts w:hint="eastAsia" w:cs="宋体"/>
          <w:i/>
          <w:iCs/>
          <w:sz w:val="24"/>
        </w:rPr>
        <w:t>Taq</w:t>
      </w:r>
      <w:r>
        <w:rPr>
          <w:rFonts w:hint="eastAsia" w:cs="宋体"/>
          <w:sz w:val="24"/>
          <w:vertAlign w:val="superscript"/>
        </w:rPr>
        <w:t>TM</w:t>
      </w:r>
      <w:r>
        <w:rPr>
          <w:rFonts w:hint="eastAsia" w:cs="宋体"/>
          <w:sz w:val="24"/>
        </w:rPr>
        <w:t>（Perfect Real Time）试剂盒（TaKaRa，日本）在实时荧光定量PCR仪上（罗氏LightCycler480，瑞士）进行，以</w:t>
      </w:r>
      <w:r>
        <w:rPr>
          <w:rFonts w:hint="eastAsia" w:cs="宋体"/>
          <w:i/>
          <w:iCs/>
          <w:sz w:val="24"/>
        </w:rPr>
        <w:t>ef1</w:t>
      </w:r>
      <w:r>
        <w:rPr>
          <w:sz w:val="24"/>
        </w:rPr>
        <w:t>α</w:t>
      </w:r>
      <w:r>
        <w:rPr>
          <w:rFonts w:hint="eastAsia" w:cs="宋体"/>
          <w:sz w:val="24"/>
        </w:rPr>
        <w:t>（GenBank:GU136229）为内参基因，使用2</w:t>
      </w:r>
      <w:r>
        <w:rPr>
          <w:sz w:val="24"/>
          <w:vertAlign w:val="superscript"/>
        </w:rPr>
        <w:t>–ΔΔCt</w:t>
      </w:r>
      <w:r>
        <w:rPr>
          <w:rFonts w:hint="eastAsia" w:cs="宋体"/>
          <w:sz w:val="24"/>
        </w:rPr>
        <w:t>方法计算</w:t>
      </w:r>
      <w:r>
        <w:rPr>
          <w:rFonts w:hint="eastAsia" w:cs="宋体"/>
          <w:i/>
          <w:iCs/>
          <w:sz w:val="24"/>
        </w:rPr>
        <w:t>cru</w:t>
      </w:r>
      <w:r>
        <w:rPr>
          <w:rFonts w:hint="eastAsia" w:cs="宋体"/>
          <w:sz w:val="24"/>
        </w:rPr>
        <w:t>、</w:t>
      </w:r>
      <w:r>
        <w:rPr>
          <w:rFonts w:hint="eastAsia" w:cs="宋体"/>
          <w:i/>
          <w:iCs/>
          <w:sz w:val="24"/>
        </w:rPr>
        <w:t>alf</w:t>
      </w:r>
      <w:r>
        <w:rPr>
          <w:rFonts w:hint="eastAsia" w:cs="宋体"/>
          <w:sz w:val="24"/>
        </w:rPr>
        <w:t>、</w:t>
      </w:r>
      <w:r>
        <w:rPr>
          <w:rFonts w:hint="eastAsia" w:cs="宋体"/>
          <w:i/>
          <w:iCs/>
          <w:sz w:val="24"/>
        </w:rPr>
        <w:t>pen</w:t>
      </w:r>
      <w:r>
        <w:rPr>
          <w:rFonts w:hint="eastAsia" w:cs="宋体"/>
          <w:sz w:val="24"/>
        </w:rPr>
        <w:t>、</w:t>
      </w:r>
      <w:r>
        <w:rPr>
          <w:rFonts w:hint="eastAsia" w:cs="宋体"/>
          <w:i/>
          <w:iCs/>
          <w:sz w:val="24"/>
        </w:rPr>
        <w:t>po</w:t>
      </w:r>
      <w:r>
        <w:rPr>
          <w:rFonts w:hint="eastAsia" w:cs="宋体"/>
          <w:sz w:val="24"/>
        </w:rPr>
        <w:t>、</w:t>
      </w:r>
      <w:r>
        <w:rPr>
          <w:rFonts w:hint="eastAsia" w:cs="宋体"/>
          <w:i/>
          <w:iCs/>
          <w:sz w:val="24"/>
        </w:rPr>
        <w:t>sod</w:t>
      </w:r>
      <w:r>
        <w:rPr>
          <w:rFonts w:hint="eastAsia" w:cs="宋体"/>
          <w:sz w:val="24"/>
        </w:rPr>
        <w:t>、</w:t>
      </w:r>
      <w:r>
        <w:rPr>
          <w:rFonts w:hint="eastAsia" w:cs="宋体"/>
          <w:i/>
          <w:iCs/>
          <w:sz w:val="24"/>
        </w:rPr>
        <w:t>lmz</w:t>
      </w:r>
      <w:r>
        <w:rPr>
          <w:rFonts w:hint="eastAsia" w:cs="宋体"/>
          <w:sz w:val="24"/>
        </w:rPr>
        <w:t>、</w:t>
      </w:r>
      <w:r>
        <w:rPr>
          <w:rFonts w:hint="eastAsia" w:cs="宋体"/>
          <w:i/>
          <w:iCs/>
          <w:sz w:val="24"/>
        </w:rPr>
        <w:t>lgbp</w:t>
      </w:r>
      <w:r>
        <w:rPr>
          <w:rFonts w:hint="eastAsia" w:cs="宋体"/>
          <w:sz w:val="24"/>
        </w:rPr>
        <w:t>、</w:t>
      </w:r>
      <w:r>
        <w:rPr>
          <w:rFonts w:hint="eastAsia" w:cs="宋体"/>
          <w:i/>
          <w:iCs/>
          <w:sz w:val="24"/>
        </w:rPr>
        <w:t>dor</w:t>
      </w:r>
      <w:r>
        <w:rPr>
          <w:rFonts w:hint="eastAsia" w:cs="宋体"/>
          <w:sz w:val="24"/>
        </w:rPr>
        <w:t>、</w:t>
      </w:r>
      <w:r>
        <w:rPr>
          <w:rFonts w:hint="eastAsia" w:cs="宋体"/>
          <w:i/>
          <w:iCs/>
          <w:sz w:val="24"/>
        </w:rPr>
        <w:t>rel</w:t>
      </w:r>
      <w:r>
        <w:rPr>
          <w:rFonts w:hint="eastAsia" w:cs="宋体"/>
          <w:sz w:val="24"/>
        </w:rPr>
        <w:t>、</w:t>
      </w:r>
      <w:r>
        <w:rPr>
          <w:rFonts w:hint="eastAsia" w:cs="宋体"/>
          <w:i/>
          <w:iCs/>
          <w:sz w:val="24"/>
        </w:rPr>
        <w:t>cact</w:t>
      </w:r>
      <w:r>
        <w:rPr>
          <w:rFonts w:hint="eastAsia" w:cs="宋体"/>
          <w:sz w:val="24"/>
        </w:rPr>
        <w:t>、</w:t>
      </w:r>
      <w:r>
        <w:rPr>
          <w:rFonts w:hint="eastAsia" w:cs="宋体"/>
          <w:i/>
          <w:iCs/>
          <w:sz w:val="24"/>
        </w:rPr>
        <w:t>stat</w:t>
      </w:r>
      <w:r>
        <w:rPr>
          <w:rFonts w:hint="eastAsia" w:cs="宋体"/>
          <w:sz w:val="24"/>
        </w:rPr>
        <w:t>、</w:t>
      </w:r>
      <w:r>
        <w:rPr>
          <w:rFonts w:hint="eastAsia" w:cs="宋体"/>
          <w:i/>
          <w:iCs/>
          <w:sz w:val="24"/>
        </w:rPr>
        <w:t>jun</w:t>
      </w:r>
      <w:r>
        <w:rPr>
          <w:rFonts w:hint="eastAsia" w:cs="宋体"/>
          <w:sz w:val="24"/>
        </w:rPr>
        <w:t>和</w:t>
      </w:r>
      <w:r>
        <w:rPr>
          <w:rFonts w:hint="eastAsia" w:cs="宋体"/>
          <w:i/>
          <w:iCs/>
          <w:sz w:val="24"/>
        </w:rPr>
        <w:t>fos</w:t>
      </w:r>
      <w:r>
        <w:rPr>
          <w:rFonts w:hint="eastAsia" w:cs="宋体"/>
          <w:sz w:val="24"/>
        </w:rPr>
        <w:t>基因相对表达量（表5）。本研究中各目的基因引物的PCR扩增效率通过cDNA混合模板的5个浓度梯度（每个梯度设3个技术重复）构建标准曲线进行评估，本研究中所有引物的扩增效率均在92%—105%内，相关系数R</w:t>
      </w:r>
      <w:r>
        <w:rPr>
          <w:rFonts w:hint="eastAsia" w:cs="宋体"/>
          <w:sz w:val="24"/>
          <w:vertAlign w:val="superscript"/>
        </w:rPr>
        <w:t>2</w:t>
      </w:r>
      <w:r>
        <w:rPr>
          <w:rFonts w:hint="eastAsia" w:cs="宋体"/>
          <w:sz w:val="24"/>
        </w:rPr>
        <w:t>≥0.98，符合PCR相对定量的2</w:t>
      </w:r>
      <w:r>
        <w:rPr>
          <w:sz w:val="24"/>
          <w:vertAlign w:val="superscript"/>
        </w:rPr>
        <w:t>–ΔΔCt</w:t>
      </w:r>
      <w:r>
        <w:rPr>
          <w:rFonts w:hint="eastAsia" w:cs="宋体"/>
          <w:sz w:val="24"/>
        </w:rPr>
        <w:t>方法分析要求。</w:t>
      </w:r>
    </w:p>
    <w:p w14:paraId="60033AF7">
      <w:pPr>
        <w:spacing w:line="360" w:lineRule="auto"/>
        <w:jc w:val="center"/>
        <w:rPr>
          <w:rFonts w:cs="宋体"/>
          <w:szCs w:val="21"/>
        </w:rPr>
      </w:pPr>
      <w:r>
        <w:drawing>
          <wp:inline distT="0" distB="0" distL="114300" distR="114300">
            <wp:extent cx="5273040" cy="3804285"/>
            <wp:effectExtent l="0" t="0" r="1016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73040" cy="3804285"/>
                    </a:xfrm>
                    <a:prstGeom prst="rect">
                      <a:avLst/>
                    </a:prstGeom>
                    <a:noFill/>
                    <a:ln>
                      <a:noFill/>
                    </a:ln>
                  </pic:spPr>
                </pic:pic>
              </a:graphicData>
            </a:graphic>
          </wp:inline>
        </w:drawing>
      </w:r>
      <w:r>
        <w:drawing>
          <wp:inline distT="0" distB="0" distL="114300" distR="114300">
            <wp:extent cx="5272405" cy="1767205"/>
            <wp:effectExtent l="0" t="0" r="1079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272405" cy="1767205"/>
                    </a:xfrm>
                    <a:prstGeom prst="rect">
                      <a:avLst/>
                    </a:prstGeom>
                    <a:noFill/>
                    <a:ln>
                      <a:noFill/>
                    </a:ln>
                  </pic:spPr>
                </pic:pic>
              </a:graphicData>
            </a:graphic>
          </wp:inline>
        </w:drawing>
      </w:r>
    </w:p>
    <w:p w14:paraId="76F9F902">
      <w:pPr>
        <w:spacing w:line="360" w:lineRule="auto"/>
        <w:rPr>
          <w:rFonts w:cs="宋体"/>
          <w:sz w:val="24"/>
        </w:rPr>
      </w:pPr>
      <w:r>
        <w:rPr>
          <w:rFonts w:hint="eastAsia" w:cs="宋体"/>
          <w:sz w:val="24"/>
        </w:rPr>
        <w:t>1.8数据处理</w:t>
      </w:r>
    </w:p>
    <w:p w14:paraId="6ED2B56A">
      <w:pPr>
        <w:spacing w:line="360" w:lineRule="auto"/>
        <w:ind w:firstLine="480" w:firstLineChars="200"/>
        <w:rPr>
          <w:rFonts w:cs="宋体"/>
          <w:sz w:val="24"/>
        </w:rPr>
      </w:pPr>
      <w:r>
        <w:rPr>
          <w:rFonts w:hint="eastAsia" w:cs="宋体"/>
          <w:sz w:val="24"/>
        </w:rPr>
        <w:t>实验数据采用SPSS 21.0软件进行单因素方差分析（One-way ANOVA），组间差异以Tukey法进行多重比较，显著性水平设定为</w:t>
      </w:r>
      <w:r>
        <w:rPr>
          <w:rFonts w:hint="eastAsia" w:cs="宋体"/>
          <w:i/>
          <w:iCs/>
          <w:sz w:val="24"/>
        </w:rPr>
        <w:t>P</w:t>
      </w:r>
      <w:r>
        <w:rPr>
          <w:rFonts w:hint="eastAsia" w:cs="宋体"/>
          <w:sz w:val="24"/>
        </w:rPr>
        <w:t>&lt;0.05，结果以平均值</w:t>
      </w:r>
      <w:r>
        <w:rPr>
          <w:sz w:val="24"/>
        </w:rPr>
        <w:t>±</w:t>
      </w:r>
      <w:r>
        <w:rPr>
          <w:rFonts w:hint="eastAsia" w:cs="宋体"/>
          <w:sz w:val="24"/>
        </w:rPr>
        <w:t>标准差表示。</w:t>
      </w:r>
    </w:p>
    <w:p w14:paraId="24868EBB">
      <w:pPr>
        <w:spacing w:line="360" w:lineRule="auto"/>
        <w:rPr>
          <w:rFonts w:cs="宋体"/>
          <w:sz w:val="24"/>
        </w:rPr>
      </w:pPr>
      <w:r>
        <w:rPr>
          <w:rFonts w:hint="eastAsia" w:cs="宋体"/>
          <w:sz w:val="24"/>
        </w:rPr>
        <w:t>2结果</w:t>
      </w:r>
    </w:p>
    <w:p w14:paraId="591E7313">
      <w:pPr>
        <w:spacing w:line="360" w:lineRule="auto"/>
        <w:rPr>
          <w:rFonts w:cs="宋体"/>
          <w:sz w:val="24"/>
        </w:rPr>
      </w:pPr>
      <w:r>
        <w:rPr>
          <w:rFonts w:hint="eastAsia" w:cs="宋体"/>
          <w:sz w:val="24"/>
        </w:rPr>
        <w:t>2.1黄粉虫粉替代饲料中鱼粉对凡纳滨对虾生长性能和饲料利用的影响</w:t>
      </w:r>
    </w:p>
    <w:p w14:paraId="00318343">
      <w:pPr>
        <w:spacing w:line="360" w:lineRule="auto"/>
        <w:ind w:firstLine="480" w:firstLineChars="200"/>
        <w:rPr>
          <w:rFonts w:cs="宋体"/>
          <w:sz w:val="24"/>
        </w:rPr>
      </w:pPr>
      <w:r>
        <w:rPr>
          <w:rFonts w:hint="eastAsia" w:cs="宋体"/>
          <w:sz w:val="24"/>
        </w:rPr>
        <w:t>凡纳滨对虾生长性能结果表明（图1A），黄粉虫粉替代鱼粉显著影响凡纳滨对虾的生长性能,增重率方面，TMM30组显著高于TMM0组，较TMM0组提高12.34%（</w:t>
      </w:r>
      <w:r>
        <w:rPr>
          <w:rFonts w:hint="eastAsia" w:cs="宋体"/>
          <w:i/>
          <w:iCs/>
          <w:sz w:val="24"/>
        </w:rPr>
        <w:t>P</w:t>
      </w:r>
      <w:r>
        <w:rPr>
          <w:rFonts w:hint="eastAsia" w:cs="宋体"/>
          <w:sz w:val="24"/>
        </w:rPr>
        <w:t>&lt;0.05）。TMM15组和TMM45组分别较TMM0组提高2.61%和2.83%,但差异不显著（</w:t>
      </w:r>
      <w:r>
        <w:rPr>
          <w:rFonts w:hint="eastAsia" w:cs="宋体"/>
          <w:i/>
          <w:iCs/>
          <w:sz w:val="24"/>
        </w:rPr>
        <w:t>P</w:t>
      </w:r>
      <w:r>
        <w:rPr>
          <w:rFonts w:hint="eastAsia" w:cs="宋体"/>
          <w:sz w:val="24"/>
        </w:rPr>
        <w:t>&gt;0.05）。特定生长率呈现相似趋势，TMM30组显著高于TMM0组，较TMM0组提高3.47%（</w:t>
      </w:r>
      <w:r>
        <w:rPr>
          <w:rFonts w:hint="eastAsia" w:cs="宋体"/>
          <w:i/>
          <w:iCs/>
          <w:sz w:val="24"/>
        </w:rPr>
        <w:t>P</w:t>
      </w:r>
      <w:r>
        <w:rPr>
          <w:rFonts w:hint="eastAsia" w:cs="宋体"/>
          <w:sz w:val="24"/>
        </w:rPr>
        <w:t>&lt;0.05），TMM15组和TMM45组较TMM0组仅提高0.82%，差异不显著（</w:t>
      </w:r>
      <w:r>
        <w:rPr>
          <w:rFonts w:hint="eastAsia" w:cs="宋体"/>
          <w:i/>
          <w:iCs/>
          <w:sz w:val="24"/>
        </w:rPr>
        <w:t>P</w:t>
      </w:r>
      <w:r>
        <w:rPr>
          <w:rFonts w:hint="eastAsia" w:cs="宋体"/>
          <w:sz w:val="24"/>
        </w:rPr>
        <w:t>&gt;0.05）。总摄食量和饲料系数方面，各组间差异不显著（</w:t>
      </w:r>
      <w:r>
        <w:rPr>
          <w:rFonts w:hint="eastAsia" w:cs="宋体"/>
          <w:i/>
          <w:iCs/>
          <w:sz w:val="24"/>
        </w:rPr>
        <w:t>P</w:t>
      </w:r>
      <w:r>
        <w:rPr>
          <w:rFonts w:hint="eastAsia" w:cs="宋体"/>
          <w:sz w:val="24"/>
        </w:rPr>
        <w:t>&gt;0.05）。饲料系数方面，TMM30组较TMM0组降低15.51%，TMM45组降低7.49%,TMM15组降低1.07%。</w:t>
      </w:r>
    </w:p>
    <w:p w14:paraId="06854F46">
      <w:pPr>
        <w:spacing w:line="360" w:lineRule="auto"/>
        <w:ind w:firstLine="480" w:firstLineChars="200"/>
        <w:rPr>
          <w:rFonts w:cs="宋体"/>
          <w:sz w:val="24"/>
        </w:rPr>
      </w:pPr>
      <w:r>
        <w:rPr>
          <w:rFonts w:hint="eastAsia" w:cs="宋体"/>
          <w:sz w:val="24"/>
        </w:rPr>
        <w:t>基于市场参考价格（www.feedtrade.com.cn）及对虾出塘价格20元/斤，对各实验组饲料利用情况进行核算（图1B）。结果显示，随TMM替代FM比例的提高，各组饲料价格呈逐渐下降趋势，TMM0、TMM15、TMM30和TMM45组的饲料价格分别为8.65、8.31、7.98和7.65元/kg，与TMM0组相比，TMM15、TMM30和TMM45组的饲料价格分别降低了3.93%、7.75%和11.56%。饲料成本随替代比例的增加而降低，TMM15、TMM30和TMM45组的饲料成本较TMM0组分别下降了4.47%、8.01%和11.56%。在总收入和利润方面，各组总收入和利润由高到低依次为TMM30</w:t>
      </w:r>
      <w:r>
        <w:rPr>
          <w:sz w:val="24"/>
        </w:rPr>
        <w:t>＞</w:t>
      </w:r>
      <w:r>
        <w:rPr>
          <w:rFonts w:hint="eastAsia" w:cs="宋体"/>
          <w:sz w:val="24"/>
        </w:rPr>
        <w:t>TMM45＞TMM15，其中，TMM30组表现最为突出，与TMM0组相比TMM30组的总收入和利润的增幅达17.12%和35.28%。</w:t>
      </w:r>
    </w:p>
    <w:p w14:paraId="433EF12B">
      <w:pPr>
        <w:spacing w:line="360" w:lineRule="auto"/>
        <w:jc w:val="center"/>
        <w:rPr>
          <w:rFonts w:cs="宋体"/>
          <w:szCs w:val="21"/>
        </w:rPr>
      </w:pPr>
      <w:r>
        <w:drawing>
          <wp:inline distT="0" distB="0" distL="114300" distR="114300">
            <wp:extent cx="4705350" cy="39751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4705350" cy="3975100"/>
                    </a:xfrm>
                    <a:prstGeom prst="rect">
                      <a:avLst/>
                    </a:prstGeom>
                    <a:noFill/>
                    <a:ln>
                      <a:noFill/>
                    </a:ln>
                  </pic:spPr>
                </pic:pic>
              </a:graphicData>
            </a:graphic>
          </wp:inline>
        </w:drawing>
      </w:r>
      <w:r>
        <w:drawing>
          <wp:inline distT="0" distB="0" distL="114300" distR="114300">
            <wp:extent cx="4591050" cy="32512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4591050" cy="3251200"/>
                    </a:xfrm>
                    <a:prstGeom prst="rect">
                      <a:avLst/>
                    </a:prstGeom>
                    <a:noFill/>
                    <a:ln>
                      <a:noFill/>
                    </a:ln>
                  </pic:spPr>
                </pic:pic>
              </a:graphicData>
            </a:graphic>
          </wp:inline>
        </w:drawing>
      </w:r>
      <w:r>
        <w:drawing>
          <wp:inline distT="0" distB="0" distL="114300" distR="114300">
            <wp:extent cx="4559300" cy="4229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4559300" cy="4229100"/>
                    </a:xfrm>
                    <a:prstGeom prst="rect">
                      <a:avLst/>
                    </a:prstGeom>
                    <a:noFill/>
                    <a:ln>
                      <a:noFill/>
                    </a:ln>
                  </pic:spPr>
                </pic:pic>
              </a:graphicData>
            </a:graphic>
          </wp:inline>
        </w:drawing>
      </w:r>
    </w:p>
    <w:p w14:paraId="60B6E46F">
      <w:pPr>
        <w:spacing w:line="360" w:lineRule="auto"/>
        <w:rPr>
          <w:rFonts w:cs="宋体"/>
          <w:sz w:val="24"/>
        </w:rPr>
      </w:pPr>
      <w:r>
        <w:rPr>
          <w:rFonts w:hint="eastAsia" w:cs="宋体"/>
          <w:sz w:val="24"/>
        </w:rPr>
        <w:t>2.2黄粉虫粉替代饲料中鱼粉对凡纳滨对虾抗氧化相关指标的影响</w:t>
      </w:r>
    </w:p>
    <w:p w14:paraId="636659E7">
      <w:pPr>
        <w:spacing w:line="360" w:lineRule="auto"/>
        <w:ind w:firstLine="480" w:firstLineChars="200"/>
        <w:rPr>
          <w:rFonts w:cs="宋体"/>
          <w:sz w:val="24"/>
        </w:rPr>
      </w:pPr>
      <w:r>
        <w:rPr>
          <w:rFonts w:hint="eastAsia" w:cs="宋体"/>
          <w:sz w:val="24"/>
        </w:rPr>
        <w:t>随着黄粉虫粉替代水平上升，凡纳滨对虾的抗氧化性能增强（图2），图2A显示，TMM45组MDA显著低于TMM0组（</w:t>
      </w:r>
      <w:r>
        <w:rPr>
          <w:rFonts w:hint="eastAsia" w:cs="宋体"/>
          <w:i/>
          <w:iCs/>
          <w:sz w:val="24"/>
        </w:rPr>
        <w:t>P</w:t>
      </w:r>
      <w:r>
        <w:rPr>
          <w:rFonts w:hint="eastAsia" w:cs="宋体"/>
          <w:sz w:val="24"/>
        </w:rPr>
        <w:t>&lt;0.05），而TMM15和TMM30组MDA与TMM0组没有显著性差异（</w:t>
      </w:r>
      <w:r>
        <w:rPr>
          <w:rFonts w:hint="eastAsia" w:cs="宋体"/>
          <w:i/>
          <w:iCs/>
          <w:sz w:val="24"/>
        </w:rPr>
        <w:t>P</w:t>
      </w:r>
      <w:r>
        <w:rPr>
          <w:rFonts w:hint="eastAsia" w:cs="宋体"/>
          <w:sz w:val="24"/>
        </w:rPr>
        <w:t>&gt;0.05）。TMM45组SOD与CAT活性均显著高于TMM0组（</w:t>
      </w:r>
      <w:r>
        <w:rPr>
          <w:rFonts w:hint="eastAsia" w:cs="宋体"/>
          <w:i/>
          <w:iCs/>
          <w:sz w:val="24"/>
        </w:rPr>
        <w:t>P</w:t>
      </w:r>
      <w:r>
        <w:rPr>
          <w:rFonts w:hint="eastAsia" w:cs="宋体"/>
          <w:sz w:val="24"/>
        </w:rPr>
        <w:t>&lt;0.05），TMM15和TMM30组SOD与CAT活性与TMM0组没有显著性差异（</w:t>
      </w:r>
      <w:r>
        <w:rPr>
          <w:rFonts w:hint="eastAsia" w:cs="宋体"/>
          <w:i/>
          <w:iCs/>
          <w:sz w:val="24"/>
        </w:rPr>
        <w:t>P</w:t>
      </w:r>
      <w:r>
        <w:rPr>
          <w:rFonts w:hint="eastAsia" w:cs="宋体"/>
          <w:sz w:val="24"/>
        </w:rPr>
        <w:t>&gt;0.05）。在基因水平（图2B），TMM15、TMM30和TMM45的sod表达显著高于TMM0组（</w:t>
      </w:r>
      <w:r>
        <w:rPr>
          <w:rFonts w:hint="eastAsia" w:cs="宋体"/>
          <w:i/>
          <w:iCs/>
          <w:sz w:val="24"/>
        </w:rPr>
        <w:t>P</w:t>
      </w:r>
      <w:r>
        <w:rPr>
          <w:rFonts w:hint="eastAsia" w:cs="宋体"/>
          <w:sz w:val="24"/>
        </w:rPr>
        <w:t>&lt;0.05），另外，TMM15、TMM30和TMM45的cat表达则与TMM0组无显著差异（</w:t>
      </w:r>
      <w:r>
        <w:rPr>
          <w:rFonts w:hint="eastAsia" w:cs="宋体"/>
          <w:i/>
          <w:iCs/>
          <w:sz w:val="24"/>
        </w:rPr>
        <w:t>P</w:t>
      </w:r>
      <w:r>
        <w:rPr>
          <w:rFonts w:hint="eastAsia" w:cs="宋体"/>
          <w:sz w:val="24"/>
        </w:rPr>
        <w:t>&gt;0.05）。</w:t>
      </w:r>
    </w:p>
    <w:p w14:paraId="6893DC1D">
      <w:pPr>
        <w:spacing w:line="360" w:lineRule="auto"/>
        <w:jc w:val="center"/>
      </w:pPr>
      <w:r>
        <w:drawing>
          <wp:inline distT="0" distB="0" distL="114300" distR="114300">
            <wp:extent cx="5270500" cy="3494405"/>
            <wp:effectExtent l="0" t="0" r="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0500" cy="3494405"/>
                    </a:xfrm>
                    <a:prstGeom prst="rect">
                      <a:avLst/>
                    </a:prstGeom>
                    <a:noFill/>
                    <a:ln>
                      <a:noFill/>
                    </a:ln>
                  </pic:spPr>
                </pic:pic>
              </a:graphicData>
            </a:graphic>
          </wp:inline>
        </w:drawing>
      </w:r>
      <w:r>
        <w:drawing>
          <wp:inline distT="0" distB="0" distL="114300" distR="114300">
            <wp:extent cx="5272405" cy="711835"/>
            <wp:effectExtent l="0" t="0" r="1079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5272405" cy="711835"/>
                    </a:xfrm>
                    <a:prstGeom prst="rect">
                      <a:avLst/>
                    </a:prstGeom>
                    <a:noFill/>
                    <a:ln>
                      <a:noFill/>
                    </a:ln>
                  </pic:spPr>
                </pic:pic>
              </a:graphicData>
            </a:graphic>
          </wp:inline>
        </w:drawing>
      </w:r>
    </w:p>
    <w:p w14:paraId="0B7045A4">
      <w:pPr>
        <w:spacing w:line="360" w:lineRule="auto"/>
        <w:rPr>
          <w:sz w:val="24"/>
        </w:rPr>
      </w:pPr>
      <w:r>
        <w:rPr>
          <w:rFonts w:hint="eastAsia"/>
          <w:sz w:val="24"/>
        </w:rPr>
        <w:t>2.3黄粉虫粉替代饲料中鱼粉对凡纳滨对虾免疫性能的影响</w:t>
      </w:r>
    </w:p>
    <w:p w14:paraId="6D2C56C7">
      <w:pPr>
        <w:spacing w:line="360" w:lineRule="auto"/>
        <w:ind w:firstLine="480" w:firstLineChars="200"/>
        <w:rPr>
          <w:sz w:val="24"/>
        </w:rPr>
      </w:pPr>
      <w:r>
        <w:rPr>
          <w:rFonts w:hint="eastAsia"/>
          <w:sz w:val="24"/>
        </w:rPr>
        <w:t>随着黄粉虫粉替代水平上升，凡纳滨对虾的PO和LZM酶活表达增强（图3），TMM30和TMM45组PO活性显著高于TMM0组（</w:t>
      </w:r>
      <w:r>
        <w:rPr>
          <w:rFonts w:hint="eastAsia"/>
          <w:i/>
          <w:iCs/>
          <w:sz w:val="24"/>
        </w:rPr>
        <w:t>P</w:t>
      </w:r>
      <w:r>
        <w:rPr>
          <w:rFonts w:hint="eastAsia"/>
          <w:sz w:val="24"/>
        </w:rPr>
        <w:t>&lt;0.05），而TMM15组PO活性与TMM0组无显著差异（</w:t>
      </w:r>
      <w:r>
        <w:rPr>
          <w:rFonts w:hint="eastAsia"/>
          <w:i/>
          <w:iCs/>
          <w:sz w:val="24"/>
        </w:rPr>
        <w:t>P</w:t>
      </w:r>
      <w:r>
        <w:rPr>
          <w:rFonts w:hint="eastAsia"/>
          <w:sz w:val="24"/>
        </w:rPr>
        <w:t>&gt;0.05）。TMM45组LZM活性显著高于TMM0组（</w:t>
      </w:r>
      <w:r>
        <w:rPr>
          <w:rFonts w:hint="eastAsia"/>
          <w:i/>
          <w:iCs/>
          <w:sz w:val="24"/>
        </w:rPr>
        <w:t>P</w:t>
      </w:r>
      <w:r>
        <w:rPr>
          <w:rFonts w:hint="eastAsia"/>
          <w:sz w:val="24"/>
        </w:rPr>
        <w:t>&lt;0.05），TMM15和TMM30组LZM活性与TMM0组无显著差异（</w:t>
      </w:r>
      <w:r>
        <w:rPr>
          <w:rFonts w:hint="eastAsia"/>
          <w:i/>
          <w:iCs/>
          <w:sz w:val="24"/>
        </w:rPr>
        <w:t>P</w:t>
      </w:r>
      <w:r>
        <w:rPr>
          <w:rFonts w:hint="eastAsia"/>
          <w:sz w:val="24"/>
        </w:rPr>
        <w:t>&gt;0.05）。在基因水平（图3B），TMM30和TMM45组</w:t>
      </w:r>
      <w:r>
        <w:rPr>
          <w:rFonts w:hint="eastAsia"/>
          <w:i/>
          <w:iCs/>
          <w:sz w:val="24"/>
        </w:rPr>
        <w:t>po</w:t>
      </w:r>
      <w:r>
        <w:rPr>
          <w:rFonts w:hint="eastAsia"/>
          <w:sz w:val="24"/>
        </w:rPr>
        <w:t>基因表达显著高于TMM0组（</w:t>
      </w:r>
      <w:r>
        <w:rPr>
          <w:rFonts w:hint="eastAsia"/>
          <w:i/>
          <w:iCs/>
          <w:sz w:val="24"/>
        </w:rPr>
        <w:t>P</w:t>
      </w:r>
      <w:r>
        <w:rPr>
          <w:rFonts w:hint="eastAsia"/>
          <w:sz w:val="24"/>
        </w:rPr>
        <w:t>&lt;0.05），而TMM15组</w:t>
      </w:r>
      <w:r>
        <w:rPr>
          <w:rFonts w:hint="eastAsia"/>
          <w:i/>
          <w:iCs/>
          <w:sz w:val="24"/>
        </w:rPr>
        <w:t>po</w:t>
      </w:r>
      <w:r>
        <w:rPr>
          <w:rFonts w:hint="eastAsia"/>
          <w:sz w:val="24"/>
        </w:rPr>
        <w:t>基因表达与TMM0组无显著差异（</w:t>
      </w:r>
      <w:r>
        <w:rPr>
          <w:rFonts w:hint="eastAsia"/>
          <w:i/>
          <w:iCs/>
          <w:sz w:val="24"/>
        </w:rPr>
        <w:t>P</w:t>
      </w:r>
      <w:r>
        <w:rPr>
          <w:rFonts w:hint="eastAsia"/>
          <w:sz w:val="24"/>
        </w:rPr>
        <w:t>&gt;0.05）。此外，TMM15、TMM30和TMM45的</w:t>
      </w:r>
      <w:r>
        <w:rPr>
          <w:rFonts w:hint="eastAsia"/>
          <w:i/>
          <w:iCs/>
          <w:sz w:val="24"/>
        </w:rPr>
        <w:t>lzm</w:t>
      </w:r>
      <w:r>
        <w:rPr>
          <w:rFonts w:hint="eastAsia"/>
          <w:sz w:val="24"/>
        </w:rPr>
        <w:t>基因表达显著高于TMM0组（</w:t>
      </w:r>
      <w:r>
        <w:rPr>
          <w:rFonts w:hint="eastAsia"/>
          <w:i/>
          <w:iCs/>
          <w:sz w:val="24"/>
        </w:rPr>
        <w:t>P</w:t>
      </w:r>
      <w:r>
        <w:rPr>
          <w:rFonts w:hint="eastAsia"/>
          <w:sz w:val="24"/>
        </w:rPr>
        <w:t>&lt;0.05）。</w:t>
      </w:r>
    </w:p>
    <w:p w14:paraId="590A04F5">
      <w:pPr>
        <w:spacing w:line="360" w:lineRule="auto"/>
        <w:ind w:firstLine="480" w:firstLineChars="200"/>
        <w:rPr>
          <w:sz w:val="24"/>
        </w:rPr>
      </w:pPr>
      <w:r>
        <w:rPr>
          <w:rFonts w:hint="eastAsia"/>
          <w:sz w:val="24"/>
        </w:rPr>
        <w:t>随着黄粉虫粉替代水平上升，凡纳滨对虾的抗菌肽和免疫相关通路的基因表达随之上升（图4），在抗菌肽相关基因中，TMM30和TMM45组的cru和</w:t>
      </w:r>
      <w:r>
        <w:rPr>
          <w:rFonts w:hint="eastAsia"/>
          <w:i/>
          <w:iCs/>
          <w:sz w:val="24"/>
        </w:rPr>
        <w:t>alf</w:t>
      </w:r>
      <w:r>
        <w:rPr>
          <w:rFonts w:hint="eastAsia"/>
          <w:sz w:val="24"/>
        </w:rPr>
        <w:t>基因表达显著高于TMM0组（</w:t>
      </w:r>
      <w:r>
        <w:rPr>
          <w:rFonts w:hint="eastAsia"/>
          <w:i/>
          <w:iCs/>
          <w:sz w:val="24"/>
        </w:rPr>
        <w:t>P</w:t>
      </w:r>
      <w:r>
        <w:rPr>
          <w:rFonts w:hint="eastAsia"/>
          <w:sz w:val="24"/>
        </w:rPr>
        <w:t>&lt;0.05），而TMM0、TMM15、TMM30和TMM45组之间的</w:t>
      </w:r>
      <w:r>
        <w:rPr>
          <w:rFonts w:hint="eastAsia"/>
          <w:i/>
          <w:iCs/>
          <w:sz w:val="24"/>
        </w:rPr>
        <w:t>pen</w:t>
      </w:r>
      <w:r>
        <w:rPr>
          <w:rFonts w:hint="eastAsia"/>
          <w:sz w:val="24"/>
        </w:rPr>
        <w:t>基因表达无显著差异（</w:t>
      </w:r>
      <w:r>
        <w:rPr>
          <w:rFonts w:hint="eastAsia"/>
          <w:i/>
          <w:iCs/>
          <w:sz w:val="24"/>
        </w:rPr>
        <w:t>P</w:t>
      </w:r>
      <w:r>
        <w:rPr>
          <w:rFonts w:hint="eastAsia"/>
          <w:sz w:val="24"/>
        </w:rPr>
        <w:t>&gt;0.05）。在Toll/IMD信号通路基因中，TMM30和TMM45的</w:t>
      </w:r>
      <w:r>
        <w:rPr>
          <w:rFonts w:hint="eastAsia"/>
          <w:i/>
          <w:iCs/>
          <w:sz w:val="24"/>
        </w:rPr>
        <w:t>rel</w:t>
      </w:r>
      <w:r>
        <w:rPr>
          <w:rFonts w:hint="eastAsia"/>
          <w:sz w:val="24"/>
        </w:rPr>
        <w:t>基因表达显著高于TMM0组（</w:t>
      </w:r>
      <w:r>
        <w:rPr>
          <w:rFonts w:hint="eastAsia"/>
          <w:i/>
          <w:iCs/>
          <w:sz w:val="24"/>
        </w:rPr>
        <w:t>P</w:t>
      </w:r>
      <w:r>
        <w:rPr>
          <w:rFonts w:hint="eastAsia"/>
          <w:sz w:val="24"/>
        </w:rPr>
        <w:t>&lt;0.05），TMM30组的</w:t>
      </w:r>
      <w:r>
        <w:rPr>
          <w:rFonts w:hint="eastAsia"/>
          <w:i/>
          <w:iCs/>
          <w:sz w:val="24"/>
        </w:rPr>
        <w:t>lgbp</w:t>
      </w:r>
      <w:r>
        <w:rPr>
          <w:rFonts w:hint="eastAsia"/>
          <w:sz w:val="24"/>
        </w:rPr>
        <w:t>与</w:t>
      </w:r>
      <w:r>
        <w:rPr>
          <w:rFonts w:hint="eastAsia"/>
          <w:i/>
          <w:iCs/>
          <w:sz w:val="24"/>
        </w:rPr>
        <w:t>cact</w:t>
      </w:r>
      <w:r>
        <w:rPr>
          <w:rFonts w:hint="eastAsia"/>
          <w:sz w:val="24"/>
        </w:rPr>
        <w:t>基因表达显著高于TMM0组（</w:t>
      </w:r>
      <w:r>
        <w:rPr>
          <w:rFonts w:hint="eastAsia"/>
          <w:i/>
          <w:iCs/>
          <w:sz w:val="24"/>
        </w:rPr>
        <w:t>P</w:t>
      </w:r>
      <w:r>
        <w:rPr>
          <w:rFonts w:hint="eastAsia"/>
          <w:sz w:val="24"/>
        </w:rPr>
        <w:t>&lt;0.05），TMM15组的</w:t>
      </w:r>
      <w:r>
        <w:rPr>
          <w:rFonts w:hint="eastAsia"/>
          <w:i/>
          <w:iCs/>
          <w:sz w:val="24"/>
        </w:rPr>
        <w:t>dor</w:t>
      </w:r>
      <w:r>
        <w:rPr>
          <w:rFonts w:hint="eastAsia"/>
          <w:sz w:val="24"/>
        </w:rPr>
        <w:t>基因表达显著高于TMM0组（</w:t>
      </w:r>
      <w:r>
        <w:rPr>
          <w:rFonts w:hint="eastAsia"/>
          <w:i/>
          <w:iCs/>
          <w:sz w:val="24"/>
        </w:rPr>
        <w:t>P</w:t>
      </w:r>
      <w:r>
        <w:rPr>
          <w:rFonts w:hint="eastAsia"/>
          <w:sz w:val="24"/>
        </w:rPr>
        <w:t>&lt;0.05）。在JAK-STAT信号通路基因中，TMM15、TMM30和TMM45的</w:t>
      </w:r>
      <w:r>
        <w:rPr>
          <w:rFonts w:hint="eastAsia"/>
          <w:i/>
          <w:iCs/>
          <w:sz w:val="24"/>
        </w:rPr>
        <w:t>stat</w:t>
      </w:r>
      <w:r>
        <w:rPr>
          <w:rFonts w:hint="eastAsia"/>
          <w:sz w:val="24"/>
        </w:rPr>
        <w:t>、</w:t>
      </w:r>
      <w:r>
        <w:rPr>
          <w:rFonts w:hint="eastAsia"/>
          <w:i/>
          <w:iCs/>
          <w:sz w:val="24"/>
        </w:rPr>
        <w:t>jun</w:t>
      </w:r>
      <w:r>
        <w:rPr>
          <w:rFonts w:hint="eastAsia"/>
          <w:sz w:val="24"/>
        </w:rPr>
        <w:t>基因表达均显著高于TMM0组（</w:t>
      </w:r>
      <w:r>
        <w:rPr>
          <w:rFonts w:hint="eastAsia"/>
          <w:i/>
          <w:iCs/>
          <w:sz w:val="24"/>
        </w:rPr>
        <w:t>P</w:t>
      </w:r>
      <w:r>
        <w:rPr>
          <w:rFonts w:hint="eastAsia"/>
          <w:sz w:val="24"/>
        </w:rPr>
        <w:t>&lt;0.05），TMM30和TMM45的fos基因表达显著高于TMM0组（</w:t>
      </w:r>
      <w:r>
        <w:rPr>
          <w:rFonts w:hint="eastAsia"/>
          <w:i/>
          <w:iCs/>
          <w:sz w:val="24"/>
        </w:rPr>
        <w:t>P</w:t>
      </w:r>
      <w:r>
        <w:rPr>
          <w:rFonts w:hint="eastAsia"/>
          <w:sz w:val="24"/>
        </w:rPr>
        <w:t>&lt;0.05）。</w:t>
      </w:r>
    </w:p>
    <w:p w14:paraId="706CFDCC">
      <w:pPr>
        <w:spacing w:line="360" w:lineRule="auto"/>
        <w:jc w:val="center"/>
      </w:pPr>
      <w:r>
        <w:drawing>
          <wp:inline distT="0" distB="0" distL="114300" distR="114300">
            <wp:extent cx="3136900" cy="35242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3136900" cy="3524250"/>
                    </a:xfrm>
                    <a:prstGeom prst="rect">
                      <a:avLst/>
                    </a:prstGeom>
                    <a:noFill/>
                    <a:ln>
                      <a:noFill/>
                    </a:ln>
                  </pic:spPr>
                </pic:pic>
              </a:graphicData>
            </a:graphic>
          </wp:inline>
        </w:drawing>
      </w:r>
      <w:r>
        <w:drawing>
          <wp:inline distT="0" distB="0" distL="114300" distR="114300">
            <wp:extent cx="3073400" cy="142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tretch>
                      <a:fillRect/>
                    </a:stretch>
                  </pic:blipFill>
                  <pic:spPr>
                    <a:xfrm>
                      <a:off x="0" y="0"/>
                      <a:ext cx="3073400" cy="1422400"/>
                    </a:xfrm>
                    <a:prstGeom prst="rect">
                      <a:avLst/>
                    </a:prstGeom>
                    <a:noFill/>
                    <a:ln>
                      <a:noFill/>
                    </a:ln>
                  </pic:spPr>
                </pic:pic>
              </a:graphicData>
            </a:graphic>
          </wp:inline>
        </w:drawing>
      </w:r>
    </w:p>
    <w:p w14:paraId="2051704D">
      <w:pPr>
        <w:spacing w:line="360" w:lineRule="auto"/>
        <w:jc w:val="center"/>
      </w:pPr>
      <w:r>
        <w:drawing>
          <wp:inline distT="0" distB="0" distL="114300" distR="114300">
            <wp:extent cx="5273040" cy="2178050"/>
            <wp:effectExtent l="0" t="0" r="1016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5273040" cy="2178050"/>
                    </a:xfrm>
                    <a:prstGeom prst="rect">
                      <a:avLst/>
                    </a:prstGeom>
                    <a:noFill/>
                    <a:ln>
                      <a:noFill/>
                    </a:ln>
                  </pic:spPr>
                </pic:pic>
              </a:graphicData>
            </a:graphic>
          </wp:inline>
        </w:drawing>
      </w:r>
    </w:p>
    <w:p w14:paraId="6F4DF0BE">
      <w:pPr>
        <w:spacing w:line="360" w:lineRule="auto"/>
        <w:rPr>
          <w:sz w:val="24"/>
        </w:rPr>
      </w:pPr>
      <w:r>
        <w:rPr>
          <w:rFonts w:hint="eastAsia"/>
          <w:sz w:val="24"/>
        </w:rPr>
        <w:t>2.4黄粉虫粉替代饲料中鱼粉对凡纳滨对虾肌肉基本成分的影响</w:t>
      </w:r>
    </w:p>
    <w:p w14:paraId="1C19A0C3">
      <w:pPr>
        <w:spacing w:line="360" w:lineRule="auto"/>
        <w:ind w:firstLine="480" w:firstLineChars="200"/>
        <w:rPr>
          <w:sz w:val="24"/>
        </w:rPr>
      </w:pPr>
      <w:r>
        <w:rPr>
          <w:rFonts w:hint="eastAsia"/>
          <w:sz w:val="24"/>
        </w:rPr>
        <w:t>凡纳滨对虾肌肉基本成分结果表明（表6），以湿重基础计，TMM0、TMM15、TMM30与TMM45组对虾肌肉水分（75.49%—76.03%）、粗蛋白（18.44%—18.64%）和粗灰分（2.82%—2.94%）含量差异均不显著（</w:t>
      </w:r>
      <w:r>
        <w:rPr>
          <w:rFonts w:hint="eastAsia"/>
          <w:i/>
          <w:iCs/>
          <w:sz w:val="24"/>
        </w:rPr>
        <w:t>P</w:t>
      </w:r>
      <w:r>
        <w:rPr>
          <w:rFonts w:hint="eastAsia"/>
          <w:sz w:val="24"/>
        </w:rPr>
        <w:t>&gt;0.05），表明黄粉虫粉替代鱼粉未改变肌肉的主要营养组成。粗脂肪含量随替代比例增加呈递增趋势，TMM45组较TMM0组显著提高15.38%（</w:t>
      </w:r>
      <w:r>
        <w:rPr>
          <w:rFonts w:hint="eastAsia"/>
          <w:i/>
          <w:iCs/>
          <w:sz w:val="24"/>
        </w:rPr>
        <w:t>P</w:t>
      </w:r>
      <w:r>
        <w:rPr>
          <w:rFonts w:hint="eastAsia"/>
          <w:sz w:val="24"/>
        </w:rPr>
        <w:t>&lt;0.05），TMM15和TMM30组与TMM0组差异不显著（</w:t>
      </w:r>
      <w:r>
        <w:rPr>
          <w:rFonts w:hint="eastAsia"/>
          <w:i/>
          <w:iCs/>
          <w:sz w:val="24"/>
        </w:rPr>
        <w:t>P</w:t>
      </w:r>
      <w:r>
        <w:rPr>
          <w:rFonts w:hint="eastAsia"/>
          <w:sz w:val="24"/>
        </w:rPr>
        <w:t>&gt;0.05），肌肉脂肪沉积的增加可能与黄粉虫粉本身脂质含量较高及其脂肪酸组成特点有关。</w:t>
      </w:r>
    </w:p>
    <w:p w14:paraId="1E391682">
      <w:pPr>
        <w:spacing w:line="360" w:lineRule="auto"/>
        <w:jc w:val="center"/>
      </w:pPr>
      <w:r>
        <w:drawing>
          <wp:inline distT="0" distB="0" distL="114300" distR="114300">
            <wp:extent cx="5270500" cy="14039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270500" cy="1403985"/>
                    </a:xfrm>
                    <a:prstGeom prst="rect">
                      <a:avLst/>
                    </a:prstGeom>
                    <a:noFill/>
                    <a:ln>
                      <a:noFill/>
                    </a:ln>
                  </pic:spPr>
                </pic:pic>
              </a:graphicData>
            </a:graphic>
          </wp:inline>
        </w:drawing>
      </w:r>
    </w:p>
    <w:p w14:paraId="0F213F83">
      <w:pPr>
        <w:spacing w:line="360" w:lineRule="auto"/>
        <w:rPr>
          <w:sz w:val="24"/>
        </w:rPr>
      </w:pPr>
      <w:r>
        <w:rPr>
          <w:rFonts w:hint="eastAsia"/>
          <w:sz w:val="24"/>
        </w:rPr>
        <w:t>2.5黄粉虫粉替代饲料中鱼粉对凡纳滨对虾肌肉氨基酸组成的影响</w:t>
      </w:r>
    </w:p>
    <w:p w14:paraId="098E469B">
      <w:pPr>
        <w:spacing w:line="360" w:lineRule="auto"/>
        <w:ind w:firstLine="480" w:firstLineChars="200"/>
        <w:rPr>
          <w:sz w:val="24"/>
        </w:rPr>
      </w:pPr>
      <w:r>
        <w:rPr>
          <w:rFonts w:hint="eastAsia"/>
          <w:sz w:val="24"/>
        </w:rPr>
        <w:t>凡纳滨对虾肌肉氨基酸结果表明（表7），在必需氨基酸方面，大多数必需氨基酸在各组间差异不显著（</w:t>
      </w:r>
      <w:r>
        <w:rPr>
          <w:rFonts w:hint="eastAsia"/>
          <w:i/>
          <w:iCs/>
          <w:sz w:val="24"/>
        </w:rPr>
        <w:t>P</w:t>
      </w:r>
      <w:r>
        <w:rPr>
          <w:rFonts w:hint="eastAsia"/>
          <w:sz w:val="24"/>
        </w:rPr>
        <w:t>&gt;0.05），包括缬氨酸、异亮氨酸、亮氨酸、苯丙氨酸、蛋氨酸、赖氨酸及组氨酸。其中，苏氨酸和精氨酸含量随替代比例增加呈递减趋势，TMM45组分别较TMM0组显著降低9.01%和7.87%（</w:t>
      </w:r>
      <w:r>
        <w:rPr>
          <w:rFonts w:hint="eastAsia"/>
          <w:i/>
          <w:iCs/>
          <w:sz w:val="24"/>
        </w:rPr>
        <w:t>P</w:t>
      </w:r>
      <w:r>
        <w:rPr>
          <w:rFonts w:hint="eastAsia"/>
          <w:sz w:val="24"/>
        </w:rPr>
        <w:t>&lt;0.05），TMM15和TMM30组与TMM0组差异不显著（</w:t>
      </w:r>
      <w:r>
        <w:rPr>
          <w:rFonts w:hint="eastAsia"/>
          <w:i/>
          <w:iCs/>
          <w:sz w:val="24"/>
        </w:rPr>
        <w:t>P</w:t>
      </w:r>
      <w:r>
        <w:rPr>
          <w:rFonts w:hint="eastAsia"/>
          <w:sz w:val="24"/>
        </w:rPr>
        <w:t>&gt;0.05）。在非必需氨基酸方面，天冬氨酸、谷氨酸和丙氨酸在各组间保持稳定，变化幅度均未超过1.19%。丝氨酸随替代比例增加呈递减趋势，TMM45组较TMM0组降低8.62%，但差异不显著（</w:t>
      </w:r>
      <w:r>
        <w:rPr>
          <w:rFonts w:hint="eastAsia"/>
          <w:i/>
          <w:iCs/>
          <w:sz w:val="24"/>
        </w:rPr>
        <w:t>P</w:t>
      </w:r>
      <w:r>
        <w:rPr>
          <w:rFonts w:hint="eastAsia"/>
          <w:sz w:val="24"/>
        </w:rPr>
        <w:t>&gt;0.05）。酪氨酸和脯氨酸则呈升高趋势，但组间波动较大，规律性不强。甘氨酸在TMM30组较TMM0组提高5.68%，但在TMM45组降低4.38%。TAAs在各组间差异不显著（</w:t>
      </w:r>
      <w:r>
        <w:rPr>
          <w:rFonts w:hint="eastAsia"/>
          <w:i/>
          <w:iCs/>
          <w:sz w:val="24"/>
        </w:rPr>
        <w:t>P</w:t>
      </w:r>
      <w:r>
        <w:rPr>
          <w:rFonts w:hint="eastAsia"/>
          <w:sz w:val="24"/>
        </w:rPr>
        <w:t>&gt;0.05），各组维持在206.33—210.00 mg/g。∑EAA在TMM45组较TMM0组显著降低2.74%（</w:t>
      </w:r>
      <w:r>
        <w:rPr>
          <w:rFonts w:hint="eastAsia"/>
          <w:i/>
          <w:iCs/>
          <w:sz w:val="24"/>
        </w:rPr>
        <w:t>P</w:t>
      </w:r>
      <w:r>
        <w:rPr>
          <w:rFonts w:hint="eastAsia"/>
          <w:sz w:val="24"/>
        </w:rPr>
        <w:t>&lt;0.05），主要归因于苏氨酸和精氨酸的减少。EAA/TAAs在各组间变化极小（44.19%—45.05%），差异不显著（</w:t>
      </w:r>
      <w:r>
        <w:rPr>
          <w:rFonts w:hint="eastAsia"/>
          <w:i/>
          <w:iCs/>
          <w:sz w:val="24"/>
        </w:rPr>
        <w:t>P</w:t>
      </w:r>
      <w:r>
        <w:rPr>
          <w:rFonts w:hint="eastAsia"/>
          <w:sz w:val="24"/>
        </w:rPr>
        <w:t>&gt;0.05）。风味氨基酸总和（∑FlavorAA）在TMM15和TMM30组与TMM0组相当，但TMM45组较TMM0组显著降低1.29%（</w:t>
      </w:r>
      <w:r>
        <w:rPr>
          <w:rFonts w:hint="eastAsia"/>
          <w:i/>
          <w:iCs/>
          <w:sz w:val="24"/>
        </w:rPr>
        <w:t>P</w:t>
      </w:r>
      <w:r>
        <w:rPr>
          <w:rFonts w:hint="eastAsia"/>
          <w:sz w:val="24"/>
        </w:rPr>
        <w:t>&lt;0.05）。</w:t>
      </w:r>
    </w:p>
    <w:p w14:paraId="32375CC2">
      <w:pPr>
        <w:spacing w:line="360" w:lineRule="auto"/>
        <w:jc w:val="center"/>
      </w:pPr>
      <w:r>
        <w:drawing>
          <wp:inline distT="0" distB="0" distL="114300" distR="114300">
            <wp:extent cx="5271135" cy="3409315"/>
            <wp:effectExtent l="0" t="0" r="1206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5271135" cy="3409315"/>
                    </a:xfrm>
                    <a:prstGeom prst="rect">
                      <a:avLst/>
                    </a:prstGeom>
                    <a:noFill/>
                    <a:ln>
                      <a:noFill/>
                    </a:ln>
                  </pic:spPr>
                </pic:pic>
              </a:graphicData>
            </a:graphic>
          </wp:inline>
        </w:drawing>
      </w:r>
      <w:r>
        <w:drawing>
          <wp:inline distT="0" distB="0" distL="114300" distR="114300">
            <wp:extent cx="5268595" cy="473075"/>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5268595" cy="473075"/>
                    </a:xfrm>
                    <a:prstGeom prst="rect">
                      <a:avLst/>
                    </a:prstGeom>
                    <a:noFill/>
                    <a:ln>
                      <a:noFill/>
                    </a:ln>
                  </pic:spPr>
                </pic:pic>
              </a:graphicData>
            </a:graphic>
          </wp:inline>
        </w:drawing>
      </w:r>
      <w:r>
        <w:drawing>
          <wp:inline distT="0" distB="0" distL="114300" distR="114300">
            <wp:extent cx="5273675" cy="1127760"/>
            <wp:effectExtent l="0" t="0" r="9525" b="2540"/>
            <wp:docPr id="1294250285" name="图片 129425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50285" name="图片 1294250285"/>
                    <pic:cNvPicPr>
                      <a:picLocks noChangeAspect="1"/>
                    </pic:cNvPicPr>
                  </pic:nvPicPr>
                  <pic:blipFill>
                    <a:blip r:embed="rId43"/>
                    <a:stretch>
                      <a:fillRect/>
                    </a:stretch>
                  </pic:blipFill>
                  <pic:spPr>
                    <a:xfrm>
                      <a:off x="0" y="0"/>
                      <a:ext cx="5273675" cy="1127760"/>
                    </a:xfrm>
                    <a:prstGeom prst="rect">
                      <a:avLst/>
                    </a:prstGeom>
                    <a:noFill/>
                    <a:ln>
                      <a:noFill/>
                    </a:ln>
                  </pic:spPr>
                </pic:pic>
              </a:graphicData>
            </a:graphic>
          </wp:inline>
        </w:drawing>
      </w:r>
    </w:p>
    <w:p w14:paraId="10EE5E03">
      <w:pPr>
        <w:spacing w:line="360" w:lineRule="auto"/>
        <w:rPr>
          <w:sz w:val="24"/>
        </w:rPr>
      </w:pPr>
      <w:r>
        <w:rPr>
          <w:rFonts w:hint="eastAsia"/>
          <w:sz w:val="24"/>
        </w:rPr>
        <w:t>2.6黄粉虫粉替代饲料中鱼粉对凡纳滨对虾肌肉脂肪酸沉积的影响</w:t>
      </w:r>
    </w:p>
    <w:p w14:paraId="23996345">
      <w:pPr>
        <w:spacing w:line="360" w:lineRule="auto"/>
        <w:ind w:firstLine="480" w:firstLineChars="200"/>
        <w:rPr>
          <w:sz w:val="24"/>
        </w:rPr>
      </w:pPr>
      <w:r>
        <w:rPr>
          <w:rFonts w:hint="eastAsia"/>
          <w:sz w:val="24"/>
        </w:rPr>
        <w:t>凡纳滨对虾肌肉脂肪酸沉积结果表明（表8），∑SFA随替代比例增加而升高，TMM45组较TMM0组显著提高71.11%（</w:t>
      </w:r>
      <w:r>
        <w:rPr>
          <w:rFonts w:hint="eastAsia"/>
          <w:i/>
          <w:iCs/>
          <w:sz w:val="24"/>
        </w:rPr>
        <w:t>P</w:t>
      </w:r>
      <w:r>
        <w:rPr>
          <w:rFonts w:hint="eastAsia"/>
          <w:sz w:val="24"/>
        </w:rPr>
        <w:t>&lt;0.05），主要由C16:0（提高65.82%）和C18:0（提高62.80%）的大幅增加驱动。∑MUFA呈相似趋势，TMM45组较TMM0组显著提高123.71%（</w:t>
      </w:r>
      <w:r>
        <w:rPr>
          <w:rFonts w:hint="eastAsia"/>
          <w:i/>
          <w:iCs/>
          <w:sz w:val="24"/>
        </w:rPr>
        <w:t>P</w:t>
      </w:r>
      <w:r>
        <w:rPr>
          <w:rFonts w:hint="eastAsia"/>
          <w:sz w:val="24"/>
        </w:rPr>
        <w:t>&lt;0.05），主要归因于油酸（C18:1n9c）的显著增加（提高121.77%，</w:t>
      </w:r>
      <w:r>
        <w:rPr>
          <w:rFonts w:hint="eastAsia"/>
          <w:i/>
          <w:iCs/>
          <w:sz w:val="24"/>
        </w:rPr>
        <w:t>P</w:t>
      </w:r>
      <w:r>
        <w:rPr>
          <w:rFonts w:hint="eastAsia"/>
          <w:sz w:val="24"/>
        </w:rPr>
        <w:t>&lt;0.05）。TMM15和TM30组SFA及MUFA与TMM0组差异不显著（</w:t>
      </w:r>
      <w:r>
        <w:rPr>
          <w:rFonts w:hint="eastAsia"/>
          <w:i/>
          <w:iCs/>
          <w:sz w:val="24"/>
        </w:rPr>
        <w:t>P</w:t>
      </w:r>
      <w:r>
        <w:rPr>
          <w:rFonts w:hint="eastAsia"/>
          <w:sz w:val="24"/>
        </w:rPr>
        <w:t>&gt;0.05），表明上述变化主要发生在高替代水平。肌肉PUFAs的变化趋势与饲料存在显著不同。∑PUFA随替代比例增加而显著升高，TMM45组较TMM0组提高33.39%（</w:t>
      </w:r>
      <w:r>
        <w:rPr>
          <w:rFonts w:hint="eastAsia"/>
          <w:i/>
          <w:iCs/>
          <w:sz w:val="24"/>
        </w:rPr>
        <w:t>P</w:t>
      </w:r>
      <w:r>
        <w:rPr>
          <w:rFonts w:hint="eastAsia"/>
          <w:sz w:val="24"/>
        </w:rPr>
        <w:t>&lt;0.05）。亚油酸（C18:2n6c）是增幅最大的脂肪酸，TMM15、TMM30和TMM45组分别较TMM0组显著提高45.02%、47.21%和86.45%（</w:t>
      </w:r>
      <w:r>
        <w:rPr>
          <w:rFonts w:hint="eastAsia"/>
          <w:i/>
          <w:iCs/>
          <w:sz w:val="24"/>
        </w:rPr>
        <w:t>P</w:t>
      </w:r>
      <w:r>
        <w:rPr>
          <w:rFonts w:hint="eastAsia"/>
          <w:sz w:val="24"/>
        </w:rPr>
        <w:t>&lt;0.05），反映出饲料中亚油酸含量升高对肌肉组成的直接影响。在本研究中出现一个结果，尽管饲料中EPA和DHA含量在TMM30和TMM45组显著降低，肌肉中EPA和DHA含量反而随替代比例增加而升高。EPA在TMM15、TMM30和TMM45组较TMM0组分别显著提高15.75%、17.91%和18.59%（</w:t>
      </w:r>
      <w:r>
        <w:rPr>
          <w:rFonts w:hint="eastAsia"/>
          <w:i/>
          <w:iCs/>
          <w:sz w:val="24"/>
        </w:rPr>
        <w:t>P</w:t>
      </w:r>
      <w:r>
        <w:rPr>
          <w:rFonts w:hint="eastAsia"/>
          <w:sz w:val="24"/>
        </w:rPr>
        <w:t>&lt;0.05），DHA在TMM45组较TMM0组显著提高19.82%（</w:t>
      </w:r>
      <w:r>
        <w:rPr>
          <w:rFonts w:hint="eastAsia"/>
          <w:i/>
          <w:iCs/>
          <w:sz w:val="24"/>
        </w:rPr>
        <w:t>P</w:t>
      </w:r>
      <w:r>
        <w:rPr>
          <w:rFonts w:hint="eastAsia"/>
          <w:sz w:val="24"/>
        </w:rPr>
        <w:t>&lt;0.05）。这一结果提示对虾可能对EPA和DHA具有选择性富集和保留能力。C18﹕3n3在TMM0和TMM15组中未检出，而在TMM30和TMM45组中出现，可能来源于黄粉虫粉中较高的</w:t>
      </w:r>
      <w:r>
        <w:rPr>
          <w:sz w:val="24"/>
        </w:rPr>
        <w:t>α</w:t>
      </w:r>
      <w:r>
        <w:rPr>
          <w:rFonts w:hint="eastAsia"/>
          <w:sz w:val="24"/>
        </w:rPr>
        <w:t>-亚麻酸含量。ARA在各替代组中较TMM0组显著降低24.50%—33.11%（</w:t>
      </w:r>
      <w:r>
        <w:rPr>
          <w:rFonts w:hint="eastAsia"/>
          <w:i/>
          <w:iCs/>
          <w:sz w:val="24"/>
        </w:rPr>
        <w:t>P</w:t>
      </w:r>
      <w:r>
        <w:rPr>
          <w:rFonts w:hint="eastAsia"/>
          <w:sz w:val="24"/>
        </w:rPr>
        <w:t>&lt;0.05）。</w:t>
      </w:r>
      <w:r>
        <w:rPr>
          <w:sz w:val="24"/>
        </w:rPr>
        <w:t>Σ</w:t>
      </w:r>
      <w:r>
        <w:rPr>
          <w:rFonts w:hint="eastAsia"/>
          <w:sz w:val="24"/>
        </w:rPr>
        <w:t>n-3和</w:t>
      </w:r>
      <w:r>
        <w:rPr>
          <w:sz w:val="24"/>
        </w:rPr>
        <w:t>Σ</w:t>
      </w:r>
      <w:r>
        <w:rPr>
          <w:rFonts w:hint="eastAsia"/>
          <w:sz w:val="24"/>
        </w:rPr>
        <w:t>n-6均随替代比例增加而升高，TMM45组较TMM0组分别显著提高22.93%和60.64%（</w:t>
      </w:r>
      <w:r>
        <w:rPr>
          <w:rFonts w:hint="eastAsia"/>
          <w:i/>
          <w:iCs/>
          <w:sz w:val="24"/>
        </w:rPr>
        <w:t>P</w:t>
      </w:r>
      <w:r>
        <w:rPr>
          <w:rFonts w:hint="eastAsia"/>
          <w:sz w:val="24"/>
        </w:rPr>
        <w:t>&lt;0.05）。由于</w:t>
      </w:r>
      <w:r>
        <w:rPr>
          <w:sz w:val="24"/>
        </w:rPr>
        <w:t>Σ</w:t>
      </w:r>
      <w:r>
        <w:rPr>
          <w:rFonts w:hint="eastAsia"/>
          <w:sz w:val="24"/>
        </w:rPr>
        <w:t>n-6增幅远大于</w:t>
      </w:r>
      <w:r>
        <w:rPr>
          <w:sz w:val="24"/>
        </w:rPr>
        <w:t>Σ</w:t>
      </w:r>
      <w:r>
        <w:rPr>
          <w:rFonts w:hint="eastAsia"/>
          <w:sz w:val="24"/>
        </w:rPr>
        <w:t>n-3，n-3/n-6比值随替代比例增加显著下降，TMM0、TMM15、TMM30和TMM45组分别为2.72、2.42、2.45和2.08（</w:t>
      </w:r>
      <w:r>
        <w:rPr>
          <w:rFonts w:hint="eastAsia"/>
          <w:i/>
          <w:iCs/>
          <w:sz w:val="24"/>
        </w:rPr>
        <w:t>P</w:t>
      </w:r>
      <w:r>
        <w:rPr>
          <w:rFonts w:hint="eastAsia"/>
          <w:sz w:val="24"/>
        </w:rPr>
        <w:t>&lt;0.05）。尽管如此，各组n-3/n-6比值（2.08—2.72）仍远高于人类膳食推荐范围。n-3 HUFA在各替代组中均显著高于TMM0组，TMM45组较TMM0组提高19.11%（</w:t>
      </w:r>
      <w:r>
        <w:rPr>
          <w:rFonts w:hint="eastAsia"/>
          <w:i/>
          <w:iCs/>
          <w:sz w:val="24"/>
        </w:rPr>
        <w:t>P</w:t>
      </w:r>
      <w:r>
        <w:rPr>
          <w:rFonts w:hint="eastAsia"/>
          <w:sz w:val="24"/>
        </w:rPr>
        <w:t>&lt;0.05），进一步印证对虾对n-3长链PUFAs的选择性保留。DHA/EPA比值在各组间变化较小（0.67—0.75），差异不显著（</w:t>
      </w:r>
      <w:r>
        <w:rPr>
          <w:rFonts w:hint="eastAsia"/>
          <w:i/>
          <w:iCs/>
          <w:sz w:val="24"/>
        </w:rPr>
        <w:t>P</w:t>
      </w:r>
      <w:r>
        <w:rPr>
          <w:rFonts w:hint="eastAsia"/>
          <w:sz w:val="24"/>
        </w:rPr>
        <w:t>&gt;0.05）。</w:t>
      </w:r>
    </w:p>
    <w:p w14:paraId="4E822129">
      <w:pPr>
        <w:spacing w:line="360" w:lineRule="auto"/>
        <w:jc w:val="center"/>
      </w:pPr>
      <w:r>
        <w:drawing>
          <wp:inline distT="0" distB="0" distL="114300" distR="114300">
            <wp:extent cx="5267960" cy="344805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267960" cy="3448050"/>
                    </a:xfrm>
                    <a:prstGeom prst="rect">
                      <a:avLst/>
                    </a:prstGeom>
                    <a:noFill/>
                    <a:ln>
                      <a:noFill/>
                    </a:ln>
                  </pic:spPr>
                </pic:pic>
              </a:graphicData>
            </a:graphic>
          </wp:inline>
        </w:drawing>
      </w:r>
      <w:r>
        <w:drawing>
          <wp:inline distT="0" distB="0" distL="114300" distR="114300">
            <wp:extent cx="5269230" cy="992505"/>
            <wp:effectExtent l="0" t="0" r="127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269230" cy="992505"/>
                    </a:xfrm>
                    <a:prstGeom prst="rect">
                      <a:avLst/>
                    </a:prstGeom>
                    <a:noFill/>
                    <a:ln>
                      <a:noFill/>
                    </a:ln>
                  </pic:spPr>
                </pic:pic>
              </a:graphicData>
            </a:graphic>
          </wp:inline>
        </w:drawing>
      </w:r>
    </w:p>
    <w:p w14:paraId="713F0C97">
      <w:pPr>
        <w:spacing w:line="360" w:lineRule="auto"/>
        <w:rPr>
          <w:sz w:val="24"/>
        </w:rPr>
      </w:pPr>
      <w:r>
        <w:rPr>
          <w:rFonts w:hint="eastAsia"/>
          <w:sz w:val="24"/>
        </w:rPr>
        <w:t>3讨论</w:t>
      </w:r>
    </w:p>
    <w:p w14:paraId="1AD2EFDF">
      <w:pPr>
        <w:spacing w:line="360" w:lineRule="auto"/>
        <w:rPr>
          <w:sz w:val="24"/>
        </w:rPr>
      </w:pPr>
      <w:r>
        <w:rPr>
          <w:rFonts w:hint="eastAsia"/>
          <w:sz w:val="24"/>
        </w:rPr>
        <w:t>3.1黄粉虫粉替代鱼粉对饲料营养组成分析</w:t>
      </w:r>
    </w:p>
    <w:p w14:paraId="294910F6">
      <w:pPr>
        <w:spacing w:line="360" w:lineRule="auto"/>
        <w:ind w:firstLine="480" w:firstLineChars="200"/>
        <w:rPr>
          <w:sz w:val="24"/>
        </w:rPr>
      </w:pPr>
      <w:r>
        <w:rPr>
          <w:rFonts w:hint="eastAsia"/>
          <w:sz w:val="24"/>
        </w:rPr>
        <w:t>对实验饲料的氨基酸分析表明，黄粉虫粉替代鱼粉后，饲料中必需氨基酸和非必需氨基酸含量均有所上升。其中，丝氨酸、甘氨酸、缬氨酸、异亮氨酸、亮氨酸、酪氨酸、苯丙氨酸、精氨酸及脯氨酸的相对含量在替代组中显著升高，与SánchezMuros等</w:t>
      </w:r>
      <w:r>
        <w:rPr>
          <w:rFonts w:hint="eastAsia"/>
          <w:sz w:val="24"/>
          <w:vertAlign w:val="superscript"/>
        </w:rPr>
        <w:t>[18]</w:t>
      </w:r>
      <w:r>
        <w:rPr>
          <w:rFonts w:hint="eastAsia"/>
          <w:sz w:val="24"/>
        </w:rPr>
        <w:t>的结果一致。随着替代比例增加，必需氨基酸占总氨基酸的比例呈下降趋势，这与鱼粉中EAA/TAA比例高于黄粉虫粉的营养特征相吻合</w:t>
      </w:r>
      <w:r>
        <w:rPr>
          <w:rFonts w:hint="eastAsia"/>
          <w:sz w:val="24"/>
          <w:vertAlign w:val="superscript"/>
        </w:rPr>
        <w:t>[19]</w:t>
      </w:r>
      <w:r>
        <w:rPr>
          <w:rFonts w:hint="eastAsia"/>
          <w:sz w:val="24"/>
        </w:rPr>
        <w:t>。同时，饲料中天冬氨酸、苏氨酸、谷氨酸、丙氨酸和组氨酸的比例有所下降，与Iaconisi等</w:t>
      </w:r>
      <w:r>
        <w:rPr>
          <w:rFonts w:hint="eastAsia"/>
          <w:sz w:val="24"/>
          <w:vertAlign w:val="superscript"/>
        </w:rPr>
        <w:t>[20]</w:t>
      </w:r>
      <w:r>
        <w:rPr>
          <w:rFonts w:hint="eastAsia"/>
          <w:sz w:val="24"/>
        </w:rPr>
        <w:t>的报道一致。总体而言，即使在最高替代水平（TMM45）下，饲料中各必需氨基酸含量仍可满足凡纳滨对虾的营养需求</w:t>
      </w:r>
      <w:r>
        <w:rPr>
          <w:rFonts w:hint="eastAsia"/>
          <w:sz w:val="24"/>
          <w:vertAlign w:val="superscript"/>
        </w:rPr>
        <w:t>[21]</w:t>
      </w:r>
      <w:r>
        <w:rPr>
          <w:rFonts w:hint="eastAsia"/>
          <w:sz w:val="24"/>
        </w:rPr>
        <w:t>，表明以黄粉虫粉等蛋白替代鱼粉在氨基酸平衡方面具有可行性。</w:t>
      </w:r>
    </w:p>
    <w:p w14:paraId="731C63C3">
      <w:pPr>
        <w:autoSpaceDE w:val="0"/>
        <w:spacing w:line="360" w:lineRule="auto"/>
        <w:ind w:firstLine="480" w:firstLineChars="200"/>
        <w:rPr>
          <w:sz w:val="24"/>
        </w:rPr>
      </w:pPr>
      <w:r>
        <w:rPr>
          <w:rFonts w:hint="eastAsia"/>
          <w:sz w:val="24"/>
        </w:rPr>
        <w:t>在脂肪酸组成方面，黄粉虫粉替代鱼粉后饲料中ARA、DHA和EPA的含量显著降低，与Panini等</w:t>
      </w:r>
      <w:r>
        <w:rPr>
          <w:rFonts w:hint="eastAsia"/>
          <w:sz w:val="24"/>
          <w:vertAlign w:val="superscript"/>
        </w:rPr>
        <w:t>[11]</w:t>
      </w:r>
      <w:r>
        <w:rPr>
          <w:rFonts w:hint="eastAsia"/>
          <w:sz w:val="24"/>
        </w:rPr>
        <w:t>的研究结果一致。这一变化源于黄粉虫粉本身几乎不含DHA和EPA等n-3长链多不饱和脂肪酸</w:t>
      </w:r>
      <w:r>
        <w:rPr>
          <w:rFonts w:hint="eastAsia"/>
          <w:sz w:val="24"/>
          <w:vertAlign w:val="superscript"/>
        </w:rPr>
        <w:t>[19]</w:t>
      </w:r>
      <w:r>
        <w:rPr>
          <w:rFonts w:hint="eastAsia"/>
          <w:sz w:val="24"/>
        </w:rPr>
        <w:t>。相应地，随着替代比例增加，实验饲料中油酸和亚油酸含量相应升高，而</w:t>
      </w:r>
      <w:r>
        <w:rPr>
          <w:sz w:val="24"/>
        </w:rPr>
        <w:t>∑</w:t>
      </w:r>
      <w:r>
        <w:rPr>
          <w:rFonts w:hint="eastAsia"/>
          <w:sz w:val="24"/>
        </w:rPr>
        <w:t>SFAs、</w:t>
      </w:r>
      <w:r>
        <w:rPr>
          <w:sz w:val="24"/>
        </w:rPr>
        <w:t>∑</w:t>
      </w:r>
      <w:r>
        <w:rPr>
          <w:rFonts w:hint="eastAsia"/>
          <w:sz w:val="24"/>
        </w:rPr>
        <w:t>n-3、n-3HUFA和DHA/EPA则显著降低，类似趋势在黑鲷</w:t>
      </w:r>
      <w:r>
        <w:rPr>
          <w:rFonts w:hint="eastAsia"/>
          <w:sz w:val="24"/>
          <w:vertAlign w:val="superscript"/>
        </w:rPr>
        <w:t>[3]</w:t>
      </w:r>
      <w:r>
        <w:rPr>
          <w:rFonts w:hint="eastAsia"/>
          <w:sz w:val="24"/>
        </w:rPr>
        <w:t>的饲料研究中亦有报道。C14﹕0含量从TMM0组的19.11 mg/g显著降至TMM45组的12.44 mg/g（降幅达34.90%），而C18﹕2n6c从295.70 mg/g升至343.01 mg/g（增幅16.00%），这可能是由于黄粉虫粉以亚油酸为主导、缺乏中链饱和脂肪酸和长链n-3 PUFA的脂质特征</w:t>
      </w:r>
      <w:r>
        <w:rPr>
          <w:rFonts w:hint="eastAsia"/>
          <w:sz w:val="24"/>
          <w:vertAlign w:val="superscript"/>
        </w:rPr>
        <w:t>[22]</w:t>
      </w:r>
      <w:r>
        <w:rPr>
          <w:rFonts w:hint="eastAsia"/>
          <w:sz w:val="24"/>
        </w:rPr>
        <w:t>，导致C14﹕0含量和C18﹕2n6c含量的变化。</w:t>
      </w:r>
    </w:p>
    <w:p w14:paraId="232C2B19">
      <w:pPr>
        <w:spacing w:line="360" w:lineRule="auto"/>
        <w:rPr>
          <w:sz w:val="24"/>
        </w:rPr>
      </w:pPr>
      <w:r>
        <w:rPr>
          <w:rFonts w:hint="eastAsia"/>
          <w:sz w:val="24"/>
        </w:rPr>
        <w:t>3.2黄粉虫粉替代鱼粉可提高凡纳滨对虾的生长性能和饲料利用</w:t>
      </w:r>
    </w:p>
    <w:p w14:paraId="707E3047">
      <w:pPr>
        <w:spacing w:line="360" w:lineRule="auto"/>
        <w:ind w:firstLine="480" w:firstLineChars="200"/>
        <w:rPr>
          <w:sz w:val="24"/>
        </w:rPr>
      </w:pPr>
      <w:r>
        <w:rPr>
          <w:rFonts w:hint="eastAsia"/>
          <w:sz w:val="24"/>
        </w:rPr>
        <w:t>近年来，关于以黄粉虫粉替代鱼粉的研究日益增多，并且研究表明适量替代可改善水产动物的生长性能，但过量替代则会产生负面影响。黄粉虫粉替代25%鱼粉可显著提升真鲷</w:t>
      </w:r>
      <w:r>
        <w:rPr>
          <w:rFonts w:hint="eastAsia"/>
          <w:sz w:val="24"/>
          <w:vertAlign w:val="superscript"/>
        </w:rPr>
        <w:t>[23]</w:t>
      </w:r>
      <w:r>
        <w:rPr>
          <w:rFonts w:hint="eastAsia"/>
          <w:sz w:val="24"/>
        </w:rPr>
        <w:t>、欧洲鲈</w:t>
      </w:r>
      <w:r>
        <w:rPr>
          <w:rFonts w:hint="eastAsia"/>
          <w:sz w:val="24"/>
          <w:vertAlign w:val="superscript"/>
        </w:rPr>
        <w:t>[24]</w:t>
      </w:r>
      <w:r>
        <w:rPr>
          <w:rFonts w:hint="eastAsia"/>
          <w:sz w:val="24"/>
        </w:rPr>
        <w:t>的生长性能和饲料转化率。然而，当替代比例升至50%及以上时，真鲷</w:t>
      </w:r>
      <w:r>
        <w:rPr>
          <w:rFonts w:hint="eastAsia"/>
          <w:sz w:val="24"/>
          <w:vertAlign w:val="superscript"/>
        </w:rPr>
        <w:t>[23]</w:t>
      </w:r>
      <w:r>
        <w:rPr>
          <w:rFonts w:hint="eastAsia"/>
          <w:sz w:val="24"/>
        </w:rPr>
        <w:t>的生长性能不再继续改善。另外，当黄粉虫粉替代饲料中一半以上鱼粉时，欧洲鲈</w:t>
      </w:r>
      <w:r>
        <w:rPr>
          <w:rFonts w:hint="eastAsia"/>
          <w:sz w:val="24"/>
          <w:vertAlign w:val="superscript"/>
        </w:rPr>
        <w:t>[24]</w:t>
      </w:r>
      <w:r>
        <w:rPr>
          <w:rFonts w:hint="eastAsia"/>
          <w:sz w:val="24"/>
        </w:rPr>
        <w:t>、许氏平鲉</w:t>
      </w:r>
      <w:r>
        <w:rPr>
          <w:rFonts w:hint="eastAsia"/>
          <w:sz w:val="24"/>
          <w:vertAlign w:val="superscript"/>
        </w:rPr>
        <w:t>[25]</w:t>
      </w:r>
      <w:r>
        <w:rPr>
          <w:rFonts w:hint="eastAsia"/>
          <w:sz w:val="24"/>
        </w:rPr>
        <w:t>、大黄鱼</w:t>
      </w:r>
      <w:r>
        <w:rPr>
          <w:rFonts w:hint="eastAsia"/>
          <w:sz w:val="24"/>
          <w:vertAlign w:val="superscript"/>
        </w:rPr>
        <w:t>[26]</w:t>
      </w:r>
      <w:r>
        <w:rPr>
          <w:rFonts w:hint="eastAsia"/>
          <w:sz w:val="24"/>
        </w:rPr>
        <w:t>的生长性能则会被显著抑制。而在甲壳类动物研究中，在罗氏沼虾研究中，Feng等</w:t>
      </w:r>
      <w:r>
        <w:rPr>
          <w:rFonts w:hint="eastAsia"/>
          <w:sz w:val="24"/>
          <w:vertAlign w:val="superscript"/>
        </w:rPr>
        <w:t>[27]</w:t>
      </w:r>
      <w:r>
        <w:rPr>
          <w:rFonts w:hint="eastAsia"/>
          <w:sz w:val="24"/>
        </w:rPr>
        <w:t>报道12%黄粉虫蛋白替代鱼粉即可显著促进生长，但是黄粉虫粉替代饲料中一半以上鱼粉时，罗氏沼虾生长性能受到抑制。在中华绒螯蟹研究中，脱脂黄粉虫粉替代25%鱼粉时，生长性能略有升高，而替代高达75%鱼粉仍未对生长性能、免疫和消化酶活性产生显著负面影响</w:t>
      </w:r>
      <w:r>
        <w:rPr>
          <w:rFonts w:hint="eastAsia"/>
          <w:sz w:val="24"/>
          <w:vertAlign w:val="superscript"/>
        </w:rPr>
        <w:t>[28]</w:t>
      </w:r>
      <w:r>
        <w:rPr>
          <w:rFonts w:hint="eastAsia"/>
          <w:sz w:val="24"/>
        </w:rPr>
        <w:t>。在窄螯螯虾研究中发现，黄粉虫粉替代50%鱼粉时可以提高窄螯螯虾的生长性能，但是完全替代鱼粉会产生生长抑制</w:t>
      </w:r>
      <w:r>
        <w:rPr>
          <w:rFonts w:hint="eastAsia"/>
          <w:sz w:val="24"/>
          <w:vertAlign w:val="superscript"/>
        </w:rPr>
        <w:t>[29]</w:t>
      </w:r>
      <w:r>
        <w:rPr>
          <w:rFonts w:hint="eastAsia"/>
          <w:sz w:val="24"/>
        </w:rPr>
        <w:t>。在凡纳滨对虾研究中，Panini等</w:t>
      </w:r>
      <w:r>
        <w:rPr>
          <w:rFonts w:hint="eastAsia"/>
          <w:sz w:val="24"/>
          <w:vertAlign w:val="superscript"/>
        </w:rPr>
        <w:t>[30]</w:t>
      </w:r>
      <w:r>
        <w:rPr>
          <w:rFonts w:hint="eastAsia"/>
          <w:sz w:val="24"/>
        </w:rPr>
        <w:t>指出黄粉虫粉完全替代鱼粉未显著影响对虾生长性能，而Choi</w:t>
      </w:r>
      <w:r>
        <w:rPr>
          <w:rFonts w:hint="eastAsia"/>
          <w:sz w:val="24"/>
          <w:vertAlign w:val="superscript"/>
        </w:rPr>
        <w:t>[31]</w:t>
      </w:r>
      <w:r>
        <w:rPr>
          <w:rFonts w:hint="eastAsia"/>
          <w:sz w:val="24"/>
        </w:rPr>
        <w:t>发现黄粉虫粉替代50%鱼粉还能促进对虾生长，与本试验结果一致。在本研究中，TM30组的生长性能显著优于其他处理组。各组间饲料系数无显著差异，与Feng和Panini</w:t>
      </w:r>
      <w:r>
        <w:rPr>
          <w:rFonts w:hint="eastAsia"/>
          <w:sz w:val="24"/>
          <w:vertAlign w:val="superscript"/>
        </w:rPr>
        <w:t>[30]</w:t>
      </w:r>
      <w:r>
        <w:rPr>
          <w:rFonts w:hint="eastAsia"/>
          <w:sz w:val="24"/>
        </w:rPr>
        <w:t>的研究结果一致。其中值得注意的是，TMM45组生长性能相较于TMM30组有所回落，本研究中厂家提供黄粉虫粉中几丁质含量为5.3%（表1），理论上随替代比例递增，饲料中几丁质累积量会相应增加。现有研究表明，几丁质作为昆虫粉中的主要抗营养因子，其抗营养效应具有明显的剂量依赖性:在大菱鲆中，当饲料几丁质含量达1.47%时，SGR即出现显著降低</w:t>
      </w:r>
      <w:r>
        <w:rPr>
          <w:rFonts w:hint="eastAsia"/>
          <w:sz w:val="24"/>
          <w:vertAlign w:val="superscript"/>
        </w:rPr>
        <w:t>[32]</w:t>
      </w:r>
      <w:r>
        <w:rPr>
          <w:rFonts w:hint="eastAsia"/>
          <w:sz w:val="24"/>
        </w:rPr>
        <w:t>，而一篇系统综述指出，几丁质可与蛋白质通过共价键形成复合物，从而降低蛋白质和脂质的消化吸收效率</w:t>
      </w:r>
      <w:r>
        <w:rPr>
          <w:rFonts w:hint="eastAsia"/>
          <w:sz w:val="24"/>
          <w:vertAlign w:val="superscript"/>
        </w:rPr>
        <w:t>[33]</w:t>
      </w:r>
      <w:r>
        <w:rPr>
          <w:rFonts w:hint="eastAsia"/>
          <w:sz w:val="24"/>
        </w:rPr>
        <w:t>。然而，对虾对昆虫源几丁质的表观消化率不高只有28%—36%</w:t>
      </w:r>
      <w:r>
        <w:rPr>
          <w:rFonts w:hint="eastAsia"/>
          <w:sz w:val="24"/>
          <w:vertAlign w:val="superscript"/>
        </w:rPr>
        <w:t>[34]</w:t>
      </w:r>
      <w:r>
        <w:rPr>
          <w:rFonts w:hint="eastAsia"/>
          <w:sz w:val="24"/>
        </w:rPr>
        <w:t>，在日本对虾的研究中，摄入过多的几丁质会抑制其生长性能</w:t>
      </w:r>
      <w:r>
        <w:rPr>
          <w:rFonts w:hint="eastAsia"/>
          <w:sz w:val="24"/>
          <w:vertAlign w:val="superscript"/>
        </w:rPr>
        <w:t>[35]</w:t>
      </w:r>
      <w:r>
        <w:rPr>
          <w:rFonts w:hint="eastAsia"/>
          <w:sz w:val="24"/>
        </w:rPr>
        <w:t>，结合本研究配方发现，基础配方中含有虾粉可能也有提供几丁质，加上黄粉虫替代鱼粉提供的几丁质，可能导致TMM45组饲料几丁质含量过多。由于本研究没有对饲料进行几丁质含量测定，只能推测TMM45组的生长性能下降可能时由于几丁质含量过高可能时导致，上述推测有待后续研究进一步验证。</w:t>
      </w:r>
    </w:p>
    <w:p w14:paraId="340EF799">
      <w:pPr>
        <w:spacing w:line="360" w:lineRule="auto"/>
        <w:ind w:firstLine="480" w:firstLineChars="200"/>
        <w:rPr>
          <w:sz w:val="24"/>
        </w:rPr>
      </w:pPr>
      <w:r>
        <w:rPr>
          <w:rFonts w:hint="eastAsia"/>
          <w:sz w:val="24"/>
        </w:rPr>
        <w:t>从经济性角度分析，应考虑饲料成本效益。近年来，全球鱼粉价格波动剧烈且呈长期上升趋势，2023年进口秘鲁超级蒸汽鱼粉价格一度突破17500元/吨，创历史新高</w:t>
      </w:r>
      <w:r>
        <w:rPr>
          <w:rFonts w:hint="eastAsia"/>
          <w:sz w:val="24"/>
          <w:vertAlign w:val="superscript"/>
        </w:rPr>
        <w:t>[36]</w:t>
      </w:r>
      <w:r>
        <w:rPr>
          <w:rFonts w:hint="eastAsia"/>
          <w:sz w:val="24"/>
        </w:rPr>
        <w:t>，2025年上半年回落至12900—13500元/吨区间，但仍处于历史中高位水平。目前，本研究中使用的脱脂黄粉虫粉价格约为8200元/吨，其价格显著低于进口红鱼粉。以本研究TMM30组为例，每吨饲料中鱼粉用量由250降至175kg，同时添加黄粉虫粉76.3kg，每吨饲料可节约原料成本约670元。在本研究中，与TMM0组相比，TMM30组饲料成本降低8.01%，同时由于该组增重率和饲料系数均优于TMM0组，总收入和利润分别提升17.12%和35.28%，实现降本增效。因此，本研究以TMM等蛋白替代30%FM不仅能够改善对虾生长性能，还具有明显的饲料成本优势，为黄粉虫粉在对虾配合饲料中的规模化推广应用提供了经济可行性依据。</w:t>
      </w:r>
    </w:p>
    <w:p w14:paraId="3D3D8053">
      <w:pPr>
        <w:spacing w:line="360" w:lineRule="auto"/>
        <w:rPr>
          <w:sz w:val="24"/>
        </w:rPr>
      </w:pPr>
      <w:r>
        <w:rPr>
          <w:rFonts w:hint="eastAsia"/>
          <w:sz w:val="24"/>
        </w:rPr>
        <w:t>3.3黄粉虫粉替代鱼粉提高凡纳滨对虾抗氧化能力</w:t>
      </w:r>
    </w:p>
    <w:p w14:paraId="7B70BE86">
      <w:pPr>
        <w:spacing w:line="360" w:lineRule="auto"/>
        <w:ind w:firstLine="480" w:firstLineChars="200"/>
        <w:rPr>
          <w:sz w:val="24"/>
        </w:rPr>
      </w:pPr>
      <w:r>
        <w:rPr>
          <w:rFonts w:hint="eastAsia"/>
          <w:sz w:val="24"/>
        </w:rPr>
        <w:t>MDA含量通常可以反映脂质过氧化的程度，也间接反映细胞损伤的严重程度</w:t>
      </w:r>
      <w:r>
        <w:rPr>
          <w:rFonts w:hint="eastAsia"/>
          <w:sz w:val="24"/>
          <w:vertAlign w:val="superscript"/>
        </w:rPr>
        <w:t>[37]</w:t>
      </w:r>
      <w:r>
        <w:rPr>
          <w:rFonts w:hint="eastAsia"/>
          <w:sz w:val="24"/>
        </w:rPr>
        <w:t>。SOD催化自由基生成H</w:t>
      </w:r>
      <w:r>
        <w:rPr>
          <w:rFonts w:hint="eastAsia"/>
          <w:sz w:val="24"/>
          <w:vertAlign w:val="subscript"/>
        </w:rPr>
        <w:t>2</w:t>
      </w:r>
      <w:r>
        <w:rPr>
          <w:rFonts w:hint="eastAsia"/>
          <w:sz w:val="24"/>
        </w:rPr>
        <w:t>O</w:t>
      </w:r>
      <w:r>
        <w:rPr>
          <w:rFonts w:hint="eastAsia"/>
          <w:sz w:val="24"/>
          <w:vertAlign w:val="subscript"/>
        </w:rPr>
        <w:t>2</w:t>
      </w:r>
      <w:r>
        <w:rPr>
          <w:rFonts w:hint="eastAsia"/>
          <w:sz w:val="24"/>
        </w:rPr>
        <w:t>和O</w:t>
      </w:r>
      <w:r>
        <w:rPr>
          <w:rFonts w:hint="eastAsia"/>
          <w:sz w:val="24"/>
          <w:vertAlign w:val="subscript"/>
        </w:rPr>
        <w:t>2</w:t>
      </w:r>
      <w:r>
        <w:rPr>
          <w:rFonts w:hint="eastAsia"/>
          <w:sz w:val="24"/>
        </w:rPr>
        <w:t>，CAT进一步催化H</w:t>
      </w:r>
      <w:r>
        <w:rPr>
          <w:rFonts w:hint="eastAsia"/>
          <w:sz w:val="24"/>
          <w:vertAlign w:val="subscript"/>
        </w:rPr>
        <w:t>2</w:t>
      </w:r>
      <w:r>
        <w:rPr>
          <w:rFonts w:hint="eastAsia"/>
          <w:sz w:val="24"/>
        </w:rPr>
        <w:t>O</w:t>
      </w:r>
      <w:r>
        <w:rPr>
          <w:rFonts w:hint="eastAsia"/>
          <w:sz w:val="24"/>
          <w:vertAlign w:val="subscript"/>
        </w:rPr>
        <w:t>2</w:t>
      </w:r>
      <w:r>
        <w:rPr>
          <w:rFonts w:hint="eastAsia"/>
          <w:sz w:val="24"/>
        </w:rPr>
        <w:t>产生水和氧气</w:t>
      </w:r>
      <w:r>
        <w:rPr>
          <w:rFonts w:hint="eastAsia"/>
          <w:sz w:val="24"/>
          <w:vertAlign w:val="superscript"/>
        </w:rPr>
        <w:t>[38]</w:t>
      </w:r>
      <w:r>
        <w:rPr>
          <w:rFonts w:hint="eastAsia"/>
          <w:sz w:val="24"/>
        </w:rPr>
        <w:t>。在本研究中，黄粉虫粉替代鱼粉有效提高凡纳滨对虾的抗氧化能力，表现为SOD和CAT活性及其基因表达上调，MDA含量下降，表明饲料中的黄粉虫粉可通过增强酶促抗氧化系统缓解脂质过氧化。鱼类研究表明，以黄粉虫粉替代50%鱼粉可提高虹鳟SOD和CAT等抗氧化酶活性</w:t>
      </w:r>
      <w:r>
        <w:rPr>
          <w:rFonts w:hint="eastAsia"/>
          <w:sz w:val="24"/>
          <w:vertAlign w:val="superscript"/>
        </w:rPr>
        <w:t>[39]</w:t>
      </w:r>
      <w:r>
        <w:rPr>
          <w:rFonts w:hint="eastAsia"/>
          <w:sz w:val="24"/>
        </w:rPr>
        <w:t>，以黄粉虫粉替代75%鱼粉可提高尼罗罗非鱼SOD和CAT等抗氧化酶活性</w:t>
      </w:r>
      <w:r>
        <w:rPr>
          <w:rFonts w:hint="eastAsia"/>
          <w:sz w:val="24"/>
          <w:vertAlign w:val="superscript"/>
        </w:rPr>
        <w:t>[40]</w:t>
      </w:r>
      <w:r>
        <w:rPr>
          <w:rFonts w:hint="eastAsia"/>
          <w:sz w:val="24"/>
        </w:rPr>
        <w:t>，在罗氏沼虾研究中，以黄粉虫蛋白替代鱼粉可提高罗氏沼虾的SOD等抗氧化酶活</w:t>
      </w:r>
      <w:r>
        <w:rPr>
          <w:rFonts w:hint="eastAsia"/>
          <w:sz w:val="24"/>
          <w:vertAlign w:val="superscript"/>
        </w:rPr>
        <w:t>[27]</w:t>
      </w:r>
      <w:r>
        <w:rPr>
          <w:rFonts w:hint="eastAsia"/>
          <w:sz w:val="24"/>
        </w:rPr>
        <w:t>，表明饲料中黄粉虫粉能增强水生动物的抗氧化能力。黄粉虫粉中提高抗氧化性能的活性成分可能包括多个方面，几丁质及其衍生物壳聚糖具有自由基清除活性，被认为是潜在的天然抗氧化剂</w:t>
      </w:r>
      <w:r>
        <w:rPr>
          <w:rFonts w:hint="eastAsia"/>
          <w:sz w:val="24"/>
          <w:vertAlign w:val="superscript"/>
        </w:rPr>
        <w:t>[38]</w:t>
      </w:r>
      <w:r>
        <w:rPr>
          <w:rFonts w:hint="eastAsia"/>
          <w:sz w:val="24"/>
        </w:rPr>
        <w:t>。此外，黄粉虫粉中还含有多酚类物质和类胡萝卜素等非蛋白活性成分，可能对抗氧化防御产生协同促进作用</w:t>
      </w:r>
      <w:r>
        <w:rPr>
          <w:rFonts w:hint="eastAsia"/>
          <w:sz w:val="24"/>
          <w:vertAlign w:val="superscript"/>
        </w:rPr>
        <w:t>[41]</w:t>
      </w:r>
      <w:r>
        <w:rPr>
          <w:rFonts w:hint="eastAsia"/>
          <w:sz w:val="24"/>
        </w:rPr>
        <w:t>。饲料中黄粉虫粉具体是如何增强凡纳滨对虾的抗氧化能力，仍需进一步实验验证。</w:t>
      </w:r>
    </w:p>
    <w:p w14:paraId="2F4A1ABC">
      <w:pPr>
        <w:spacing w:line="360" w:lineRule="auto"/>
        <w:rPr>
          <w:sz w:val="24"/>
        </w:rPr>
      </w:pPr>
      <w:r>
        <w:rPr>
          <w:rFonts w:hint="eastAsia"/>
          <w:sz w:val="24"/>
        </w:rPr>
        <w:t>3.4黄粉虫粉替代鱼粉提高凡纳滨对虾免疫</w:t>
      </w:r>
    </w:p>
    <w:p w14:paraId="48F0621B">
      <w:pPr>
        <w:spacing w:line="360" w:lineRule="auto"/>
        <w:ind w:firstLine="480" w:firstLineChars="200"/>
        <w:rPr>
          <w:sz w:val="24"/>
        </w:rPr>
      </w:pPr>
      <w:r>
        <w:rPr>
          <w:rFonts w:hint="eastAsia"/>
          <w:sz w:val="24"/>
        </w:rPr>
        <w:t>凡纳滨对虾作为典型无脊椎动物，其免疫防御主要依赖先天性免疫系统。先天免疫系统通过种系编码的模式识别受体（Pattern recognition receptors，PRRs）识别病原相关分子模式，，进而激活下游信号级联和效应分子表达</w:t>
      </w:r>
      <w:r>
        <w:rPr>
          <w:rFonts w:hint="eastAsia"/>
          <w:sz w:val="24"/>
          <w:vertAlign w:val="superscript"/>
        </w:rPr>
        <w:t>[42]</w:t>
      </w:r>
      <w:r>
        <w:rPr>
          <w:rFonts w:hint="eastAsia"/>
          <w:sz w:val="24"/>
        </w:rPr>
        <w:t>。其中，脂多糖和</w:t>
      </w:r>
      <w:r>
        <w:rPr>
          <w:sz w:val="24"/>
        </w:rPr>
        <w:t>β</w:t>
      </w:r>
      <w:r>
        <w:rPr>
          <w:rFonts w:hint="eastAsia"/>
          <w:sz w:val="24"/>
        </w:rPr>
        <w:t xml:space="preserve">-1，3-葡聚糖结合蛋白（Lipopolysaccharide and </w:t>
      </w:r>
      <w:r>
        <w:rPr>
          <w:sz w:val="24"/>
        </w:rPr>
        <w:t>β</w:t>
      </w:r>
      <w:r>
        <w:rPr>
          <w:rFonts w:hint="eastAsia"/>
          <w:sz w:val="24"/>
        </w:rPr>
        <w:t>-1，3-glucan binding protein，LGBP）可识别细菌脂多糖和真菌</w:t>
      </w:r>
      <w:r>
        <w:rPr>
          <w:sz w:val="24"/>
        </w:rPr>
        <w:t>β</w:t>
      </w:r>
      <w:r>
        <w:rPr>
          <w:rFonts w:hint="eastAsia"/>
          <w:sz w:val="24"/>
        </w:rPr>
        <w:t>-葡聚糖，激活酚氧化酶原级联反应和抗菌肽基因表达</w:t>
      </w:r>
      <w:r>
        <w:rPr>
          <w:rFonts w:hint="eastAsia"/>
          <w:sz w:val="24"/>
          <w:vertAlign w:val="superscript"/>
        </w:rPr>
        <w:t>[43]</w:t>
      </w:r>
      <w:r>
        <w:rPr>
          <w:rFonts w:hint="eastAsia"/>
          <w:sz w:val="24"/>
        </w:rPr>
        <w:t>。抗菌肽（Antimicrobial peptides，AMPs）是对虾先天免疫的重要效应分子，在抵御病原菌入侵中发挥关键作用，其中包括甲壳素抗菌肽（Crustin）、抗脂多糖因子（Anti lipopolysaccharide factor，ALF）和对虾素（Penaeidins）</w:t>
      </w:r>
      <w:r>
        <w:rPr>
          <w:rFonts w:hint="eastAsia"/>
          <w:sz w:val="24"/>
          <w:vertAlign w:val="superscript"/>
        </w:rPr>
        <w:t>[44，45]</w:t>
      </w:r>
      <w:r>
        <w:rPr>
          <w:rFonts w:hint="eastAsia"/>
          <w:sz w:val="24"/>
        </w:rPr>
        <w:t>。已有研究表明，饲料中黄粉虫粉可增强多种水产动物的免疫功能。在鱼类中，黄粉虫粉替代鱼粉可显著提升褐牙鲆</w:t>
      </w:r>
      <w:r>
        <w:rPr>
          <w:rFonts w:hint="eastAsia"/>
          <w:sz w:val="24"/>
          <w:vertAlign w:val="superscript"/>
        </w:rPr>
        <w:t>[46]</w:t>
      </w:r>
      <w:r>
        <w:rPr>
          <w:rFonts w:hint="eastAsia"/>
          <w:sz w:val="24"/>
        </w:rPr>
        <w:t>、大口黑鲈</w:t>
      </w:r>
      <w:r>
        <w:rPr>
          <w:rFonts w:hint="eastAsia"/>
          <w:sz w:val="24"/>
          <w:vertAlign w:val="superscript"/>
        </w:rPr>
        <w:t>[47]</w:t>
      </w:r>
      <w:r>
        <w:rPr>
          <w:rFonts w:hint="eastAsia"/>
          <w:sz w:val="24"/>
        </w:rPr>
        <w:t>、黄颡鱼</w:t>
      </w:r>
      <w:r>
        <w:rPr>
          <w:rFonts w:hint="eastAsia"/>
          <w:sz w:val="24"/>
          <w:vertAlign w:val="superscript"/>
        </w:rPr>
        <w:t>[48]</w:t>
      </w:r>
      <w:r>
        <w:rPr>
          <w:rFonts w:hint="eastAsia"/>
          <w:sz w:val="24"/>
        </w:rPr>
        <w:t>和虹鳟</w:t>
      </w:r>
      <w:r>
        <w:rPr>
          <w:rFonts w:hint="eastAsia"/>
          <w:sz w:val="24"/>
          <w:vertAlign w:val="superscript"/>
        </w:rPr>
        <w:t>[38]</w:t>
      </w:r>
      <w:r>
        <w:rPr>
          <w:rFonts w:hint="eastAsia"/>
          <w:sz w:val="24"/>
        </w:rPr>
        <w:t>的多项免疫指标，并提高黄颡鱼</w:t>
      </w:r>
      <w:r>
        <w:rPr>
          <w:rFonts w:hint="eastAsia"/>
          <w:sz w:val="24"/>
          <w:vertAlign w:val="superscript"/>
        </w:rPr>
        <w:t>[51]</w:t>
      </w:r>
      <w:r>
        <w:rPr>
          <w:rFonts w:hint="eastAsia"/>
          <w:sz w:val="24"/>
        </w:rPr>
        <w:t>和真鲷</w:t>
      </w:r>
      <w:r>
        <w:rPr>
          <w:rFonts w:hint="eastAsia"/>
          <w:sz w:val="24"/>
          <w:vertAlign w:val="superscript"/>
        </w:rPr>
        <w:t>[23]</w:t>
      </w:r>
      <w:r>
        <w:rPr>
          <w:rFonts w:hint="eastAsia"/>
          <w:sz w:val="24"/>
        </w:rPr>
        <w:t>对迟缓爱德华氏菌的抗病能力。在甲壳类的研究中，Choi等</w:t>
      </w:r>
      <w:r>
        <w:rPr>
          <w:rFonts w:hint="eastAsia"/>
          <w:sz w:val="24"/>
          <w:vertAlign w:val="superscript"/>
        </w:rPr>
        <w:t>[30]</w:t>
      </w:r>
      <w:r>
        <w:rPr>
          <w:rFonts w:hint="eastAsia"/>
          <w:sz w:val="24"/>
        </w:rPr>
        <w:t>报道饲料添加黄粉虫粉可显著提高凡纳滨对虾抵抗白斑综合征病毒攻毒后的存活率，Motte等</w:t>
      </w:r>
      <w:r>
        <w:rPr>
          <w:rFonts w:hint="eastAsia"/>
          <w:sz w:val="24"/>
          <w:vertAlign w:val="superscript"/>
        </w:rPr>
        <w:t>[12]</w:t>
      </w:r>
      <w:r>
        <w:rPr>
          <w:rFonts w:hint="eastAsia"/>
          <w:sz w:val="24"/>
        </w:rPr>
        <w:t>进一步证实黄粉虫粉组在副溶血弧菌感染后累积死亡率显著降低，Feng等</w:t>
      </w:r>
      <w:r>
        <w:rPr>
          <w:rFonts w:hint="eastAsia"/>
          <w:sz w:val="24"/>
          <w:vertAlign w:val="superscript"/>
        </w:rPr>
        <w:t>[27]</w:t>
      </w:r>
      <w:r>
        <w:rPr>
          <w:rFonts w:hint="eastAsia"/>
          <w:sz w:val="24"/>
        </w:rPr>
        <w:t>在罗氏沼虾中也观察到类似的免疫增益效应。本研究结果与上述报道相互印证，随着黄粉虫粉替代比例提高，凡纳滨对虾酚氧化酶和溶菌酶酶活和基因表达均提升，为探究黄粉虫粉调控对虾免疫的分子机制，本研究检测Toll/IMD和JAKSTAT两条主要免疫信号通路的关键基因表达。在Toll/IMD通路中，Dorsal和Cactus是Toll通路的核心转录因子和调节蛋白，Dorsal经级联放大效应启动Toll通路介导抗真菌和革兰氏阳性菌防御，Relish驱动IMD通路，上调抗菌肽基因表达，以抵御革兰氏阴性菌侵袭</w:t>
      </w:r>
      <w:r>
        <w:rPr>
          <w:rFonts w:hint="eastAsia"/>
          <w:sz w:val="24"/>
          <w:vertAlign w:val="superscript"/>
        </w:rPr>
        <w:t>[49]</w:t>
      </w:r>
      <w:r>
        <w:rPr>
          <w:rFonts w:hint="eastAsia"/>
          <w:sz w:val="24"/>
        </w:rPr>
        <w:t>。在本研究中，</w:t>
      </w:r>
      <w:r>
        <w:rPr>
          <w:rFonts w:hint="eastAsia"/>
          <w:i/>
          <w:iCs/>
          <w:sz w:val="24"/>
        </w:rPr>
        <w:t>dor</w:t>
      </w:r>
      <w:r>
        <w:rPr>
          <w:rFonts w:hint="eastAsia"/>
          <w:sz w:val="24"/>
        </w:rPr>
        <w:t>表达在TMM15组显著上调，</w:t>
      </w:r>
      <w:r>
        <w:rPr>
          <w:rFonts w:hint="eastAsia"/>
          <w:i/>
          <w:iCs/>
          <w:sz w:val="24"/>
        </w:rPr>
        <w:t>rel</w:t>
      </w:r>
      <w:r>
        <w:rPr>
          <w:rFonts w:hint="eastAsia"/>
          <w:sz w:val="24"/>
        </w:rPr>
        <w:t>和</w:t>
      </w:r>
      <w:r>
        <w:rPr>
          <w:rFonts w:hint="eastAsia"/>
          <w:i/>
          <w:iCs/>
          <w:sz w:val="24"/>
        </w:rPr>
        <w:t>cact</w:t>
      </w:r>
      <w:r>
        <w:rPr>
          <w:rFonts w:hint="eastAsia"/>
          <w:sz w:val="24"/>
        </w:rPr>
        <w:t>在TMM30组显著上调，表明黄粉虫粉可激活对虾TLR/IMD信号通路。Gu等</w:t>
      </w:r>
      <w:r>
        <w:rPr>
          <w:rFonts w:hint="eastAsia"/>
          <w:sz w:val="24"/>
          <w:vertAlign w:val="superscript"/>
        </w:rPr>
        <w:t>[47]</w:t>
      </w:r>
      <w:r>
        <w:rPr>
          <w:rFonts w:hint="eastAsia"/>
          <w:sz w:val="24"/>
        </w:rPr>
        <w:t>在大口黑鲈中也观察到黄粉虫粉可上调</w:t>
      </w:r>
      <w:r>
        <w:rPr>
          <w:rFonts w:hint="eastAsia"/>
          <w:i/>
          <w:iCs/>
          <w:sz w:val="24"/>
        </w:rPr>
        <w:t>TLR</w:t>
      </w:r>
      <w:r>
        <w:rPr>
          <w:rFonts w:hint="eastAsia"/>
          <w:sz w:val="24"/>
        </w:rPr>
        <w:t>相关基因表达。另外，JAK-STAT通路是对虾另一条重要的先天免疫信号通路，参与调控抗菌肽表达和免疫应答</w:t>
      </w:r>
      <w:r>
        <w:rPr>
          <w:rFonts w:hint="eastAsia"/>
          <w:sz w:val="24"/>
          <w:vertAlign w:val="superscript"/>
        </w:rPr>
        <w:t>[44</w:t>
      </w:r>
      <w:r>
        <w:rPr>
          <w:sz w:val="24"/>
          <w:vertAlign w:val="superscript"/>
        </w:rPr>
        <w:t>,</w:t>
      </w:r>
      <w:r>
        <w:rPr>
          <w:rFonts w:hint="eastAsia"/>
          <w:sz w:val="24"/>
          <w:vertAlign w:val="superscript"/>
        </w:rPr>
        <w:t>50]</w:t>
      </w:r>
      <w:r>
        <w:rPr>
          <w:rFonts w:hint="eastAsia"/>
          <w:sz w:val="24"/>
        </w:rPr>
        <w:t>。Sun等</w:t>
      </w:r>
      <w:r>
        <w:rPr>
          <w:rFonts w:hint="eastAsia"/>
          <w:sz w:val="24"/>
          <w:vertAlign w:val="superscript"/>
        </w:rPr>
        <w:t>[50]</w:t>
      </w:r>
      <w:r>
        <w:rPr>
          <w:rFonts w:hint="eastAsia"/>
          <w:sz w:val="24"/>
        </w:rPr>
        <w:t>研究表明，C型凝集素可通过其卷曲螺旋结构域直接结合Domeless受体，从而激活对虾JAK/STAT通路。在本研究中，</w:t>
      </w:r>
      <w:r>
        <w:rPr>
          <w:rFonts w:hint="eastAsia"/>
          <w:i/>
          <w:iCs/>
          <w:sz w:val="24"/>
        </w:rPr>
        <w:t>stat</w:t>
      </w:r>
      <w:r>
        <w:rPr>
          <w:rFonts w:hint="eastAsia"/>
          <w:sz w:val="24"/>
        </w:rPr>
        <w:t>、</w:t>
      </w:r>
      <w:r>
        <w:rPr>
          <w:rFonts w:hint="eastAsia"/>
          <w:i/>
          <w:iCs/>
          <w:sz w:val="24"/>
        </w:rPr>
        <w:t>jun</w:t>
      </w:r>
      <w:r>
        <w:rPr>
          <w:rFonts w:hint="eastAsia"/>
          <w:sz w:val="24"/>
        </w:rPr>
        <w:t>和</w:t>
      </w:r>
      <w:r>
        <w:rPr>
          <w:rFonts w:hint="eastAsia"/>
          <w:i/>
          <w:iCs/>
          <w:sz w:val="24"/>
        </w:rPr>
        <w:t>fos</w:t>
      </w:r>
      <w:r>
        <w:rPr>
          <w:rFonts w:hint="eastAsia"/>
          <w:sz w:val="24"/>
        </w:rPr>
        <w:t>基因在各替代组中的表达均显著上调，表明黄粉虫粉替代鱼粉可激活凡纳滨对虾的JAK-STAT信号通路。尽管目前尚无黄粉虫粉直接激活JAK-STAT通路的研究报道，但已有证据表明，几丁质酶在对虾免疫应答中可响应并调控</w:t>
      </w:r>
      <w:r>
        <w:rPr>
          <w:rFonts w:hint="eastAsia"/>
          <w:i/>
          <w:iCs/>
          <w:sz w:val="24"/>
        </w:rPr>
        <w:t>jun</w:t>
      </w:r>
      <w:r>
        <w:rPr>
          <w:rFonts w:hint="eastAsia"/>
          <w:sz w:val="24"/>
        </w:rPr>
        <w:t>、</w:t>
      </w:r>
      <w:r>
        <w:rPr>
          <w:rFonts w:hint="eastAsia"/>
          <w:i/>
          <w:iCs/>
          <w:sz w:val="24"/>
        </w:rPr>
        <w:t>fos</w:t>
      </w:r>
      <w:r>
        <w:rPr>
          <w:rFonts w:hint="eastAsia"/>
          <w:sz w:val="24"/>
        </w:rPr>
        <w:t>和</w:t>
      </w:r>
      <w:r>
        <w:rPr>
          <w:rFonts w:hint="eastAsia"/>
          <w:i/>
          <w:iCs/>
          <w:sz w:val="24"/>
        </w:rPr>
        <w:t>stat</w:t>
      </w:r>
      <w:r>
        <w:rPr>
          <w:rFonts w:hint="eastAsia"/>
          <w:sz w:val="24"/>
        </w:rPr>
        <w:t>基因的表达</w:t>
      </w:r>
      <w:r>
        <w:rPr>
          <w:rFonts w:hint="eastAsia"/>
          <w:sz w:val="24"/>
          <w:vertAlign w:val="superscript"/>
        </w:rPr>
        <w:t>[14</w:t>
      </w:r>
      <w:r>
        <w:rPr>
          <w:sz w:val="24"/>
          <w:vertAlign w:val="superscript"/>
        </w:rPr>
        <w:t>,</w:t>
      </w:r>
      <w:r>
        <w:rPr>
          <w:rFonts w:hint="eastAsia"/>
          <w:sz w:val="24"/>
          <w:vertAlign w:val="superscript"/>
        </w:rPr>
        <w:t>51]</w:t>
      </w:r>
      <w:r>
        <w:rPr>
          <w:rFonts w:hint="eastAsia"/>
          <w:sz w:val="24"/>
        </w:rPr>
        <w:t>。黄粉虫粉中几丁质含量较高，可能通过诱导几丁质酶活性增加，进而激活JAK-STAT通路。此外，黄粉虫体内含有丰富的内源性抗菌肽，包括tenecin-1（防御素家族）、tenecin-2（天蚕素家族）、tenecin-3（硫代宁家族）和tenecin-4（attacin家族）</w:t>
      </w:r>
      <w:r>
        <w:rPr>
          <w:rFonts w:hint="eastAsia"/>
          <w:sz w:val="24"/>
          <w:vertAlign w:val="superscript"/>
        </w:rPr>
        <w:t>[52</w:t>
      </w:r>
      <w:r>
        <w:rPr>
          <w:sz w:val="24"/>
          <w:vertAlign w:val="superscript"/>
        </w:rPr>
        <w:t>,</w:t>
      </w:r>
      <w:r>
        <w:rPr>
          <w:rFonts w:hint="eastAsia"/>
          <w:sz w:val="24"/>
          <w:vertAlign w:val="superscript"/>
        </w:rPr>
        <w:t>53]</w:t>
      </w:r>
      <w:r>
        <w:rPr>
          <w:rFonts w:hint="eastAsia"/>
          <w:sz w:val="24"/>
        </w:rPr>
        <w:t>。这些昆虫源AMPs在黄粉虫粉加工过程中可能部分保留其生物活性，当被对虾摄入后，可作为外源免疫刺激物质被PRR识别，从而通过Toll/IMD通路的级联效应间接激活JAK-STAT通路。然而，目前关于黄粉虫粉与JAK-STAT通路的直接研究仍属空白，上述机制推测仍需要实验加以验证。</w:t>
      </w:r>
    </w:p>
    <w:p w14:paraId="48F08E69">
      <w:pPr>
        <w:spacing w:line="360" w:lineRule="auto"/>
        <w:rPr>
          <w:sz w:val="24"/>
        </w:rPr>
      </w:pPr>
      <w:r>
        <w:rPr>
          <w:rFonts w:hint="eastAsia"/>
          <w:sz w:val="24"/>
        </w:rPr>
        <w:t>3.5黄粉虫粉替代鱼粉对凡纳滨对虾肌肉氨基酸沉积与风味品质的分析</w:t>
      </w:r>
    </w:p>
    <w:p w14:paraId="4F941B80">
      <w:pPr>
        <w:spacing w:line="360" w:lineRule="auto"/>
        <w:ind w:firstLine="480" w:firstLineChars="200"/>
        <w:rPr>
          <w:sz w:val="24"/>
        </w:rPr>
      </w:pPr>
      <w:r>
        <w:rPr>
          <w:rFonts w:hint="eastAsia"/>
          <w:sz w:val="24"/>
        </w:rPr>
        <w:t>肌肉蛋白质和脂肪含量及组成是评价对虾营养价值的关键指标。已有研究指出，复合植物蛋白源替代鱼粉使对虾肌肉的氨基酸谱发生显著变化</w:t>
      </w:r>
      <w:r>
        <w:rPr>
          <w:rFonts w:hint="eastAsia"/>
          <w:sz w:val="24"/>
          <w:vertAlign w:val="superscript"/>
        </w:rPr>
        <w:t>[54]</w:t>
      </w:r>
      <w:r>
        <w:rPr>
          <w:rFonts w:hint="eastAsia"/>
          <w:sz w:val="24"/>
        </w:rPr>
        <w:t>。在本研究中，黄粉虫粉替代对虾饲料鱼粉后，对养殖8周后的对虾肌肉进行氨基酸和脂肪酸沉积分析，发现凡纳滨对虾整体脂质含量随着黄粉虫粉的增加而增加，而对虾肌肉粗蛋白含量未受黄粉虫替代影响，虽然在鱼类的研究中表明，饲料中黄粉虫粉可提高水生动物的全身粗蛋白含量</w:t>
      </w:r>
      <w:r>
        <w:rPr>
          <w:rFonts w:hint="eastAsia"/>
          <w:sz w:val="24"/>
          <w:vertAlign w:val="superscript"/>
        </w:rPr>
        <w:t>[55]</w:t>
      </w:r>
      <w:r>
        <w:rPr>
          <w:rFonts w:hint="eastAsia"/>
          <w:sz w:val="24"/>
        </w:rPr>
        <w:t>，降低欧洲鲈和虹鳟的全身粗脂含量</w:t>
      </w:r>
      <w:r>
        <w:rPr>
          <w:rFonts w:hint="eastAsia"/>
          <w:sz w:val="24"/>
          <w:vertAlign w:val="superscript"/>
        </w:rPr>
        <w:t>[55</w:t>
      </w:r>
      <w:r>
        <w:rPr>
          <w:sz w:val="24"/>
          <w:vertAlign w:val="superscript"/>
        </w:rPr>
        <w:t>,</w:t>
      </w:r>
      <w:r>
        <w:rPr>
          <w:rFonts w:hint="eastAsia"/>
          <w:sz w:val="24"/>
          <w:vertAlign w:val="superscript"/>
        </w:rPr>
        <w:t>56]</w:t>
      </w:r>
      <w:r>
        <w:rPr>
          <w:rFonts w:hint="eastAsia"/>
          <w:sz w:val="24"/>
        </w:rPr>
        <w:t>，这与我们的研究结果不相符。但在其他甲壳类中也观察到类似现象，Yao等</w:t>
      </w:r>
      <w:r>
        <w:rPr>
          <w:rFonts w:hint="eastAsia"/>
          <w:sz w:val="24"/>
          <w:vertAlign w:val="superscript"/>
        </w:rPr>
        <w:t>[28]</w:t>
      </w:r>
      <w:r>
        <w:rPr>
          <w:rFonts w:hint="eastAsia"/>
          <w:sz w:val="24"/>
        </w:rPr>
        <w:t>报道中华绒螯蟹摄食黄粉虫替代饲料后，体脂含量随替代比例增加而升高。但是在凡纳滨对虾的研究中，Panini等</w:t>
      </w:r>
      <w:r>
        <w:rPr>
          <w:rFonts w:hint="eastAsia"/>
          <w:sz w:val="24"/>
          <w:vertAlign w:val="superscript"/>
        </w:rPr>
        <w:t>[11]</w:t>
      </w:r>
      <w:r>
        <w:rPr>
          <w:rFonts w:hint="eastAsia"/>
          <w:sz w:val="24"/>
        </w:rPr>
        <w:t>研究的结果与本研究的结果一致。</w:t>
      </w:r>
    </w:p>
    <w:p w14:paraId="7FEFD0AB">
      <w:pPr>
        <w:spacing w:line="360" w:lineRule="auto"/>
        <w:ind w:firstLine="480" w:firstLineChars="200"/>
        <w:rPr>
          <w:sz w:val="24"/>
        </w:rPr>
      </w:pPr>
      <w:r>
        <w:rPr>
          <w:rFonts w:hint="eastAsia"/>
          <w:sz w:val="24"/>
        </w:rPr>
        <w:t>在肌肉氨基酸组成方面，肌肉EAA/TAA比例在各组间变化极小（44.19%—45.05%），与斑鳜和罗非鱼在摄食黄粉虫粉替代饲料后的结果一致</w:t>
      </w:r>
      <w:r>
        <w:rPr>
          <w:rFonts w:hint="eastAsia"/>
          <w:sz w:val="24"/>
          <w:vertAlign w:val="superscript"/>
        </w:rPr>
        <w:t>[57</w:t>
      </w:r>
      <w:r>
        <w:rPr>
          <w:sz w:val="24"/>
          <w:vertAlign w:val="superscript"/>
        </w:rPr>
        <w:t>,</w:t>
      </w:r>
      <w:r>
        <w:rPr>
          <w:rFonts w:hint="eastAsia"/>
          <w:sz w:val="24"/>
          <w:vertAlign w:val="superscript"/>
        </w:rPr>
        <w:t>58]</w:t>
      </w:r>
      <w:r>
        <w:rPr>
          <w:rFonts w:hint="eastAsia"/>
          <w:sz w:val="24"/>
        </w:rPr>
        <w:t>。然而，风味氨基酸总和在TMM45组显著降低，主要归因于精氨酸含量的线性下降。除谷氨酸、天冬氨酸、甘氨酸等甜氨基酸对虾肌肉的味道有显著影响，精氨酸被认为是对虾肌肉风味贡献最大的氨基酸</w:t>
      </w:r>
      <w:r>
        <w:rPr>
          <w:rFonts w:hint="eastAsia"/>
          <w:sz w:val="24"/>
          <w:vertAlign w:val="superscript"/>
        </w:rPr>
        <w:t>[59]</w:t>
      </w:r>
      <w:r>
        <w:rPr>
          <w:rFonts w:hint="eastAsia"/>
          <w:sz w:val="24"/>
        </w:rPr>
        <w:t>，精氨酸的降低可能对高黄粉虫粉替代水平下虾产品的感官品质产生不利影响。饲料中精氨酸含量随替代比例增加而下降的趋势与肌肉中的变化一致，表明饲料中氨基酸供给直接影响肌肉氨基酸沉积</w:t>
      </w:r>
      <w:r>
        <w:rPr>
          <w:rFonts w:hint="eastAsia"/>
          <w:sz w:val="24"/>
          <w:vertAlign w:val="superscript"/>
        </w:rPr>
        <w:t>[60]</w:t>
      </w:r>
      <w:r>
        <w:rPr>
          <w:rFonts w:hint="eastAsia"/>
          <w:sz w:val="24"/>
        </w:rPr>
        <w:t>。这说明黄粉虫粉高比例替代鱼粉水平可能影响对虾肌肉风味品质。</w:t>
      </w:r>
    </w:p>
    <w:p w14:paraId="2E2521CA">
      <w:pPr>
        <w:spacing w:line="360" w:lineRule="auto"/>
        <w:rPr>
          <w:sz w:val="24"/>
        </w:rPr>
      </w:pPr>
      <w:r>
        <w:rPr>
          <w:rFonts w:hint="eastAsia"/>
          <w:sz w:val="24"/>
        </w:rPr>
        <w:t>3.6黄粉虫粉替代鱼粉对凡纳滨对虾肌肉脂肪酸沉积影响的分析</w:t>
      </w:r>
    </w:p>
    <w:p w14:paraId="618E0AFD">
      <w:pPr>
        <w:spacing w:line="360" w:lineRule="auto"/>
        <w:ind w:firstLine="480" w:firstLineChars="200"/>
        <w:rPr>
          <w:sz w:val="24"/>
        </w:rPr>
      </w:pPr>
      <w:r>
        <w:rPr>
          <w:rFonts w:hint="eastAsia"/>
          <w:sz w:val="24"/>
        </w:rPr>
        <w:t>在脂肪酸沉积方面，本研究发现对虾肌肉的主要脂肪酸种类与Panini等</w:t>
      </w:r>
      <w:r>
        <w:rPr>
          <w:rFonts w:hint="eastAsia"/>
          <w:sz w:val="24"/>
          <w:vertAlign w:val="superscript"/>
        </w:rPr>
        <w:t>[11]</w:t>
      </w:r>
      <w:r>
        <w:rPr>
          <w:rFonts w:hint="eastAsia"/>
          <w:sz w:val="24"/>
        </w:rPr>
        <w:t>的报道基本一致，但在n-3/n-6多不饱和脂肪酸比值的变化趋势上存在显著差异。在本研究中，随着黄粉虫粉替代鱼粉水平的升高，对虾肌肉的n-3/n-6比值呈下降趋势，而Panini等</w:t>
      </w:r>
      <w:r>
        <w:rPr>
          <w:rFonts w:hint="eastAsia"/>
          <w:sz w:val="24"/>
          <w:vertAlign w:val="superscript"/>
        </w:rPr>
        <w:t>[11]</w:t>
      </w:r>
      <w:r>
        <w:rPr>
          <w:rFonts w:hint="eastAsia"/>
          <w:sz w:val="24"/>
        </w:rPr>
        <w:t>的研究则未观察到类似的下降趋势。该差异主要源于两项研究所使用的黄粉虫粉加工工艺不同，导致饲料配方中脂肪来源构成存在差异。本研究采用的是脱脂黄粉虫粉，其脂肪含量较低，因此在配方设计中需增加豆油添加量以满足饲料等脂需求，随着黄粉虫粉替代水平的升高，豆油比例相应增加。豆油富含亚油酸（C18﹕2n-6），其大量引入势必提高饲料中n-6 PUFA的比例，从而降低对虾肌肉的n-3/n-6比值</w:t>
      </w:r>
      <w:r>
        <w:rPr>
          <w:rFonts w:hint="eastAsia"/>
          <w:sz w:val="24"/>
          <w:vertAlign w:val="superscript"/>
        </w:rPr>
        <w:t>[61]</w:t>
      </w:r>
      <w:r>
        <w:rPr>
          <w:rFonts w:hint="eastAsia"/>
          <w:sz w:val="24"/>
        </w:rPr>
        <w:t>。相比之下，Panini等</w:t>
      </w:r>
      <w:r>
        <w:rPr>
          <w:rFonts w:hint="eastAsia"/>
          <w:sz w:val="24"/>
          <w:vertAlign w:val="superscript"/>
        </w:rPr>
        <w:t>[11]</w:t>
      </w:r>
      <w:r>
        <w:rPr>
          <w:rFonts w:hint="eastAsia"/>
          <w:sz w:val="24"/>
        </w:rPr>
        <w:t>使用的是全脂黄粉虫粉，黄粉虫粉本身可提供部分脂肪，因此其配方中豆油添加量随替代比例增加而减少至零，n-6 PUFA的外源输入相应降低。因此，两项研究中对虾肌肉n-3/n-6比值变化趋势的差异，可能并非源于黄粉虫蛋白本身，而主要由于脱脂与全脂黄粉虫粉在配方中对油脂来源调配方式的不同所致。此外，本研究还发现，尽管饲料中ARA、DHA和EPA含量随替代比例增加而降低，肌肉中EPA和DHA绝对含量反而呈上升趋势，而EPA和DHA作为细胞膜磷脂的重要组分，参与调控膜流动性、类二十烷酸合成和信号转导等生理过程</w:t>
      </w:r>
      <w:r>
        <w:rPr>
          <w:rFonts w:hint="eastAsia"/>
          <w:sz w:val="24"/>
          <w:vertAlign w:val="superscript"/>
        </w:rPr>
        <w:t>[62]</w:t>
      </w:r>
      <w:r>
        <w:rPr>
          <w:rFonts w:hint="eastAsia"/>
          <w:sz w:val="24"/>
        </w:rPr>
        <w:t>，Araújo等</w:t>
      </w:r>
      <w:r>
        <w:rPr>
          <w:rFonts w:hint="eastAsia"/>
          <w:sz w:val="24"/>
          <w:vertAlign w:val="superscript"/>
        </w:rPr>
        <w:t>[63]</w:t>
      </w:r>
      <w:r>
        <w:rPr>
          <w:rFonts w:hint="eastAsia"/>
          <w:sz w:val="24"/>
        </w:rPr>
        <w:t>在凡纳滨对虾无鱼油饲料试验中发现，对虾优先保留n-3 HUFA用于膜磷脂的结构和功能需求，将高浓度的油酸（Oleic acid，OA，C18﹕1n-9）和亚油酸（Linoleic acid，LA，C18﹕2n-6）作为</w:t>
      </w:r>
      <w:r>
        <w:rPr>
          <w:sz w:val="24"/>
        </w:rPr>
        <w:t>β</w:t>
      </w:r>
      <w:r>
        <w:rPr>
          <w:rFonts w:hint="eastAsia"/>
          <w:sz w:val="24"/>
        </w:rPr>
        <w:t>-氧化底物供能，而非氧化DHA和EPA等功能性长链多不饱和脂肪酸。另外，本研究中随替代比例增加，饲料ARA含量显著下降，而肌肉中ARA含量也相应降低（各替代组较TMM0组降低24.50%—33.11%）。这可能由于饲料ARA含量降低的间接促进效应，已有研究表明，ARA与EPA/DHA在组织中的沉积存在竞争关系，ARA含量的降低可能减少其对COX-2和LOX等脂肪酸代谢酶活性的竞争性抑制，从而间接促进EPA/DHA在组织中的沉积</w:t>
      </w:r>
      <w:r>
        <w:rPr>
          <w:rFonts w:hint="eastAsia"/>
          <w:sz w:val="24"/>
          <w:vertAlign w:val="superscript"/>
        </w:rPr>
        <w:t>[64</w:t>
      </w:r>
      <w:r>
        <w:rPr>
          <w:sz w:val="24"/>
          <w:vertAlign w:val="superscript"/>
        </w:rPr>
        <w:t>,</w:t>
      </w:r>
      <w:r>
        <w:rPr>
          <w:rFonts w:hint="eastAsia"/>
          <w:sz w:val="24"/>
          <w:vertAlign w:val="superscript"/>
        </w:rPr>
        <w:t>65]</w:t>
      </w:r>
      <w:r>
        <w:rPr>
          <w:rFonts w:hint="eastAsia"/>
          <w:sz w:val="24"/>
        </w:rPr>
        <w:t>。另外，尽管饲料中EPA和DHA含量有所降低，但本研究中各实验饲料的DHA+EPA含量均高于凡纳滨对虾的最低需求量（≥120 mg/g脂质）</w:t>
      </w:r>
      <w:r>
        <w:rPr>
          <w:rFonts w:hint="eastAsia"/>
          <w:sz w:val="24"/>
          <w:vertAlign w:val="superscript"/>
        </w:rPr>
        <w:t>[66]</w:t>
      </w:r>
      <w:r>
        <w:rPr>
          <w:rFonts w:hint="eastAsia"/>
          <w:sz w:val="24"/>
        </w:rPr>
        <w:t>，表明在足量供给条件下，对虾能够维持甚至增强关键n-3 HUFA的肌肉沉积。虽然传统观点认为，海洋甲壳类动物与大多数海水鱼类似，缺乏将ALA和LA等C18 PUFA前体转化为EPA和DHA等LC-PUFA的能力，因此EPA和DHA被视为对虾的必需脂肪酸</w:t>
      </w:r>
      <w:r>
        <w:rPr>
          <w:rFonts w:hint="eastAsia"/>
          <w:sz w:val="24"/>
          <w:vertAlign w:val="superscript"/>
        </w:rPr>
        <w:t>[67]</w:t>
      </w:r>
      <w:r>
        <w:rPr>
          <w:rFonts w:hint="eastAsia"/>
          <w:sz w:val="24"/>
        </w:rPr>
        <w:t>。Monroig和Kabeya</w:t>
      </w:r>
      <w:r>
        <w:rPr>
          <w:rFonts w:hint="eastAsia"/>
          <w:sz w:val="24"/>
          <w:vertAlign w:val="superscript"/>
        </w:rPr>
        <w:t>[68]</w:t>
      </w:r>
      <w:r>
        <w:rPr>
          <w:rFonts w:hint="eastAsia"/>
          <w:sz w:val="24"/>
        </w:rPr>
        <w:t>在水生无脊椎动物PUFA生物合成酶系统的系统综述中指出，包括中华绒螯蟹、锯缘青蟹、凡纳滨对虾和澳洲红螯螯虾在内的多种十足目甲壳类已克隆获得被标注为"Δ6脂肪酸去饱和酶"的类似基因，Chen等</w:t>
      </w:r>
      <w:r>
        <w:rPr>
          <w:rFonts w:hint="eastAsia"/>
          <w:sz w:val="24"/>
          <w:vertAlign w:val="superscript"/>
        </w:rPr>
        <w:t>[69]</w:t>
      </w:r>
      <w:r>
        <w:rPr>
          <w:rFonts w:hint="eastAsia"/>
          <w:sz w:val="24"/>
        </w:rPr>
        <w:t>在低盐度养殖条件下的转录组分析也发现，凡纳滨对虾肝胰腺中参与不饱和脂肪酸生物合成的相关通路（包括亚油酸代谢和花生四烯酸代谢通路）可因摄入脂肪来源不同而发生显著变化。另一项研究首次证实凡纳滨对虾具有以外源</w:t>
      </w:r>
      <w:r>
        <w:rPr>
          <w:sz w:val="24"/>
        </w:rPr>
        <w:t>α</w:t>
      </w:r>
      <w:r>
        <w:rPr>
          <w:rFonts w:hint="eastAsia"/>
          <w:sz w:val="24"/>
        </w:rPr>
        <w:t>-亚麻酸（</w:t>
      </w:r>
      <w:r>
        <w:rPr>
          <w:sz w:val="24"/>
        </w:rPr>
        <w:t>α</w:t>
      </w:r>
      <w:r>
        <w:rPr>
          <w:rFonts w:hint="eastAsia"/>
          <w:sz w:val="24"/>
        </w:rPr>
        <w:t>-Linolenic acid，ALA，C18:3n-3）为前体、经</w:t>
      </w:r>
      <w:r>
        <w:rPr>
          <w:sz w:val="24"/>
        </w:rPr>
        <w:t>Δ</w:t>
      </w:r>
      <w:r>
        <w:rPr>
          <w:rFonts w:hint="eastAsia"/>
          <w:sz w:val="24"/>
        </w:rPr>
        <w:t>6去饱和酶介导合成EPA和DHA的能力，且敲低或抑制Δ6去饱和酶后，即使补充外源ALA，对虾组织中EPA和DHA水平仍显著下降</w:t>
      </w:r>
      <w:r>
        <w:rPr>
          <w:rFonts w:hint="eastAsia"/>
          <w:sz w:val="24"/>
          <w:vertAlign w:val="superscript"/>
        </w:rPr>
        <w:t>[70]</w:t>
      </w:r>
      <w:r>
        <w:rPr>
          <w:rFonts w:hint="eastAsia"/>
          <w:sz w:val="24"/>
        </w:rPr>
        <w:t>。上述系列研究表明，凡纳滨对虾具备经Δ6去饱和酶介导、以ALA为前体合成EPA和DHA的潜力。本研究中，饲料LA和ALA含量随黄粉虫粉替代比例增加而升高（TMM45组ALA较TMM0组提高14.10%），这在一定程度上为对虾内源性PUFA生物合成通路提供更为充足的C18前体底物供给，则有助于进一步促进EPA和DHA的内源性合成。综合而言，本研究中EPA和DHA的肌肉沉积现象可能是选择性保留、ARA竞争性解除和内源合成能力三者协同作用的结果，这一推测需要通过同位素示踪或脂肪酸去饱和或延长酶基因表达分析等手段进一步验证。</w:t>
      </w:r>
    </w:p>
    <w:p w14:paraId="21486620">
      <w:pPr>
        <w:spacing w:line="360" w:lineRule="auto"/>
        <w:rPr>
          <w:sz w:val="24"/>
        </w:rPr>
      </w:pPr>
      <w:r>
        <w:rPr>
          <w:rFonts w:hint="eastAsia"/>
          <w:sz w:val="24"/>
        </w:rPr>
        <w:t>4结论</w:t>
      </w:r>
    </w:p>
    <w:p w14:paraId="7182A7C6">
      <w:pPr>
        <w:spacing w:line="360" w:lineRule="auto"/>
        <w:ind w:firstLine="480" w:firstLineChars="200"/>
        <w:rPr>
          <w:sz w:val="24"/>
        </w:rPr>
      </w:pPr>
      <w:r>
        <w:rPr>
          <w:rFonts w:hint="eastAsia"/>
          <w:sz w:val="24"/>
        </w:rPr>
        <w:t>在等氮等脂的条件下，黄粉虫粉替代30%鱼粉可显著提高凡纳滨对虾增重率与特定生长率。黄粉虫替代鱼粉后可能通过激活TLR与JAK-STAT信号通路，上调凡纳滨对虾抗氧化与抗菌肽相关基因表达，从而增强对虾的非特异性免疫与抗氧化防御。随着饲料中黄粉虫替代鱼粉比例递增，饲料总氨基酸含量呈线性升高，而n-3 HUFA水平相应降低，提高凡纳滨对虾的肌肉粗脂肪并增加DHA、EPA含量，改善肌肉脂肪酸营养品质。综上，在本研究条件下，黄粉虫粉在凡纳滨对虾饲料中替代鱼粉的适宜比例约30%，可在保证生长性能的前提下提升对虾免疫机能并改善肌肉脂肪酸沉积，并且降低约8.01%饲料成本和提升35.28%利润，具有显著的经济优势，为黄粉虫粉在对虾配合饲料中的经济可行性依据和精准应用提供理论依据。</w:t>
      </w:r>
    </w:p>
    <w:p w14:paraId="3C6B4214">
      <w:pPr>
        <w:spacing w:line="360" w:lineRule="auto"/>
        <w:rPr>
          <w:sz w:val="24"/>
          <w:szCs w:val="21"/>
        </w:rPr>
      </w:pPr>
      <w:r>
        <w:rPr>
          <w:rFonts w:hint="eastAsia"/>
          <w:sz w:val="24"/>
          <w:szCs w:val="21"/>
        </w:rPr>
        <w:t>参考文献：略</w:t>
      </w:r>
    </w:p>
    <w:p w14:paraId="79D2C983">
      <w:pPr>
        <w:spacing w:line="360" w:lineRule="auto"/>
        <w:ind w:firstLine="420" w:firstLineChars="200"/>
        <w:jc w:val="right"/>
        <w:rPr>
          <w:szCs w:val="21"/>
        </w:rPr>
      </w:pPr>
      <w:r>
        <w:rPr>
          <w:szCs w:val="21"/>
        </w:rPr>
        <w:t>原文刊登在</w:t>
      </w:r>
      <w:r>
        <w:rPr>
          <w:rFonts w:hint="eastAsia"/>
          <w:szCs w:val="21"/>
        </w:rPr>
        <w:t>《水生生物学报》，网络首发时间：2026-05-09</w:t>
      </w:r>
    </w:p>
    <w:p w14:paraId="26899509">
      <w:pPr>
        <w:spacing w:line="360" w:lineRule="auto"/>
        <w:ind w:right="641"/>
        <w:outlineLvl w:val="0"/>
        <w:rPr>
          <w:rFonts w:eastAsia="黑体"/>
          <w:b/>
          <w:bCs/>
          <w:sz w:val="32"/>
          <w:szCs w:val="32"/>
          <w:bdr w:val="single" w:color="auto" w:sz="4" w:space="0"/>
        </w:rPr>
      </w:pPr>
      <w:bookmarkStart w:id="30" w:name="_Toc221758911"/>
      <w:bookmarkStart w:id="31" w:name="_Toc230941939"/>
      <w:bookmarkStart w:id="32" w:name="_Toc225807404"/>
      <w:r>
        <w:rPr>
          <w:rFonts w:eastAsia="黑体"/>
          <w:b/>
          <w:bCs/>
          <w:sz w:val="32"/>
          <w:szCs w:val="32"/>
          <w:bdr w:val="single" w:color="auto" w:sz="4" w:space="0"/>
        </w:rPr>
        <w:t>饲料研发</w:t>
      </w:r>
      <w:bookmarkEnd w:id="30"/>
      <w:bookmarkEnd w:id="31"/>
      <w:bookmarkEnd w:id="32"/>
    </w:p>
    <w:p w14:paraId="07274A39">
      <w:pPr>
        <w:jc w:val="center"/>
        <w:outlineLvl w:val="1"/>
        <w:rPr>
          <w:rFonts w:eastAsia="黑体"/>
          <w:b/>
          <w:bCs/>
          <w:sz w:val="32"/>
          <w:szCs w:val="32"/>
        </w:rPr>
      </w:pPr>
      <w:bookmarkStart w:id="33" w:name="_Toc230941940"/>
      <w:r>
        <w:rPr>
          <w:rFonts w:hint="eastAsia" w:eastAsia="黑体"/>
          <w:b/>
          <w:bCs/>
          <w:sz w:val="32"/>
          <w:szCs w:val="32"/>
        </w:rPr>
        <w:t>不同蛋白质源替代鱼粉对牛蛙生长性能、血清生化指标及肝脏和肠道健康的影响</w:t>
      </w:r>
      <w:bookmarkEnd w:id="33"/>
    </w:p>
    <w:p w14:paraId="095718EB">
      <w:pPr>
        <w:jc w:val="center"/>
        <w:rPr>
          <w:szCs w:val="21"/>
        </w:rPr>
      </w:pPr>
      <w:r>
        <w:rPr>
          <w:szCs w:val="21"/>
        </w:rPr>
        <w:t>王梦华</w:t>
      </w:r>
      <w:r>
        <w:rPr>
          <w:szCs w:val="21"/>
          <w:vertAlign w:val="superscript"/>
        </w:rPr>
        <w:t>1,2</w:t>
      </w:r>
      <w:r>
        <w:rPr>
          <w:rFonts w:hint="eastAsia"/>
          <w:szCs w:val="21"/>
        </w:rPr>
        <w:t xml:space="preserve"> </w:t>
      </w:r>
      <w:r>
        <w:rPr>
          <w:szCs w:val="21"/>
        </w:rPr>
        <w:t>叶炜斌</w:t>
      </w:r>
      <w:r>
        <w:rPr>
          <w:szCs w:val="21"/>
          <w:vertAlign w:val="superscript"/>
        </w:rPr>
        <w:t>1</w:t>
      </w:r>
      <w:r>
        <w:rPr>
          <w:rFonts w:hint="eastAsia"/>
          <w:szCs w:val="21"/>
        </w:rPr>
        <w:t xml:space="preserve"> </w:t>
      </w:r>
      <w:r>
        <w:rPr>
          <w:szCs w:val="21"/>
        </w:rPr>
        <w:t>黄文庆</w:t>
      </w:r>
      <w:r>
        <w:rPr>
          <w:szCs w:val="21"/>
          <w:vertAlign w:val="superscript"/>
        </w:rPr>
        <w:t>2</w:t>
      </w:r>
      <w:r>
        <w:rPr>
          <w:rFonts w:hint="eastAsia"/>
          <w:szCs w:val="21"/>
        </w:rPr>
        <w:t xml:space="preserve"> </w:t>
      </w:r>
      <w:r>
        <w:rPr>
          <w:szCs w:val="21"/>
        </w:rPr>
        <w:t>王绥涛</w:t>
      </w:r>
      <w:r>
        <w:rPr>
          <w:szCs w:val="21"/>
          <w:vertAlign w:val="superscript"/>
        </w:rPr>
        <w:t>2</w:t>
      </w:r>
      <w:r>
        <w:rPr>
          <w:rFonts w:hint="eastAsia"/>
          <w:szCs w:val="21"/>
        </w:rPr>
        <w:t xml:space="preserve"> </w:t>
      </w:r>
      <w:r>
        <w:rPr>
          <w:szCs w:val="21"/>
        </w:rPr>
        <w:t>韦真海</w:t>
      </w:r>
      <w:r>
        <w:rPr>
          <w:szCs w:val="21"/>
          <w:vertAlign w:val="superscript"/>
        </w:rPr>
        <w:t>2</w:t>
      </w:r>
      <w:r>
        <w:rPr>
          <w:rFonts w:hint="eastAsia"/>
          <w:szCs w:val="21"/>
        </w:rPr>
        <w:t xml:space="preserve"> </w:t>
      </w:r>
      <w:r>
        <w:rPr>
          <w:szCs w:val="21"/>
        </w:rPr>
        <w:t>周萌</w:t>
      </w:r>
      <w:r>
        <w:rPr>
          <w:szCs w:val="21"/>
          <w:vertAlign w:val="superscript"/>
        </w:rPr>
        <w:t>1</w:t>
      </w:r>
      <w:r>
        <w:rPr>
          <w:rFonts w:hint="eastAsia"/>
          <w:szCs w:val="21"/>
        </w:rPr>
        <w:t xml:space="preserve"> </w:t>
      </w:r>
      <w:r>
        <w:rPr>
          <w:szCs w:val="21"/>
        </w:rPr>
        <w:t>黄燕华</w:t>
      </w:r>
      <w:r>
        <w:rPr>
          <w:szCs w:val="21"/>
          <w:vertAlign w:val="superscript"/>
        </w:rPr>
        <w:t>1</w:t>
      </w:r>
      <w:r>
        <w:rPr>
          <w:szCs w:val="21"/>
        </w:rPr>
        <w:t>*</w:t>
      </w:r>
    </w:p>
    <w:p w14:paraId="6D63A94A">
      <w:pPr>
        <w:jc w:val="center"/>
        <w:rPr>
          <w:szCs w:val="21"/>
        </w:rPr>
      </w:pPr>
      <w:r>
        <w:rPr>
          <w:rFonts w:hint="eastAsia"/>
          <w:szCs w:val="21"/>
        </w:rPr>
        <w:t>（</w:t>
      </w:r>
      <w:r>
        <w:rPr>
          <w:szCs w:val="21"/>
        </w:rPr>
        <w:t>1.仲恺农业工程学院健康养殖创新研究院，广州510225；2.广州飞禧特生物科技有限公司，广州510640</w:t>
      </w:r>
      <w:r>
        <w:rPr>
          <w:rFonts w:hint="eastAsia"/>
          <w:szCs w:val="21"/>
        </w:rPr>
        <w:t>）</w:t>
      </w:r>
    </w:p>
    <w:p w14:paraId="23626562">
      <w:pPr>
        <w:rPr>
          <w:szCs w:val="21"/>
        </w:rPr>
      </w:pPr>
      <w:r>
        <w:rPr>
          <w:b/>
          <w:bCs/>
          <w:szCs w:val="21"/>
        </w:rPr>
        <w:t>摘要</w:t>
      </w:r>
      <w:r>
        <w:rPr>
          <w:rFonts w:hint="eastAsia"/>
          <w:szCs w:val="21"/>
        </w:rPr>
        <w:t>：</w:t>
      </w:r>
      <w:r>
        <w:rPr>
          <w:szCs w:val="21"/>
        </w:rPr>
        <w:t>本试验旨在探究不同蛋白质源替代鱼粉对牛蛙生长性能、血清生化指标及肝脏和肠道健康的影响。首先配制含8%鱼粉的基础饲料（CK组，作为对照组），然后分别以黑水虻干虫（B组）、脱脂黑水虻干虫（D组）、菜籽粕（R组）和棉籽粕（C组）替代基础饲料中37.5%的鱼粉，共制成5种等氮等脂的试验饲料。选取初始体重约40</w:t>
      </w:r>
      <w:r>
        <w:rPr>
          <w:rFonts w:hint="eastAsia"/>
          <w:szCs w:val="21"/>
        </w:rPr>
        <w:t xml:space="preserve"> </w:t>
      </w:r>
      <w:r>
        <w:rPr>
          <w:szCs w:val="21"/>
        </w:rPr>
        <w:t>g的健康牛蛙1200只，随机分为5组，对应饲喂5种试验饲料，每组3个重复，每个重复80只，进行为期56</w:t>
      </w:r>
      <w:r>
        <w:rPr>
          <w:rFonts w:hint="eastAsia"/>
          <w:szCs w:val="21"/>
        </w:rPr>
        <w:t xml:space="preserve"> </w:t>
      </w:r>
      <w:r>
        <w:rPr>
          <w:szCs w:val="21"/>
        </w:rPr>
        <w:t>d的养殖试验。结果表明：1）B组和D组终末体重、增重率和特定生长率与CK组无显著差异（</w:t>
      </w:r>
      <w:r>
        <w:rPr>
          <w:i/>
          <w:iCs/>
          <w:szCs w:val="21"/>
        </w:rPr>
        <w:t>P</w:t>
      </w:r>
      <w:r>
        <w:rPr>
          <w:szCs w:val="21"/>
        </w:rPr>
        <w:t>&gt;0.05），但R组和C组上述指标显著低于CK组（</w:t>
      </w:r>
      <w:r>
        <w:rPr>
          <w:i/>
          <w:iCs/>
          <w:szCs w:val="21"/>
        </w:rPr>
        <w:t>P</w:t>
      </w:r>
      <w:r>
        <w:rPr>
          <w:szCs w:val="21"/>
        </w:rPr>
        <w:t>&lt;0.05）；B组和D组饲料系数与CK组无显著差异（</w:t>
      </w:r>
      <w:r>
        <w:rPr>
          <w:i/>
          <w:iCs/>
          <w:szCs w:val="21"/>
        </w:rPr>
        <w:t>P</w:t>
      </w:r>
      <w:r>
        <w:rPr>
          <w:szCs w:val="21"/>
        </w:rPr>
        <w:t>&gt;0.05），R组和C组饲料系数显著高于CK</w:t>
      </w:r>
      <w:r>
        <w:rPr>
          <w:rFonts w:hint="eastAsia"/>
          <w:szCs w:val="21"/>
        </w:rPr>
        <w:t>组</w:t>
      </w:r>
      <w:r>
        <w:rPr>
          <w:szCs w:val="21"/>
        </w:rPr>
        <w:t>（</w:t>
      </w:r>
      <w:r>
        <w:rPr>
          <w:i/>
          <w:iCs/>
          <w:szCs w:val="21"/>
        </w:rPr>
        <w:t>P</w:t>
      </w:r>
      <w:r>
        <w:rPr>
          <w:szCs w:val="21"/>
        </w:rPr>
        <w:t>&lt;0.05）。2）B组和D组后腿肌肉红度（a*）和黄度（b*）值与CＫ组无显著差异（</w:t>
      </w:r>
      <w:r>
        <w:rPr>
          <w:i/>
          <w:iCs/>
          <w:szCs w:val="21"/>
        </w:rPr>
        <w:t>P</w:t>
      </w:r>
      <w:r>
        <w:rPr>
          <w:szCs w:val="21"/>
        </w:rPr>
        <w:t>&gt;0.05），但显著低于R组</w:t>
      </w:r>
      <w:r>
        <w:rPr>
          <w:rFonts w:hint="eastAsia"/>
          <w:szCs w:val="21"/>
        </w:rPr>
        <w:t>和C</w:t>
      </w:r>
      <w:r>
        <w:rPr>
          <w:szCs w:val="21"/>
        </w:rPr>
        <w:t>组（</w:t>
      </w:r>
      <w:r>
        <w:rPr>
          <w:i/>
          <w:iCs/>
          <w:szCs w:val="21"/>
        </w:rPr>
        <w:t>P</w:t>
      </w:r>
      <w:r>
        <w:rPr>
          <w:szCs w:val="21"/>
        </w:rPr>
        <w:t>&lt;0.05）。3）</w:t>
      </w:r>
      <w:r>
        <w:rPr>
          <w:rFonts w:hint="eastAsia"/>
          <w:szCs w:val="21"/>
        </w:rPr>
        <w:t>B组和D</w:t>
      </w:r>
      <w:r>
        <w:rPr>
          <w:szCs w:val="21"/>
        </w:rPr>
        <w:t>组血清白蛋白（ALB）、低密度脂蛋白胆固醇（LDL⁃C）、胆固醇（CHO）和高密度脂蛋白胆固醇（HDL⁃C）含量及谷草转氨酶（AST）、谷丙转氨酶（ALT）活性与ＣＫ组无显著差异（</w:t>
      </w:r>
      <w:r>
        <w:rPr>
          <w:i/>
          <w:iCs/>
          <w:szCs w:val="21"/>
        </w:rPr>
        <w:t>P</w:t>
      </w:r>
      <w:r>
        <w:rPr>
          <w:szCs w:val="21"/>
        </w:rPr>
        <w:t>&gt;0.05），但血清ALB、LDL⁃C含量及AST、ALT活性显著低于R组和C组（</w:t>
      </w:r>
      <w:r>
        <w:rPr>
          <w:i/>
          <w:iCs/>
          <w:szCs w:val="21"/>
        </w:rPr>
        <w:t>P</w:t>
      </w:r>
      <w:r>
        <w:rPr>
          <w:szCs w:val="21"/>
        </w:rPr>
        <w:t>&lt;0.05），血清CHO和HDL⁃C含量显著高于R组和C组（</w:t>
      </w:r>
      <w:r>
        <w:rPr>
          <w:i/>
          <w:iCs/>
          <w:szCs w:val="21"/>
        </w:rPr>
        <w:t>P</w:t>
      </w:r>
      <w:r>
        <w:rPr>
          <w:szCs w:val="21"/>
        </w:rPr>
        <w:t>&lt;0.05）。4）B组和D组肝脏超氧化物歧化酶（SOD）、过氧化氢酶（CAT）活性、总抗氧化能力（T⁃AOC）及丙二醛（MDA）含量与CK组无显著差异（</w:t>
      </w:r>
      <w:r>
        <w:rPr>
          <w:i/>
          <w:iCs/>
          <w:szCs w:val="21"/>
        </w:rPr>
        <w:t>P</w:t>
      </w:r>
      <w:r>
        <w:rPr>
          <w:szCs w:val="21"/>
        </w:rPr>
        <w:t>&gt;0.05），但肝脏SOD、CAT活性和T⁃AOC显著高于R组和C组（</w:t>
      </w:r>
      <w:r>
        <w:rPr>
          <w:i/>
          <w:iCs/>
          <w:szCs w:val="21"/>
        </w:rPr>
        <w:t>P</w:t>
      </w:r>
      <w:r>
        <w:rPr>
          <w:szCs w:val="21"/>
        </w:rPr>
        <w:t>&lt;0.05），肝脏MDA含量显著低于R组和C组（</w:t>
      </w:r>
      <w:r>
        <w:rPr>
          <w:i/>
          <w:iCs/>
          <w:szCs w:val="21"/>
        </w:rPr>
        <w:t>P</w:t>
      </w:r>
      <w:r>
        <w:rPr>
          <w:szCs w:val="21"/>
        </w:rPr>
        <w:t>&gt;0.05）。5）B组和D组肠壁厚度与CK组无显著差异（</w:t>
      </w:r>
      <w:r>
        <w:rPr>
          <w:i/>
          <w:iCs/>
          <w:szCs w:val="21"/>
        </w:rPr>
        <w:t>P</w:t>
      </w:r>
      <w:r>
        <w:rPr>
          <w:szCs w:val="21"/>
        </w:rPr>
        <w:t>&gt;0.05），但显著高于R组和C组（</w:t>
      </w:r>
      <w:r>
        <w:rPr>
          <w:i/>
          <w:iCs/>
          <w:szCs w:val="21"/>
        </w:rPr>
        <w:t>P</w:t>
      </w:r>
      <w:r>
        <w:rPr>
          <w:szCs w:val="21"/>
        </w:rPr>
        <w:t>&lt;0.05）；C组肠道出现上皮细胞自溶现象，且柱状上皮细胞排列不规则。综上所述，以黑水虻干虫和脱脂黑水虻干虫为蛋白质源替代饲料中37.5%的鱼粉，对牛蛙生长性能、血清生化指标、抗氧化能力及肠道形态结构均无不良影响，且对肝脏健康具有一定的保护作用。</w:t>
      </w:r>
    </w:p>
    <w:p w14:paraId="10D830DA">
      <w:pPr>
        <w:rPr>
          <w:szCs w:val="21"/>
        </w:rPr>
      </w:pPr>
      <w:r>
        <w:rPr>
          <w:b/>
          <w:bCs/>
          <w:szCs w:val="21"/>
        </w:rPr>
        <w:t>关键词</w:t>
      </w:r>
      <w:r>
        <w:rPr>
          <w:szCs w:val="21"/>
        </w:rPr>
        <w:t>：牛蛙；黑水虻；植物蛋白质源；鱼粉；生长性能；肝脏健康</w:t>
      </w:r>
    </w:p>
    <w:p w14:paraId="50D6E347">
      <w:pPr>
        <w:jc w:val="center"/>
        <w:rPr>
          <w:b/>
          <w:bCs/>
          <w:sz w:val="24"/>
        </w:rPr>
      </w:pPr>
      <w:r>
        <w:rPr>
          <w:b/>
          <w:bCs/>
          <w:sz w:val="24"/>
        </w:rPr>
        <w:t>Effects of Different Protein Sources Replacing Fish Meal on Growth Performance, Serum Biochemical Indices, Liver and Intestinal Health of Bullfrog (</w:t>
      </w:r>
      <w:r>
        <w:rPr>
          <w:b/>
          <w:bCs/>
          <w:i/>
          <w:iCs/>
          <w:sz w:val="24"/>
        </w:rPr>
        <w:t>Aquarana catesbeiana</w:t>
      </w:r>
      <w:r>
        <w:rPr>
          <w:b/>
          <w:bCs/>
          <w:sz w:val="24"/>
        </w:rPr>
        <w:t>)</w:t>
      </w:r>
    </w:p>
    <w:p w14:paraId="5ED9EA97">
      <w:pPr>
        <w:jc w:val="center"/>
        <w:rPr>
          <w:rFonts w:ascii="Cambria Math" w:hAnsi="Cambria Math" w:cs="Cambria Math"/>
          <w:szCs w:val="21"/>
        </w:rPr>
      </w:pPr>
      <w:r>
        <w:rPr>
          <w:szCs w:val="21"/>
        </w:rPr>
        <w:t>WANG Menghua</w:t>
      </w:r>
      <w:r>
        <w:rPr>
          <w:szCs w:val="21"/>
          <w:vertAlign w:val="superscript"/>
        </w:rPr>
        <w:t>1,2</w:t>
      </w:r>
      <w:r>
        <w:rPr>
          <w:szCs w:val="21"/>
        </w:rPr>
        <w:t xml:space="preserve"> YE Weibin</w:t>
      </w:r>
      <w:r>
        <w:rPr>
          <w:szCs w:val="21"/>
          <w:vertAlign w:val="superscript"/>
        </w:rPr>
        <w:t>1</w:t>
      </w:r>
      <w:r>
        <w:rPr>
          <w:szCs w:val="21"/>
        </w:rPr>
        <w:t xml:space="preserve"> HUANG Wenqing</w:t>
      </w:r>
      <w:r>
        <w:rPr>
          <w:szCs w:val="21"/>
          <w:vertAlign w:val="superscript"/>
        </w:rPr>
        <w:t>2</w:t>
      </w:r>
      <w:r>
        <w:rPr>
          <w:szCs w:val="21"/>
        </w:rPr>
        <w:t xml:space="preserve"> WANG Suitao</w:t>
      </w:r>
      <w:r>
        <w:rPr>
          <w:szCs w:val="21"/>
          <w:vertAlign w:val="superscript"/>
        </w:rPr>
        <w:t>2</w:t>
      </w:r>
      <w:r>
        <w:rPr>
          <w:szCs w:val="21"/>
        </w:rPr>
        <w:t xml:space="preserve"> WEI Zhenhai</w:t>
      </w:r>
      <w:r>
        <w:rPr>
          <w:szCs w:val="21"/>
          <w:vertAlign w:val="superscript"/>
        </w:rPr>
        <w:t>2</w:t>
      </w:r>
      <w:r>
        <w:rPr>
          <w:szCs w:val="21"/>
        </w:rPr>
        <w:t xml:space="preserve"> ZHOU Meng</w:t>
      </w:r>
      <w:r>
        <w:rPr>
          <w:szCs w:val="21"/>
          <w:vertAlign w:val="superscript"/>
        </w:rPr>
        <w:t>1</w:t>
      </w:r>
      <w:r>
        <w:rPr>
          <w:szCs w:val="21"/>
        </w:rPr>
        <w:t xml:space="preserve"> HUANG Yanhua</w:t>
      </w:r>
      <w:r>
        <w:rPr>
          <w:szCs w:val="21"/>
          <w:vertAlign w:val="superscript"/>
        </w:rPr>
        <w:t>1</w:t>
      </w:r>
      <w:r>
        <w:rPr>
          <w:szCs w:val="21"/>
        </w:rPr>
        <w:t>*</w:t>
      </w:r>
    </w:p>
    <w:p w14:paraId="69098DDA">
      <w:pPr>
        <w:jc w:val="center"/>
        <w:rPr>
          <w:szCs w:val="21"/>
        </w:rPr>
      </w:pPr>
      <w:r>
        <w:rPr>
          <w:szCs w:val="21"/>
        </w:rPr>
        <w:t xml:space="preserve">(1. </w:t>
      </w:r>
      <w:r>
        <w:rPr>
          <w:i/>
          <w:iCs/>
          <w:szCs w:val="21"/>
        </w:rPr>
        <w:t>Innovative Institute of Animal Healthy Breeding</w:t>
      </w:r>
      <w:r>
        <w:rPr>
          <w:szCs w:val="21"/>
        </w:rPr>
        <w:t xml:space="preserve">, </w:t>
      </w:r>
      <w:r>
        <w:rPr>
          <w:i/>
          <w:iCs/>
          <w:szCs w:val="21"/>
        </w:rPr>
        <w:t>Zhongkai University of Agriculture and</w:t>
      </w:r>
      <w:r>
        <w:rPr>
          <w:szCs w:val="21"/>
        </w:rPr>
        <w:t xml:space="preserve"> </w:t>
      </w:r>
      <w:r>
        <w:rPr>
          <w:i/>
          <w:iCs/>
          <w:szCs w:val="21"/>
        </w:rPr>
        <w:t>Engineering, Guangzhou</w:t>
      </w:r>
      <w:r>
        <w:rPr>
          <w:szCs w:val="21"/>
        </w:rPr>
        <w:t xml:space="preserve"> 510225, </w:t>
      </w:r>
      <w:r>
        <w:rPr>
          <w:i/>
          <w:iCs/>
          <w:szCs w:val="21"/>
        </w:rPr>
        <w:t>China</w:t>
      </w:r>
      <w:r>
        <w:rPr>
          <w:szCs w:val="21"/>
        </w:rPr>
        <w:t xml:space="preserve">; 2. </w:t>
      </w:r>
      <w:r>
        <w:rPr>
          <w:i/>
          <w:iCs/>
          <w:szCs w:val="21"/>
        </w:rPr>
        <w:t>Guangzhou Fishtech Fisheries Science and</w:t>
      </w:r>
      <w:r>
        <w:rPr>
          <w:szCs w:val="21"/>
        </w:rPr>
        <w:t xml:space="preserve"> </w:t>
      </w:r>
      <w:r>
        <w:rPr>
          <w:i/>
          <w:iCs/>
          <w:szCs w:val="21"/>
        </w:rPr>
        <w:t>Technology Co</w:t>
      </w:r>
      <w:r>
        <w:rPr>
          <w:szCs w:val="21"/>
        </w:rPr>
        <w:t xml:space="preserve">., </w:t>
      </w:r>
      <w:r>
        <w:rPr>
          <w:i/>
          <w:iCs/>
          <w:szCs w:val="21"/>
        </w:rPr>
        <w:t>Ltd</w:t>
      </w:r>
      <w:r>
        <w:rPr>
          <w:szCs w:val="21"/>
        </w:rPr>
        <w:t>.,</w:t>
      </w:r>
      <w:r>
        <w:rPr>
          <w:i/>
          <w:iCs/>
          <w:szCs w:val="21"/>
        </w:rPr>
        <w:t xml:space="preserve"> Guangzhou</w:t>
      </w:r>
      <w:r>
        <w:rPr>
          <w:szCs w:val="21"/>
        </w:rPr>
        <w:t xml:space="preserve"> 510640, </w:t>
      </w:r>
      <w:r>
        <w:rPr>
          <w:i/>
          <w:iCs/>
          <w:szCs w:val="21"/>
        </w:rPr>
        <w:t>China</w:t>
      </w:r>
      <w:r>
        <w:rPr>
          <w:szCs w:val="21"/>
        </w:rPr>
        <w:t>)</w:t>
      </w:r>
    </w:p>
    <w:p w14:paraId="2E93CCB9">
      <w:pPr>
        <w:rPr>
          <w:szCs w:val="21"/>
        </w:rPr>
      </w:pPr>
      <w:r>
        <w:rPr>
          <w:b/>
          <w:bCs/>
          <w:szCs w:val="21"/>
        </w:rPr>
        <w:t>Abstract</w:t>
      </w:r>
      <w:r>
        <w:rPr>
          <w:szCs w:val="21"/>
        </w:rPr>
        <w:t>: This experiment was conducted to investigate the effects of different protein sources replacing fish meal on growth performance, serum biochemical indices, liver and intestinal health of bullfrog (</w:t>
      </w:r>
      <w:r>
        <w:rPr>
          <w:i/>
          <w:iCs/>
          <w:szCs w:val="21"/>
        </w:rPr>
        <w:t>Aquarana catesbeiana</w:t>
      </w:r>
      <w:r>
        <w:rPr>
          <w:szCs w:val="21"/>
        </w:rPr>
        <w:t xml:space="preserve">). A basal diet with 8% fish meal was formulated as the control group (CK group), and 37.5% of the fish meal in the basal diet was replaced with dried </w:t>
      </w:r>
      <w:r>
        <w:rPr>
          <w:i/>
          <w:iCs/>
          <w:szCs w:val="21"/>
        </w:rPr>
        <w:t>Hermetia illucens</w:t>
      </w:r>
      <w:r>
        <w:rPr>
          <w:szCs w:val="21"/>
        </w:rPr>
        <w:t xml:space="preserve"> L. larvae (B group), defatted dried </w:t>
      </w:r>
      <w:r>
        <w:rPr>
          <w:i/>
          <w:iCs/>
          <w:szCs w:val="21"/>
        </w:rPr>
        <w:t>Hermetia illucens</w:t>
      </w:r>
      <w:r>
        <w:rPr>
          <w:szCs w:val="21"/>
        </w:rPr>
        <w:t xml:space="preserve"> L. larvae (D group), rapeseed meal (R group) or cottonseed meal (C group), respectively. Five isonitrogenous and isolipidic experimental diets were prepared. A total of 1 200 healthy bullfrog (</w:t>
      </w:r>
      <w:r>
        <w:rPr>
          <w:i/>
          <w:iCs/>
          <w:szCs w:val="21"/>
        </w:rPr>
        <w:t>Aquarana catesbeiana</w:t>
      </w:r>
      <w:r>
        <w:rPr>
          <w:szCs w:val="21"/>
        </w:rPr>
        <w:t>) with an initial body weight of approximately 40 g were randomly divided into 5 groups, each with 3 replicates of 80 bullfrog, and fed the corresponding diets for 56 days. The results showed as follows:</w:t>
      </w:r>
      <w:r>
        <w:rPr>
          <w:rFonts w:hint="eastAsia"/>
          <w:szCs w:val="21"/>
        </w:rPr>
        <w:t xml:space="preserve"> </w:t>
      </w:r>
      <w:r>
        <w:rPr>
          <w:szCs w:val="21"/>
        </w:rPr>
        <w:t>1) the final body weight, weight gain rate and specific growth rate in B group and D group were not significantly different from those in CK group (</w:t>
      </w:r>
      <w:r>
        <w:rPr>
          <w:i/>
          <w:iCs/>
          <w:szCs w:val="21"/>
        </w:rPr>
        <w:t>P</w:t>
      </w:r>
      <w:r>
        <w:rPr>
          <w:szCs w:val="21"/>
        </w:rPr>
        <w:t>&gt;0.05), whereas these indices in R group and C group were significantly lower than those in CK group (</w:t>
      </w:r>
      <w:r>
        <w:rPr>
          <w:i/>
          <w:iCs/>
          <w:szCs w:val="21"/>
        </w:rPr>
        <w:t>P</w:t>
      </w:r>
      <w:r>
        <w:rPr>
          <w:szCs w:val="21"/>
        </w:rPr>
        <w:t>&lt;0.05). The feed conversion ratio in B group and D group showed no significant difference compared with CK group (</w:t>
      </w:r>
      <w:r>
        <w:rPr>
          <w:i/>
          <w:iCs/>
          <w:szCs w:val="21"/>
        </w:rPr>
        <w:t>P</w:t>
      </w:r>
      <w:r>
        <w:rPr>
          <w:szCs w:val="21"/>
        </w:rPr>
        <w:t>&gt;0.05), while it was significantly higher in R group and C group than in CK group (</w:t>
      </w:r>
      <w:r>
        <w:rPr>
          <w:i/>
          <w:iCs/>
          <w:szCs w:val="21"/>
        </w:rPr>
        <w:t>P</w:t>
      </w:r>
      <w:r>
        <w:rPr>
          <w:szCs w:val="21"/>
        </w:rPr>
        <w:t>&lt;0.05).</w:t>
      </w:r>
      <w:r>
        <w:rPr>
          <w:rFonts w:hint="eastAsia"/>
          <w:szCs w:val="21"/>
        </w:rPr>
        <w:t xml:space="preserve"> </w:t>
      </w:r>
      <w:r>
        <w:rPr>
          <w:szCs w:val="21"/>
        </w:rPr>
        <w:t>2) The redness (a*) and yellowness (b*) values of hind leg muscle in B group and D group were not significantly different from those in CK group (</w:t>
      </w:r>
      <w:r>
        <w:rPr>
          <w:i/>
          <w:iCs/>
          <w:szCs w:val="21"/>
        </w:rPr>
        <w:t>P</w:t>
      </w:r>
      <w:r>
        <w:rPr>
          <w:szCs w:val="21"/>
        </w:rPr>
        <w:t>&gt;0.05), but were significantly lower than those in R group and C group (</w:t>
      </w:r>
      <w:r>
        <w:rPr>
          <w:i/>
          <w:iCs/>
          <w:szCs w:val="21"/>
        </w:rPr>
        <w:t>P</w:t>
      </w:r>
      <w:r>
        <w:rPr>
          <w:szCs w:val="21"/>
        </w:rPr>
        <w:t>&lt;0.05).</w:t>
      </w:r>
      <w:r>
        <w:rPr>
          <w:rFonts w:hint="eastAsia"/>
          <w:szCs w:val="21"/>
        </w:rPr>
        <w:t xml:space="preserve"> </w:t>
      </w:r>
      <w:r>
        <w:rPr>
          <w:szCs w:val="21"/>
        </w:rPr>
        <w:t>3) The contents of serum albumin (ALB), low⁃density lipoprotein cholesterol (LDL⁃C), cholesterol (CHO), high⁃density lipoprotein cholesterol (HDL⁃C), as well as the activities of aspartate aminotransferase (AST) and alanine aminotransferase (ALT) in B group and D group exhibited no significant differences compared with CK group (</w:t>
      </w:r>
      <w:r>
        <w:rPr>
          <w:i/>
          <w:iCs/>
          <w:szCs w:val="21"/>
        </w:rPr>
        <w:t>P</w:t>
      </w:r>
      <w:r>
        <w:rPr>
          <w:szCs w:val="21"/>
        </w:rPr>
        <w:t>&gt;0.05). However, the serum ALB and LDL⁃C contents as well as AST and ALT activities in B group and D group were significantly lower than those in R group and C group (</w:t>
      </w:r>
      <w:r>
        <w:rPr>
          <w:i/>
          <w:iCs/>
          <w:szCs w:val="21"/>
        </w:rPr>
        <w:t>P</w:t>
      </w:r>
      <w:r>
        <w:rPr>
          <w:szCs w:val="21"/>
        </w:rPr>
        <w:t>&lt;0.05), while the serum CHO and HDL⁃C contents were significantly higher than those in R group and C group (</w:t>
      </w:r>
      <w:r>
        <w:rPr>
          <w:i/>
          <w:iCs/>
          <w:szCs w:val="21"/>
        </w:rPr>
        <w:t>P</w:t>
      </w:r>
      <w:r>
        <w:rPr>
          <w:szCs w:val="21"/>
        </w:rPr>
        <w:t>&lt;0.05).</w:t>
      </w:r>
      <w:r>
        <w:rPr>
          <w:rFonts w:hint="eastAsia"/>
          <w:szCs w:val="21"/>
        </w:rPr>
        <w:t xml:space="preserve"> </w:t>
      </w:r>
      <w:r>
        <w:rPr>
          <w:szCs w:val="21"/>
        </w:rPr>
        <w:t>4) The activities of superoxide dismutase (SOD) and catalase (CAT), total antioxidant capacity (T⁃AOC) and malondialdehyde (MDA) content in liver of B group and D group were not significantly different from those in CK group (</w:t>
      </w:r>
      <w:r>
        <w:rPr>
          <w:i/>
          <w:iCs/>
          <w:szCs w:val="21"/>
        </w:rPr>
        <w:t>P</w:t>
      </w:r>
      <w:r>
        <w:rPr>
          <w:szCs w:val="21"/>
        </w:rPr>
        <w:t>&gt;0.05). Nevertheless, the SOD and CAT activities and T⁃AOC in liver of B group and D group were significantly higher than those in R group and C group (</w:t>
      </w:r>
      <w:r>
        <w:rPr>
          <w:i/>
          <w:iCs/>
          <w:szCs w:val="21"/>
        </w:rPr>
        <w:t>P</w:t>
      </w:r>
      <w:r>
        <w:rPr>
          <w:szCs w:val="21"/>
        </w:rPr>
        <w:t>&lt;0.05), and the MDA content was significantly lower than that in R group and C group (</w:t>
      </w:r>
      <w:r>
        <w:rPr>
          <w:i/>
          <w:iCs/>
          <w:szCs w:val="21"/>
        </w:rPr>
        <w:t>P</w:t>
      </w:r>
      <w:r>
        <w:rPr>
          <w:szCs w:val="21"/>
        </w:rPr>
        <w:t>&lt;0.05).</w:t>
      </w:r>
      <w:r>
        <w:rPr>
          <w:rFonts w:hint="eastAsia"/>
          <w:szCs w:val="21"/>
        </w:rPr>
        <w:t xml:space="preserve"> </w:t>
      </w:r>
      <w:r>
        <w:rPr>
          <w:szCs w:val="21"/>
        </w:rPr>
        <w:t>5) The intestinal wall thickness in B group and D group was not significantly different from that in CK group (</w:t>
      </w:r>
      <w:r>
        <w:rPr>
          <w:i/>
          <w:iCs/>
          <w:szCs w:val="21"/>
        </w:rPr>
        <w:t>P</w:t>
      </w:r>
      <w:r>
        <w:rPr>
          <w:szCs w:val="21"/>
        </w:rPr>
        <w:t>&gt;0.05), but was significantly higher than that in R group and C group (</w:t>
      </w:r>
      <w:r>
        <w:rPr>
          <w:i/>
          <w:iCs/>
          <w:szCs w:val="21"/>
        </w:rPr>
        <w:t>P</w:t>
      </w:r>
      <w:r>
        <w:rPr>
          <w:szCs w:val="21"/>
        </w:rPr>
        <w:t xml:space="preserve">&lt; 0.05). Autolysis of intestinal epithelial cells and irregular arrangement of columnar epithelial cells were observed in C group. In conclusion, replacing 37.5% of fish meal with dried </w:t>
      </w:r>
      <w:r>
        <w:rPr>
          <w:i/>
          <w:iCs/>
          <w:szCs w:val="21"/>
        </w:rPr>
        <w:t>Hermetia illucens</w:t>
      </w:r>
      <w:r>
        <w:rPr>
          <w:szCs w:val="21"/>
        </w:rPr>
        <w:t xml:space="preserve"> L. larvae and defatted dried </w:t>
      </w:r>
      <w:r>
        <w:rPr>
          <w:i/>
          <w:iCs/>
          <w:szCs w:val="21"/>
        </w:rPr>
        <w:t>Hermetia illucens</w:t>
      </w:r>
      <w:r>
        <w:rPr>
          <w:szCs w:val="21"/>
        </w:rPr>
        <w:t xml:space="preserve"> L. larvae in the diet has no adverse effects on the growth performance, serum biochemical indices, antioxidant capacity and intestinal morphology of bullfrog (</w:t>
      </w:r>
      <w:r>
        <w:rPr>
          <w:i/>
          <w:iCs/>
          <w:szCs w:val="21"/>
        </w:rPr>
        <w:t>Aquarana catesbeiana</w:t>
      </w:r>
      <w:r>
        <w:rPr>
          <w:szCs w:val="21"/>
        </w:rPr>
        <w:t>), and exerts a certain protective effect on liver health.</w:t>
      </w:r>
    </w:p>
    <w:p w14:paraId="77219797">
      <w:pPr>
        <w:rPr>
          <w:szCs w:val="21"/>
        </w:rPr>
      </w:pPr>
      <w:r>
        <w:rPr>
          <w:b/>
          <w:bCs/>
          <w:szCs w:val="21"/>
        </w:rPr>
        <w:t>Key words</w:t>
      </w:r>
      <w:r>
        <w:rPr>
          <w:szCs w:val="21"/>
        </w:rPr>
        <w:t>: bullfrog (</w:t>
      </w:r>
      <w:r>
        <w:rPr>
          <w:i/>
          <w:iCs/>
          <w:szCs w:val="21"/>
        </w:rPr>
        <w:t>Aquarana catesbeiana</w:t>
      </w:r>
      <w:r>
        <w:rPr>
          <w:szCs w:val="21"/>
        </w:rPr>
        <w:t xml:space="preserve">); </w:t>
      </w:r>
      <w:r>
        <w:rPr>
          <w:i/>
          <w:iCs/>
          <w:szCs w:val="21"/>
        </w:rPr>
        <w:t>Hermetia illucens</w:t>
      </w:r>
      <w:r>
        <w:rPr>
          <w:szCs w:val="21"/>
        </w:rPr>
        <w:t xml:space="preserve"> L.; plant protein source; fish meal; growth performance; liver health</w:t>
      </w:r>
    </w:p>
    <w:p w14:paraId="5EC17982">
      <w:pPr>
        <w:rPr>
          <w:szCs w:val="21"/>
        </w:rPr>
      </w:pPr>
    </w:p>
    <w:p w14:paraId="3F5F6198">
      <w:pPr>
        <w:spacing w:line="360" w:lineRule="auto"/>
        <w:ind w:firstLine="480" w:firstLineChars="200"/>
        <w:rPr>
          <w:sz w:val="24"/>
        </w:rPr>
      </w:pPr>
      <w:r>
        <w:rPr>
          <w:sz w:val="24"/>
        </w:rPr>
        <w:t>鱼粉具有营养均衡、适口性好和抗营养因子含量低的优点，作为优质蛋白质源在水产饲料中发挥着重要作用</w:t>
      </w:r>
      <w:r>
        <w:rPr>
          <w:sz w:val="24"/>
          <w:vertAlign w:val="superscript"/>
        </w:rPr>
        <w:t>[1]</w:t>
      </w:r>
      <w:r>
        <w:rPr>
          <w:sz w:val="24"/>
        </w:rPr>
        <w:t>。随着水产养殖业的发展，鱼粉需求量持续增长，但受限于海洋资源与环保要求，鱼粉供应日益紧张</w:t>
      </w:r>
      <w:r>
        <w:rPr>
          <w:sz w:val="24"/>
          <w:vertAlign w:val="superscript"/>
        </w:rPr>
        <w:t>[2]</w:t>
      </w:r>
      <w:r>
        <w:rPr>
          <w:sz w:val="24"/>
        </w:rPr>
        <w:t>。为促进水产养殖业的可持续发展，寻找可替代鱼粉的蛋白质源已成为国内外水产饲料领域的重要研究方向。目前，植物蛋白质源与昆虫蛋白质源等替代原料已引起广泛关注。黑水虻幼虫粉的营养成分与鱼粉接近</w:t>
      </w:r>
      <w:r>
        <w:rPr>
          <w:sz w:val="24"/>
          <w:vertAlign w:val="superscript"/>
        </w:rPr>
        <w:t>[3]</w:t>
      </w:r>
      <w:r>
        <w:rPr>
          <w:sz w:val="24"/>
        </w:rPr>
        <w:t>，且虫体含有抗菌肽</w:t>
      </w:r>
      <w:r>
        <w:rPr>
          <w:sz w:val="24"/>
          <w:vertAlign w:val="superscript"/>
        </w:rPr>
        <w:t>[4]</w:t>
      </w:r>
      <w:r>
        <w:rPr>
          <w:sz w:val="24"/>
        </w:rPr>
        <w:t>、月桂酸</w:t>
      </w:r>
      <w:r>
        <w:rPr>
          <w:sz w:val="24"/>
          <w:vertAlign w:val="superscript"/>
        </w:rPr>
        <w:t>[5]</w:t>
      </w:r>
      <w:r>
        <w:rPr>
          <w:sz w:val="24"/>
        </w:rPr>
        <w:t>、壳聚糖</w:t>
      </w:r>
      <w:r>
        <w:rPr>
          <w:sz w:val="24"/>
          <w:vertAlign w:val="superscript"/>
        </w:rPr>
        <w:t>[6]</w:t>
      </w:r>
      <w:r>
        <w:rPr>
          <w:sz w:val="24"/>
        </w:rPr>
        <w:t>等活性成分。研究表明，适量使用黑水虻幼虫粉替代鱼粉，对欧洲黑鲈（</w:t>
      </w:r>
      <w:r>
        <w:rPr>
          <w:i/>
          <w:iCs/>
          <w:sz w:val="24"/>
        </w:rPr>
        <w:t>Dicentrarchus</w:t>
      </w:r>
      <w:r>
        <w:rPr>
          <w:rFonts w:hint="eastAsia"/>
          <w:i/>
          <w:iCs/>
          <w:sz w:val="24"/>
        </w:rPr>
        <w:t xml:space="preserve"> </w:t>
      </w:r>
      <w:r>
        <w:rPr>
          <w:i/>
          <w:iCs/>
          <w:sz w:val="24"/>
        </w:rPr>
        <w:t>labrax</w:t>
      </w:r>
      <w:r>
        <w:rPr>
          <w:sz w:val="24"/>
        </w:rPr>
        <w:t>）</w:t>
      </w:r>
      <w:r>
        <w:rPr>
          <w:sz w:val="24"/>
          <w:vertAlign w:val="superscript"/>
        </w:rPr>
        <w:t>[7]</w:t>
      </w:r>
      <w:r>
        <w:rPr>
          <w:sz w:val="24"/>
        </w:rPr>
        <w:t>、黄颡鱼（</w:t>
      </w:r>
      <w:r>
        <w:rPr>
          <w:i/>
          <w:iCs/>
          <w:sz w:val="24"/>
        </w:rPr>
        <w:t>Pelteobagrus</w:t>
      </w:r>
      <w:r>
        <w:rPr>
          <w:rFonts w:hint="eastAsia"/>
          <w:i/>
          <w:iCs/>
          <w:sz w:val="24"/>
        </w:rPr>
        <w:t xml:space="preserve"> </w:t>
      </w:r>
      <w:r>
        <w:rPr>
          <w:i/>
          <w:iCs/>
          <w:sz w:val="24"/>
        </w:rPr>
        <w:t>fulvidraco</w:t>
      </w:r>
      <w:r>
        <w:rPr>
          <w:sz w:val="24"/>
        </w:rPr>
        <w:t>）</w:t>
      </w:r>
      <w:r>
        <w:rPr>
          <w:sz w:val="24"/>
          <w:vertAlign w:val="superscript"/>
        </w:rPr>
        <w:t>[8]</w:t>
      </w:r>
      <w:r>
        <w:rPr>
          <w:sz w:val="24"/>
        </w:rPr>
        <w:t>、凡纳滨对虾（</w:t>
      </w:r>
      <w:r>
        <w:rPr>
          <w:i/>
          <w:iCs/>
          <w:sz w:val="24"/>
        </w:rPr>
        <w:t>Litopenaeus</w:t>
      </w:r>
      <w:r>
        <w:rPr>
          <w:rFonts w:hint="eastAsia"/>
          <w:i/>
          <w:iCs/>
          <w:sz w:val="24"/>
        </w:rPr>
        <w:t xml:space="preserve"> </w:t>
      </w:r>
      <w:r>
        <w:rPr>
          <w:i/>
          <w:iCs/>
          <w:sz w:val="24"/>
        </w:rPr>
        <w:t>vannamei</w:t>
      </w:r>
      <w:r>
        <w:rPr>
          <w:sz w:val="24"/>
        </w:rPr>
        <w:t>）</w:t>
      </w:r>
      <w:r>
        <w:rPr>
          <w:sz w:val="24"/>
          <w:vertAlign w:val="superscript"/>
        </w:rPr>
        <w:t>[9]</w:t>
      </w:r>
      <w:r>
        <w:rPr>
          <w:sz w:val="24"/>
        </w:rPr>
        <w:t>的健康具有积极影响；使用脱脂黑水虻虫粉替代饲料中不超过40%的鱼粉，可促进大黄鱼（</w:t>
      </w:r>
      <w:r>
        <w:rPr>
          <w:i/>
          <w:iCs/>
          <w:sz w:val="24"/>
        </w:rPr>
        <w:t>Larimichthys</w:t>
      </w:r>
      <w:r>
        <w:rPr>
          <w:rFonts w:hint="eastAsia"/>
          <w:i/>
          <w:iCs/>
          <w:sz w:val="24"/>
        </w:rPr>
        <w:t xml:space="preserve"> </w:t>
      </w:r>
      <w:r>
        <w:rPr>
          <w:i/>
          <w:iCs/>
          <w:sz w:val="24"/>
        </w:rPr>
        <w:t>crocea</w:t>
      </w:r>
      <w:r>
        <w:rPr>
          <w:sz w:val="24"/>
        </w:rPr>
        <w:t>）的生长及肠道健康</w:t>
      </w:r>
      <w:r>
        <w:rPr>
          <w:sz w:val="24"/>
          <w:vertAlign w:val="superscript"/>
        </w:rPr>
        <w:t>[10]</w:t>
      </w:r>
      <w:r>
        <w:rPr>
          <w:sz w:val="24"/>
        </w:rPr>
        <w:t>；使用黑水虻幼虫粉替代尼罗罗非鱼（</w:t>
      </w:r>
      <w:r>
        <w:rPr>
          <w:i/>
          <w:iCs/>
          <w:sz w:val="24"/>
        </w:rPr>
        <w:t>Oreochromis</w:t>
      </w:r>
      <w:r>
        <w:rPr>
          <w:rFonts w:hint="eastAsia"/>
          <w:i/>
          <w:iCs/>
          <w:sz w:val="24"/>
        </w:rPr>
        <w:t xml:space="preserve"> </w:t>
      </w:r>
      <w:r>
        <w:rPr>
          <w:i/>
          <w:iCs/>
          <w:sz w:val="24"/>
        </w:rPr>
        <w:t>niloticus</w:t>
      </w:r>
      <w:r>
        <w:rPr>
          <w:sz w:val="24"/>
        </w:rPr>
        <w:t>）饲料中10%~100%</w:t>
      </w:r>
      <w:r>
        <w:rPr>
          <w:rFonts w:hint="eastAsia"/>
          <w:sz w:val="24"/>
        </w:rPr>
        <w:t>的鱼</w:t>
      </w:r>
      <w:r>
        <w:rPr>
          <w:sz w:val="24"/>
        </w:rPr>
        <w:t>粉，对其生长性能无负面影响</w:t>
      </w:r>
      <w:r>
        <w:rPr>
          <w:sz w:val="24"/>
          <w:vertAlign w:val="superscript"/>
        </w:rPr>
        <w:t>[11]</w:t>
      </w:r>
      <w:r>
        <w:rPr>
          <w:sz w:val="24"/>
        </w:rPr>
        <w:t>。植物蛋白质源价格低廉、数量丰富、供应稳定，已被广泛应用于水产养殖中</w:t>
      </w:r>
      <w:r>
        <w:rPr>
          <w:sz w:val="24"/>
          <w:vertAlign w:val="superscript"/>
        </w:rPr>
        <w:t>[12]</w:t>
      </w:r>
      <w:r>
        <w:rPr>
          <w:sz w:val="24"/>
        </w:rPr>
        <w:t>。菜籽粕是油菜籽榨油后的副产物，油菜籽为我国第２大油料作物，资源储备丰富</w:t>
      </w:r>
      <w:r>
        <w:rPr>
          <w:sz w:val="24"/>
          <w:vertAlign w:val="superscript"/>
        </w:rPr>
        <w:t>[13]</w:t>
      </w:r>
      <w:r>
        <w:rPr>
          <w:sz w:val="24"/>
        </w:rPr>
        <w:t>。菜籽粕的粗蛋白质、钙和磷含量均低于鱼粉，同时含有硫代葡萄糖苷等抗营养因子，限制了其在水产饲料中的规模化应用</w:t>
      </w:r>
      <w:r>
        <w:rPr>
          <w:sz w:val="24"/>
          <w:vertAlign w:val="superscript"/>
        </w:rPr>
        <w:t>[14]</w:t>
      </w:r>
      <w:r>
        <w:rPr>
          <w:sz w:val="24"/>
        </w:rPr>
        <w:t>。研究发现，菜籽粕替代饲料中30%的鱼粉时，不会影响虹鳟鱼（</w:t>
      </w:r>
      <w:r>
        <w:rPr>
          <w:i/>
          <w:iCs/>
          <w:sz w:val="24"/>
        </w:rPr>
        <w:t>Oncorhynchus</w:t>
      </w:r>
      <w:r>
        <w:rPr>
          <w:rFonts w:hint="eastAsia"/>
          <w:i/>
          <w:iCs/>
          <w:sz w:val="24"/>
        </w:rPr>
        <w:t xml:space="preserve"> </w:t>
      </w:r>
      <w:r>
        <w:rPr>
          <w:i/>
          <w:iCs/>
          <w:sz w:val="24"/>
        </w:rPr>
        <w:t>mykiss</w:t>
      </w:r>
      <w:r>
        <w:rPr>
          <w:sz w:val="24"/>
        </w:rPr>
        <w:t>）的生长性能，但若替代比例超过50%，则会导致其生长性能显著降低</w:t>
      </w:r>
      <w:r>
        <w:rPr>
          <w:sz w:val="24"/>
          <w:vertAlign w:val="superscript"/>
        </w:rPr>
        <w:t>[15]</w:t>
      </w:r>
      <w:r>
        <w:rPr>
          <w:sz w:val="24"/>
        </w:rPr>
        <w:t>；当菜籽粕替代鱼粉的比例不超过20%时，对异育银鲫（</w:t>
      </w:r>
      <w:r>
        <w:rPr>
          <w:i/>
          <w:iCs/>
          <w:sz w:val="24"/>
        </w:rPr>
        <w:t>Carassius</w:t>
      </w:r>
      <w:r>
        <w:rPr>
          <w:rFonts w:hint="eastAsia"/>
          <w:i/>
          <w:iCs/>
          <w:sz w:val="24"/>
        </w:rPr>
        <w:t xml:space="preserve"> </w:t>
      </w:r>
      <w:r>
        <w:rPr>
          <w:i/>
          <w:iCs/>
          <w:sz w:val="24"/>
        </w:rPr>
        <w:t>auratus</w:t>
      </w:r>
      <w:r>
        <w:rPr>
          <w:rFonts w:hint="eastAsia"/>
          <w:i/>
          <w:iCs/>
          <w:sz w:val="24"/>
        </w:rPr>
        <w:t xml:space="preserve"> </w:t>
      </w:r>
      <w:r>
        <w:rPr>
          <w:i/>
          <w:iCs/>
          <w:sz w:val="24"/>
        </w:rPr>
        <w:t>gibelio</w:t>
      </w:r>
      <w:r>
        <w:rPr>
          <w:sz w:val="24"/>
        </w:rPr>
        <w:t>)</w:t>
      </w:r>
      <w:r>
        <w:rPr>
          <w:rFonts w:hint="eastAsia"/>
          <w:sz w:val="24"/>
        </w:rPr>
        <w:t>的生长和饲料转化效</w:t>
      </w:r>
      <w:r>
        <w:rPr>
          <w:sz w:val="24"/>
        </w:rPr>
        <w:t>率无不良影响</w:t>
      </w:r>
      <w:r>
        <w:rPr>
          <w:sz w:val="24"/>
          <w:vertAlign w:val="superscript"/>
        </w:rPr>
        <w:t>[16]</w:t>
      </w:r>
      <w:r>
        <w:rPr>
          <w:sz w:val="24"/>
        </w:rPr>
        <w:t>。棉籽粕是水产饲料中常见的植物蛋白质源</w:t>
      </w:r>
      <w:r>
        <w:rPr>
          <w:sz w:val="24"/>
          <w:vertAlign w:val="superscript"/>
        </w:rPr>
        <w:t>[17]</w:t>
      </w:r>
      <w:r>
        <w:rPr>
          <w:sz w:val="24"/>
        </w:rPr>
        <w:t>，但其含有棉酚等抗营养因子，且氨基酸含量不平衡，一定程度上限制了其在水产养殖上的应用</w:t>
      </w:r>
      <w:r>
        <w:rPr>
          <w:sz w:val="24"/>
          <w:vertAlign w:val="superscript"/>
        </w:rPr>
        <w:t>[18]</w:t>
      </w:r>
      <w:r>
        <w:rPr>
          <w:sz w:val="24"/>
        </w:rPr>
        <w:t>。研究发现，棉籽粕替代凡纳滨对虾饲料中不超过40%的鱼粉，对其生长、饲料利用率和存活率无显著影响</w:t>
      </w:r>
      <w:r>
        <w:rPr>
          <w:sz w:val="24"/>
          <w:vertAlign w:val="superscript"/>
        </w:rPr>
        <w:t>[19]</w:t>
      </w:r>
      <w:r>
        <w:rPr>
          <w:sz w:val="24"/>
        </w:rPr>
        <w:t>；当饲料中棉籽粕添加比例超过15%时，虹鳟鱼幼鱼的增重率显著降低</w:t>
      </w:r>
      <w:r>
        <w:rPr>
          <w:sz w:val="24"/>
          <w:vertAlign w:val="superscript"/>
        </w:rPr>
        <w:t>[20]</w:t>
      </w:r>
      <w:r>
        <w:rPr>
          <w:sz w:val="24"/>
        </w:rPr>
        <w:t>。牛蛙（</w:t>
      </w:r>
      <w:r>
        <w:rPr>
          <w:i/>
          <w:iCs/>
          <w:sz w:val="24"/>
        </w:rPr>
        <w:t>Aquarana</w:t>
      </w:r>
      <w:r>
        <w:rPr>
          <w:rFonts w:hint="eastAsia"/>
          <w:i/>
          <w:iCs/>
          <w:sz w:val="24"/>
        </w:rPr>
        <w:t xml:space="preserve"> </w:t>
      </w:r>
      <w:r>
        <w:rPr>
          <w:i/>
          <w:iCs/>
          <w:sz w:val="24"/>
        </w:rPr>
        <w:t>catesbeiana</w:t>
      </w:r>
      <w:r>
        <w:rPr>
          <w:sz w:val="24"/>
        </w:rPr>
        <w:t>）作为我国极具发展潜力的养殖品种，具有易养殖、生长繁殖速度快、环境适应能力强、食性杂、饵料利用率高等优点</w:t>
      </w:r>
      <w:r>
        <w:rPr>
          <w:sz w:val="24"/>
          <w:vertAlign w:val="superscript"/>
        </w:rPr>
        <w:t>[21-22]</w:t>
      </w:r>
      <w:r>
        <w:rPr>
          <w:sz w:val="24"/>
        </w:rPr>
        <w:t>。其肉质洁白细嫩、营养丰富，属于高蛋白质、低脂肪、低胆固醇的健康食品，且蛙皮和蛙油还在医药、化工领域具有重要应用价值</w:t>
      </w:r>
      <w:r>
        <w:rPr>
          <w:sz w:val="24"/>
          <w:vertAlign w:val="superscript"/>
        </w:rPr>
        <w:t>[23]</w:t>
      </w:r>
      <w:r>
        <w:rPr>
          <w:sz w:val="24"/>
        </w:rPr>
        <w:t>。为推动牛蛙养殖业的可持续发展，开发新型蛋白质源及低鱼粉饲料势在必行。因此，本试验采用菜籽粕、棉籽粕及不同脂肪含量的黑水虻干虫替代饲料中37.5%</w:t>
      </w:r>
      <w:r>
        <w:rPr>
          <w:rFonts w:hint="eastAsia"/>
          <w:sz w:val="24"/>
        </w:rPr>
        <w:t>的</w:t>
      </w:r>
      <w:r>
        <w:rPr>
          <w:sz w:val="24"/>
        </w:rPr>
        <w:t>鱼粉，探究其对牛蛙生长性能、血清生化指标及肝脏和肠道健康的影响，旨在验证上述蛋白质源替代鱼粉在牛蛙饲料中应用的可行性，为降低牛蛙饲料中鱼粉的用量提供理论依据。</w:t>
      </w:r>
    </w:p>
    <w:p w14:paraId="492FD73D">
      <w:pPr>
        <w:spacing w:line="360" w:lineRule="auto"/>
        <w:rPr>
          <w:sz w:val="24"/>
        </w:rPr>
      </w:pPr>
      <w:r>
        <w:rPr>
          <w:sz w:val="24"/>
        </w:rPr>
        <w:t>1材料与方法</w:t>
      </w:r>
    </w:p>
    <w:p w14:paraId="4B6122E4">
      <w:pPr>
        <w:spacing w:line="360" w:lineRule="auto"/>
        <w:rPr>
          <w:sz w:val="24"/>
        </w:rPr>
      </w:pPr>
      <w:r>
        <w:rPr>
          <w:sz w:val="24"/>
        </w:rPr>
        <w:t>1.1试验饲料</w:t>
      </w:r>
    </w:p>
    <w:p w14:paraId="68845599">
      <w:pPr>
        <w:spacing w:line="360" w:lineRule="auto"/>
        <w:ind w:firstLine="480" w:firstLineChars="200"/>
        <w:rPr>
          <w:sz w:val="24"/>
        </w:rPr>
      </w:pPr>
      <w:r>
        <w:rPr>
          <w:sz w:val="24"/>
        </w:rPr>
        <w:t>以豆粕、鱼粉、猪肉粉和鸡肉粉等为主要蛋白质源，大豆油和鱼油为主要脂肪源，高筋面粉为主要碳水化合物源，配制含8%鱼粉的基础饲料（CK组，作为对照组），然后在基础饲料配方的基础上，分别以黑水虻干虫（B组）、脱脂黑水虻干虫（D组）、菜籽粕（R组）和棉籽粕（C组）替代37.5%的鱼粉，共制成5种等氮等脂的试验饲料。原料的粉碎与混合步骤参照王梦华等</w:t>
      </w:r>
      <w:r>
        <w:rPr>
          <w:sz w:val="24"/>
          <w:vertAlign w:val="superscript"/>
        </w:rPr>
        <w:t>[24]</w:t>
      </w:r>
      <w:r>
        <w:rPr>
          <w:sz w:val="24"/>
        </w:rPr>
        <w:t>，将混合均匀的原料经TSE-65S型膨化机（北京现代洋工机械科技发展有限公司）加工为粒径1.5</w:t>
      </w:r>
      <w:r>
        <w:rPr>
          <w:rFonts w:hint="eastAsia"/>
          <w:sz w:val="24"/>
        </w:rPr>
        <w:t xml:space="preserve"> </w:t>
      </w:r>
      <w:r>
        <w:rPr>
          <w:sz w:val="24"/>
        </w:rPr>
        <w:t>cm的膨化饲料，于55</w:t>
      </w:r>
      <w:r>
        <w:rPr>
          <w:rFonts w:hint="eastAsia"/>
          <w:sz w:val="24"/>
        </w:rPr>
        <w:t xml:space="preserve"> </w:t>
      </w:r>
      <w:r>
        <w:rPr>
          <w:sz w:val="24"/>
        </w:rPr>
        <w:t>℃烘</w:t>
      </w:r>
      <w:r>
        <w:rPr>
          <w:rFonts w:hint="eastAsia"/>
          <w:sz w:val="24"/>
        </w:rPr>
        <w:t>2 h,自然冷却后将油脂与饲料充分混</w:t>
      </w:r>
      <w:r>
        <w:rPr>
          <w:sz w:val="24"/>
        </w:rPr>
        <w:t>匀，置于8℃恒温饲料房保存备用。黑水虻干虫与脱脂黑水虻干虫的营养成分见表1，试验饲料组成及营养水平见表2。</w:t>
      </w:r>
    </w:p>
    <w:p w14:paraId="37D4C771">
      <w:pPr>
        <w:spacing w:line="360" w:lineRule="auto"/>
        <w:rPr>
          <w:sz w:val="24"/>
        </w:rPr>
      </w:pPr>
      <w:r>
        <w:drawing>
          <wp:inline distT="0" distB="0" distL="0" distR="0">
            <wp:extent cx="5273040" cy="2127885"/>
            <wp:effectExtent l="0" t="0" r="3810" b="5715"/>
            <wp:docPr id="833821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21686" name="图片 1"/>
                    <pic:cNvPicPr>
                      <a:picLocks noChangeAspect="1"/>
                    </pic:cNvPicPr>
                  </pic:nvPicPr>
                  <pic:blipFill>
                    <a:blip r:embed="rId46"/>
                    <a:srcRect b="1865"/>
                    <a:stretch>
                      <a:fillRect/>
                    </a:stretch>
                  </pic:blipFill>
                  <pic:spPr>
                    <a:xfrm>
                      <a:off x="0" y="0"/>
                      <a:ext cx="5274310" cy="2128692"/>
                    </a:xfrm>
                    <a:prstGeom prst="rect">
                      <a:avLst/>
                    </a:prstGeom>
                    <a:ln>
                      <a:noFill/>
                    </a:ln>
                  </pic:spPr>
                </pic:pic>
              </a:graphicData>
            </a:graphic>
          </wp:inline>
        </w:drawing>
      </w:r>
    </w:p>
    <w:p w14:paraId="78F4135D">
      <w:pPr>
        <w:spacing w:line="360" w:lineRule="auto"/>
        <w:rPr>
          <w:sz w:val="24"/>
        </w:rPr>
      </w:pPr>
      <w:r>
        <w:drawing>
          <wp:inline distT="0" distB="0" distL="0" distR="0">
            <wp:extent cx="5312410" cy="2475865"/>
            <wp:effectExtent l="0" t="0" r="2540" b="635"/>
            <wp:docPr id="1905987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87643" name="图片 1"/>
                    <pic:cNvPicPr>
                      <a:picLocks noChangeAspect="1"/>
                    </pic:cNvPicPr>
                  </pic:nvPicPr>
                  <pic:blipFill>
                    <a:blip r:embed="rId47"/>
                    <a:srcRect t="13439" b="452"/>
                    <a:stretch>
                      <a:fillRect/>
                    </a:stretch>
                  </pic:blipFill>
                  <pic:spPr>
                    <a:xfrm>
                      <a:off x="0" y="0"/>
                      <a:ext cx="5323378" cy="2481240"/>
                    </a:xfrm>
                    <a:prstGeom prst="rect">
                      <a:avLst/>
                    </a:prstGeom>
                    <a:ln>
                      <a:noFill/>
                    </a:ln>
                  </pic:spPr>
                </pic:pic>
              </a:graphicData>
            </a:graphic>
          </wp:inline>
        </w:drawing>
      </w:r>
    </w:p>
    <w:p w14:paraId="4697C468">
      <w:pPr>
        <w:spacing w:line="360" w:lineRule="auto"/>
        <w:ind w:left="-540" w:leftChars="-257"/>
        <w:rPr>
          <w:sz w:val="24"/>
        </w:rPr>
      </w:pPr>
      <w:r>
        <w:drawing>
          <wp:inline distT="0" distB="0" distL="0" distR="0">
            <wp:extent cx="5890895" cy="4403725"/>
            <wp:effectExtent l="0" t="0" r="0" b="0"/>
            <wp:docPr id="580228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28326" name="图片 1"/>
                    <pic:cNvPicPr>
                      <a:picLocks noChangeAspect="1"/>
                    </pic:cNvPicPr>
                  </pic:nvPicPr>
                  <pic:blipFill>
                    <a:blip r:embed="rId48"/>
                    <a:srcRect l="1594" t="1085" r="3246" b="2096"/>
                    <a:stretch>
                      <a:fillRect/>
                    </a:stretch>
                  </pic:blipFill>
                  <pic:spPr>
                    <a:xfrm>
                      <a:off x="0" y="0"/>
                      <a:ext cx="5920319" cy="4425968"/>
                    </a:xfrm>
                    <a:prstGeom prst="rect">
                      <a:avLst/>
                    </a:prstGeom>
                    <a:ln>
                      <a:noFill/>
                    </a:ln>
                  </pic:spPr>
                </pic:pic>
              </a:graphicData>
            </a:graphic>
          </wp:inline>
        </w:drawing>
      </w:r>
    </w:p>
    <w:p w14:paraId="475699BB">
      <w:pPr>
        <w:spacing w:line="360" w:lineRule="auto"/>
        <w:ind w:left="-540" w:leftChars="-257"/>
        <w:rPr>
          <w:sz w:val="24"/>
        </w:rPr>
      </w:pPr>
      <w:r>
        <w:drawing>
          <wp:inline distT="0" distB="0" distL="0" distR="0">
            <wp:extent cx="5943600" cy="2623185"/>
            <wp:effectExtent l="0" t="0" r="0" b="5715"/>
            <wp:docPr id="1681609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9237" name="图片 1"/>
                    <pic:cNvPicPr>
                      <a:picLocks noChangeAspect="1"/>
                    </pic:cNvPicPr>
                  </pic:nvPicPr>
                  <pic:blipFill>
                    <a:blip r:embed="rId49"/>
                    <a:srcRect l="3089" r="2648"/>
                    <a:stretch>
                      <a:fillRect/>
                    </a:stretch>
                  </pic:blipFill>
                  <pic:spPr>
                    <a:xfrm>
                      <a:off x="0" y="0"/>
                      <a:ext cx="5963437" cy="2632339"/>
                    </a:xfrm>
                    <a:prstGeom prst="rect">
                      <a:avLst/>
                    </a:prstGeom>
                    <a:ln>
                      <a:noFill/>
                    </a:ln>
                  </pic:spPr>
                </pic:pic>
              </a:graphicData>
            </a:graphic>
          </wp:inline>
        </w:drawing>
      </w:r>
    </w:p>
    <w:p w14:paraId="60546D81">
      <w:pPr>
        <w:spacing w:line="360" w:lineRule="auto"/>
        <w:rPr>
          <w:sz w:val="24"/>
        </w:rPr>
      </w:pPr>
      <w:r>
        <w:rPr>
          <w:sz w:val="24"/>
        </w:rPr>
        <w:t>1.2试验动物与饲养管理</w:t>
      </w:r>
    </w:p>
    <w:p w14:paraId="21F9CE26">
      <w:pPr>
        <w:spacing w:line="360" w:lineRule="auto"/>
        <w:ind w:firstLine="480" w:firstLineChars="200"/>
        <w:rPr>
          <w:sz w:val="24"/>
        </w:rPr>
      </w:pPr>
      <w:r>
        <w:rPr>
          <w:sz w:val="24"/>
        </w:rPr>
        <w:t>牛蛙由惠州市财兴实业有限公司牛蛙养殖基地提供，并在该基地进行养殖试验。动物试验程序经仲恺农业工程学院实验动物伦理委员会批准，批准号为ZK20252202。选取初始体重约40</w:t>
      </w:r>
      <w:r>
        <w:rPr>
          <w:rFonts w:hint="eastAsia"/>
          <w:sz w:val="24"/>
        </w:rPr>
        <w:t xml:space="preserve"> </w:t>
      </w:r>
      <w:r>
        <w:rPr>
          <w:sz w:val="24"/>
        </w:rPr>
        <w:t>g的健康牛蛙</w:t>
      </w:r>
      <w:r>
        <w:rPr>
          <w:rFonts w:hint="eastAsia"/>
          <w:sz w:val="24"/>
        </w:rPr>
        <w:t>1200只,随机分为</w:t>
      </w:r>
      <w:r>
        <w:rPr>
          <w:sz w:val="24"/>
        </w:rPr>
        <w:t>5组，每组3个重复，将实际生产中所用养殖土池改造为试验网箱（规格1</w:t>
      </w:r>
      <w:r>
        <w:rPr>
          <w:rFonts w:hint="eastAsia"/>
          <w:sz w:val="24"/>
        </w:rPr>
        <w:t xml:space="preserve"> </w:t>
      </w:r>
      <w:r>
        <w:rPr>
          <w:sz w:val="24"/>
        </w:rPr>
        <w:t>m×0.5</w:t>
      </w:r>
      <w:r>
        <w:rPr>
          <w:rFonts w:hint="eastAsia"/>
          <w:sz w:val="24"/>
        </w:rPr>
        <w:t xml:space="preserve"> </w:t>
      </w:r>
      <w:r>
        <w:rPr>
          <w:sz w:val="24"/>
        </w:rPr>
        <w:t>m×0.6</w:t>
      </w:r>
      <w:r>
        <w:rPr>
          <w:rFonts w:hint="eastAsia"/>
          <w:sz w:val="24"/>
        </w:rPr>
        <w:t xml:space="preserve"> </w:t>
      </w:r>
      <w:r>
        <w:rPr>
          <w:sz w:val="24"/>
        </w:rPr>
        <w:t>m），采用高密度养殖模式，每个网箱（重复）放养80只牛蛙，分别饲喂相应的试验饲料，进行为期56</w:t>
      </w:r>
      <w:r>
        <w:rPr>
          <w:rFonts w:hint="eastAsia"/>
          <w:sz w:val="24"/>
        </w:rPr>
        <w:t xml:space="preserve"> </w:t>
      </w:r>
      <w:r>
        <w:rPr>
          <w:sz w:val="24"/>
        </w:rPr>
        <w:t>d的养殖试验。采用表观饱食投喂方式，每天于08:00和17:00各投喂1次。养殖用水为经</w:t>
      </w:r>
      <w:r>
        <w:rPr>
          <w:rFonts w:hint="eastAsia"/>
          <w:sz w:val="24"/>
        </w:rPr>
        <w:t>2 d曝晒与曝气处理的地下</w:t>
      </w:r>
      <w:r>
        <w:rPr>
          <w:sz w:val="24"/>
        </w:rPr>
        <w:t>水，试验期间每5~7</w:t>
      </w:r>
      <w:r>
        <w:rPr>
          <w:rFonts w:hint="eastAsia"/>
          <w:sz w:val="24"/>
        </w:rPr>
        <w:t xml:space="preserve"> </w:t>
      </w:r>
      <w:r>
        <w:rPr>
          <w:sz w:val="24"/>
        </w:rPr>
        <w:t>d进行1次全池换水；养殖期间水温维持在25~31 ℃，氨氮浓度&lt;0.20</w:t>
      </w:r>
      <w:r>
        <w:rPr>
          <w:rFonts w:hint="eastAsia"/>
          <w:sz w:val="24"/>
        </w:rPr>
        <w:t xml:space="preserve"> </w:t>
      </w:r>
      <w:r>
        <w:rPr>
          <w:sz w:val="24"/>
        </w:rPr>
        <w:t>mg/L，亚硝酸盐浓度&lt;0.1</w:t>
      </w:r>
      <w:r>
        <w:rPr>
          <w:rFonts w:hint="eastAsia"/>
          <w:sz w:val="24"/>
        </w:rPr>
        <w:t xml:space="preserve"> </w:t>
      </w:r>
      <w:r>
        <w:rPr>
          <w:sz w:val="24"/>
        </w:rPr>
        <w:t>mg/L，pH为7.30~8.20。养殖过程中每天记录各重复的饲料消耗量与牛蛙死亡情况。</w:t>
      </w:r>
    </w:p>
    <w:p w14:paraId="07664AF2">
      <w:pPr>
        <w:spacing w:line="360" w:lineRule="auto"/>
        <w:rPr>
          <w:sz w:val="24"/>
        </w:rPr>
      </w:pPr>
      <w:r>
        <w:rPr>
          <w:sz w:val="24"/>
        </w:rPr>
        <w:t>1.3样品采集</w:t>
      </w:r>
    </w:p>
    <w:p w14:paraId="7A55CFCC">
      <w:pPr>
        <w:spacing w:line="360" w:lineRule="auto"/>
        <w:ind w:firstLine="480" w:firstLineChars="200"/>
        <w:rPr>
          <w:sz w:val="24"/>
        </w:rPr>
      </w:pPr>
      <w:r>
        <w:rPr>
          <w:sz w:val="24"/>
        </w:rPr>
        <w:t>养殖试验结束后停食</w:t>
      </w:r>
      <w:r>
        <w:rPr>
          <w:rFonts w:hint="eastAsia"/>
          <w:sz w:val="24"/>
        </w:rPr>
        <w:t>1 d,统计存活率,并称</w:t>
      </w:r>
      <w:r>
        <w:rPr>
          <w:sz w:val="24"/>
        </w:rPr>
        <w:t>量每只牛蛙终末体重。从每个重复中随机选取8只牛蛙，其中3只使用</w:t>
      </w:r>
      <w:r>
        <w:rPr>
          <w:rFonts w:hint="eastAsia"/>
          <w:sz w:val="24"/>
        </w:rPr>
        <w:t>1 mL无菌注射器进行心脏</w:t>
      </w:r>
      <w:r>
        <w:rPr>
          <w:sz w:val="24"/>
        </w:rPr>
        <w:t>采血，血液在4℃环境静置4</w:t>
      </w:r>
      <w:r>
        <w:rPr>
          <w:rFonts w:hint="eastAsia"/>
          <w:sz w:val="24"/>
        </w:rPr>
        <w:t xml:space="preserve"> </w:t>
      </w:r>
      <w:r>
        <w:rPr>
          <w:sz w:val="24"/>
        </w:rPr>
        <w:t>h后，4</w:t>
      </w:r>
      <w:r>
        <w:rPr>
          <w:rFonts w:hint="eastAsia"/>
          <w:sz w:val="24"/>
        </w:rPr>
        <w:t xml:space="preserve"> </w:t>
      </w:r>
      <w:r>
        <w:rPr>
          <w:sz w:val="24"/>
        </w:rPr>
        <w:t>℃下以2200×</w:t>
      </w:r>
      <w:r>
        <w:rPr>
          <w:i/>
          <w:iCs/>
          <w:sz w:val="24"/>
        </w:rPr>
        <w:t>g</w:t>
      </w:r>
      <w:r>
        <w:rPr>
          <w:sz w:val="24"/>
        </w:rPr>
        <w:t>离心10</w:t>
      </w:r>
      <w:r>
        <w:rPr>
          <w:rFonts w:hint="eastAsia"/>
          <w:sz w:val="24"/>
        </w:rPr>
        <w:t xml:space="preserve"> </w:t>
      </w:r>
      <w:r>
        <w:rPr>
          <w:sz w:val="24"/>
        </w:rPr>
        <w:t>min，将上清液分装置于-80</w:t>
      </w:r>
      <w:r>
        <w:rPr>
          <w:rFonts w:hint="eastAsia"/>
          <w:sz w:val="24"/>
        </w:rPr>
        <w:t xml:space="preserve"> </w:t>
      </w:r>
      <w:r>
        <w:rPr>
          <w:sz w:val="24"/>
        </w:rPr>
        <w:t>℃保存，以检测血清生化指标。剩余5只牛蛙去除头、爪、皮后称重，计算净肉率；称量内脏团重量，计算脏体比；剪取左后腿称重，计算后腿肉率，随后剥离腿部肌肉，测定pH与肉色；取出肝脏并称重，计算肝体比，然后将每块肝脏均分为2份，一份置于-80</w:t>
      </w:r>
      <w:r>
        <w:rPr>
          <w:rFonts w:hint="eastAsia"/>
          <w:sz w:val="24"/>
        </w:rPr>
        <w:t xml:space="preserve"> </w:t>
      </w:r>
      <w:r>
        <w:rPr>
          <w:sz w:val="24"/>
        </w:rPr>
        <w:t>℃低温保存，用于测定抗氧化指标，另一份放入4%多聚甲醛溶液中固定，用于肝脏形态结构检测；取中肠组织，放入4%多聚甲醛溶液中固定保存，用于肠道形态结构检测。</w:t>
      </w:r>
    </w:p>
    <w:p w14:paraId="4911B38E">
      <w:pPr>
        <w:spacing w:line="360" w:lineRule="auto"/>
        <w:rPr>
          <w:sz w:val="24"/>
        </w:rPr>
      </w:pPr>
      <w:r>
        <w:rPr>
          <w:sz w:val="24"/>
        </w:rPr>
        <w:t>1.4</w:t>
      </w:r>
      <w:r>
        <w:rPr>
          <w:rFonts w:hint="eastAsia"/>
          <w:sz w:val="24"/>
        </w:rPr>
        <w:t>指标测定</w:t>
      </w:r>
    </w:p>
    <w:p w14:paraId="47221E89">
      <w:pPr>
        <w:spacing w:line="360" w:lineRule="auto"/>
        <w:rPr>
          <w:sz w:val="24"/>
        </w:rPr>
      </w:pPr>
      <w:r>
        <w:rPr>
          <w:sz w:val="24"/>
        </w:rPr>
        <w:t>1.4.1</w:t>
      </w:r>
      <w:r>
        <w:rPr>
          <w:rFonts w:hint="eastAsia"/>
          <w:sz w:val="24"/>
        </w:rPr>
        <w:t>饲料及原料常规营养成分</w:t>
      </w:r>
    </w:p>
    <w:p w14:paraId="02FA4058">
      <w:pPr>
        <w:spacing w:line="360" w:lineRule="auto"/>
        <w:ind w:firstLine="480" w:firstLineChars="200"/>
        <w:rPr>
          <w:sz w:val="24"/>
        </w:rPr>
      </w:pPr>
      <w:r>
        <w:rPr>
          <w:sz w:val="24"/>
        </w:rPr>
        <w:t>粗脂肪含量采用GB/T</w:t>
      </w:r>
      <w:r>
        <w:rPr>
          <w:rFonts w:hint="eastAsia"/>
          <w:sz w:val="24"/>
        </w:rPr>
        <w:t xml:space="preserve"> </w:t>
      </w:r>
      <w:r>
        <w:rPr>
          <w:sz w:val="24"/>
        </w:rPr>
        <w:t>6433—2025的方法测定，粗灰分含量采用GB/T</w:t>
      </w:r>
      <w:r>
        <w:rPr>
          <w:rFonts w:hint="eastAsia"/>
          <w:sz w:val="24"/>
        </w:rPr>
        <w:t xml:space="preserve"> </w:t>
      </w:r>
      <w:r>
        <w:rPr>
          <w:sz w:val="24"/>
        </w:rPr>
        <w:t>6438—2007的方法测定，水分含量采用GB/T</w:t>
      </w:r>
      <w:r>
        <w:rPr>
          <w:rFonts w:hint="eastAsia"/>
          <w:sz w:val="24"/>
        </w:rPr>
        <w:t xml:space="preserve"> </w:t>
      </w:r>
      <w:r>
        <w:rPr>
          <w:sz w:val="24"/>
        </w:rPr>
        <w:t>6435—2014的方法测定，粗蛋白质含量采用GB/T</w:t>
      </w:r>
      <w:r>
        <w:rPr>
          <w:rFonts w:hint="eastAsia"/>
          <w:sz w:val="24"/>
        </w:rPr>
        <w:t xml:space="preserve"> </w:t>
      </w:r>
      <w:r>
        <w:rPr>
          <w:sz w:val="24"/>
        </w:rPr>
        <w:t>6432—2018的方法测定，钙含量采用GB/T</w:t>
      </w:r>
      <w:r>
        <w:rPr>
          <w:rFonts w:hint="eastAsia"/>
          <w:sz w:val="24"/>
        </w:rPr>
        <w:t xml:space="preserve"> </w:t>
      </w:r>
      <w:r>
        <w:rPr>
          <w:sz w:val="24"/>
        </w:rPr>
        <w:t>6436—2018的方法测定，磷含量采用GB/T</w:t>
      </w:r>
      <w:r>
        <w:rPr>
          <w:rFonts w:hint="eastAsia"/>
          <w:sz w:val="24"/>
        </w:rPr>
        <w:t xml:space="preserve"> </w:t>
      </w:r>
      <w:r>
        <w:rPr>
          <w:sz w:val="24"/>
        </w:rPr>
        <w:t>6437—2018的方法测定，酸溶蛋白含量采用NY/T</w:t>
      </w:r>
      <w:r>
        <w:rPr>
          <w:rFonts w:hint="eastAsia"/>
          <w:sz w:val="24"/>
        </w:rPr>
        <w:t xml:space="preserve"> </w:t>
      </w:r>
      <w:r>
        <w:rPr>
          <w:sz w:val="24"/>
        </w:rPr>
        <w:t>3801—2020的方法测定，胆固醇（CHO）含量采用GB</w:t>
      </w:r>
      <w:r>
        <w:rPr>
          <w:rFonts w:hint="eastAsia"/>
          <w:sz w:val="24"/>
        </w:rPr>
        <w:t xml:space="preserve"> </w:t>
      </w:r>
      <w:r>
        <w:rPr>
          <w:sz w:val="24"/>
        </w:rPr>
        <w:t>5009.128—2016的方法测定，多肽、氨基酸和月桂酸含量采用高效液相色谱法测定。壳聚糖以盐酸氨基葡萄糖计，样品经酸水解后采用高效液相色谱法测定。</w:t>
      </w:r>
    </w:p>
    <w:p w14:paraId="558329E3">
      <w:pPr>
        <w:spacing w:line="360" w:lineRule="auto"/>
        <w:rPr>
          <w:sz w:val="24"/>
        </w:rPr>
      </w:pPr>
      <w:r>
        <w:rPr>
          <w:sz w:val="24"/>
        </w:rPr>
        <w:t>1.4.2</w:t>
      </w:r>
      <w:r>
        <w:rPr>
          <w:rFonts w:hint="eastAsia"/>
          <w:sz w:val="24"/>
        </w:rPr>
        <w:t>生长性能和屠宰性能</w:t>
      </w:r>
    </w:p>
    <w:p w14:paraId="23EAD2F8">
      <w:pPr>
        <w:spacing w:line="360" w:lineRule="auto"/>
        <w:ind w:firstLine="480" w:firstLineChars="200"/>
        <w:rPr>
          <w:sz w:val="24"/>
        </w:rPr>
      </w:pPr>
      <w:r>
        <w:rPr>
          <w:sz w:val="24"/>
        </w:rPr>
        <w:t>相关指标计算公式如下：</w:t>
      </w:r>
    </w:p>
    <w:p w14:paraId="02AC34FC">
      <w:pPr>
        <w:spacing w:line="360" w:lineRule="auto"/>
        <w:ind w:firstLine="480" w:firstLineChars="200"/>
        <w:jc w:val="center"/>
        <w:rPr>
          <w:sz w:val="24"/>
        </w:rPr>
      </w:pPr>
      <w:r>
        <w:rPr>
          <w:sz w:val="24"/>
        </w:rPr>
        <w:t>增重率（WGR，%）＝100×（终末体重</w:t>
      </w:r>
      <w:r>
        <w:rPr>
          <w:rFonts w:hint="eastAsia"/>
          <w:sz w:val="24"/>
        </w:rPr>
        <w:t>-</w:t>
      </w:r>
      <w:r>
        <w:rPr>
          <w:sz w:val="24"/>
        </w:rPr>
        <w:t>初始体重）/初始体重；</w:t>
      </w:r>
    </w:p>
    <w:p w14:paraId="23796690">
      <w:pPr>
        <w:spacing w:line="360" w:lineRule="auto"/>
        <w:ind w:firstLine="480" w:firstLineChars="200"/>
        <w:jc w:val="center"/>
        <w:rPr>
          <w:sz w:val="24"/>
        </w:rPr>
      </w:pPr>
      <w:r>
        <w:rPr>
          <w:sz w:val="24"/>
        </w:rPr>
        <w:t>存活率（SR，%）＝100×终末数量/初始数量；</w:t>
      </w:r>
    </w:p>
    <w:p w14:paraId="036072F1">
      <w:pPr>
        <w:spacing w:line="360" w:lineRule="auto"/>
        <w:ind w:firstLine="480" w:firstLineChars="200"/>
        <w:jc w:val="center"/>
        <w:rPr>
          <w:sz w:val="24"/>
        </w:rPr>
      </w:pPr>
      <w:r>
        <w:rPr>
          <w:sz w:val="24"/>
        </w:rPr>
        <w:t>特定生长率（SGR，%/d）＝100×（ln终末体重</w:t>
      </w:r>
      <w:r>
        <w:rPr>
          <w:rFonts w:hint="eastAsia"/>
          <w:sz w:val="24"/>
        </w:rPr>
        <w:t>-</w:t>
      </w:r>
      <w:r>
        <w:rPr>
          <w:sz w:val="24"/>
        </w:rPr>
        <w:t>ln初始体重）/养殖天数；</w:t>
      </w:r>
    </w:p>
    <w:p w14:paraId="26263CC0">
      <w:pPr>
        <w:spacing w:line="360" w:lineRule="auto"/>
        <w:ind w:firstLine="480" w:firstLineChars="200"/>
        <w:jc w:val="center"/>
        <w:rPr>
          <w:sz w:val="24"/>
        </w:rPr>
      </w:pPr>
      <w:r>
        <w:rPr>
          <w:sz w:val="24"/>
        </w:rPr>
        <w:t>饲料系数（FCR）＝总耗料量/（终末体重+死亡体重-初始体重）；</w:t>
      </w:r>
    </w:p>
    <w:p w14:paraId="23F56A3E">
      <w:pPr>
        <w:spacing w:line="360" w:lineRule="auto"/>
        <w:ind w:firstLine="480" w:firstLineChars="200"/>
        <w:jc w:val="center"/>
        <w:rPr>
          <w:sz w:val="24"/>
        </w:rPr>
      </w:pPr>
      <w:r>
        <w:rPr>
          <w:sz w:val="24"/>
        </w:rPr>
        <w:t>肝体比（HSI，%）＝100×肝脏重/体重；</w:t>
      </w:r>
    </w:p>
    <w:p w14:paraId="18F993DC">
      <w:pPr>
        <w:spacing w:line="360" w:lineRule="auto"/>
        <w:ind w:firstLine="480" w:firstLineChars="200"/>
        <w:jc w:val="center"/>
        <w:rPr>
          <w:sz w:val="24"/>
        </w:rPr>
      </w:pPr>
      <w:r>
        <w:rPr>
          <w:sz w:val="24"/>
        </w:rPr>
        <w:t>脏体比（VSI，%）＝100×内脏重/体重；</w:t>
      </w:r>
    </w:p>
    <w:p w14:paraId="39AA0F67">
      <w:pPr>
        <w:spacing w:line="360" w:lineRule="auto"/>
        <w:ind w:firstLine="480" w:firstLineChars="200"/>
        <w:jc w:val="center"/>
        <w:rPr>
          <w:sz w:val="24"/>
        </w:rPr>
      </w:pPr>
      <w:r>
        <w:rPr>
          <w:sz w:val="24"/>
        </w:rPr>
        <w:t>净肉率（%）＝100×净肉重/体重；</w:t>
      </w:r>
    </w:p>
    <w:p w14:paraId="4C1DA9E6">
      <w:pPr>
        <w:spacing w:line="360" w:lineRule="auto"/>
        <w:ind w:firstLine="480" w:firstLineChars="200"/>
        <w:jc w:val="center"/>
        <w:rPr>
          <w:sz w:val="24"/>
        </w:rPr>
      </w:pPr>
      <w:r>
        <w:rPr>
          <w:sz w:val="24"/>
        </w:rPr>
        <w:t>后腿肉率（%）＝100×左后腿去皮重×2/体重。</w:t>
      </w:r>
    </w:p>
    <w:p w14:paraId="290BC156">
      <w:pPr>
        <w:spacing w:line="360" w:lineRule="auto"/>
        <w:rPr>
          <w:sz w:val="24"/>
        </w:rPr>
      </w:pPr>
      <w:r>
        <w:rPr>
          <w:sz w:val="24"/>
        </w:rPr>
        <w:t>1.4.3后腿肌肉pH及肉色</w:t>
      </w:r>
    </w:p>
    <w:p w14:paraId="4304BF7B">
      <w:pPr>
        <w:spacing w:line="360" w:lineRule="auto"/>
        <w:ind w:firstLine="480" w:firstLineChars="200"/>
        <w:rPr>
          <w:sz w:val="24"/>
        </w:rPr>
      </w:pPr>
      <w:r>
        <w:rPr>
          <w:sz w:val="24"/>
        </w:rPr>
        <w:t>参照Petracci等</w:t>
      </w:r>
      <w:r>
        <w:rPr>
          <w:sz w:val="24"/>
          <w:vertAlign w:val="superscript"/>
        </w:rPr>
        <w:t>[25]</w:t>
      </w:r>
      <w:r>
        <w:rPr>
          <w:sz w:val="24"/>
        </w:rPr>
        <w:t>的方法测定后腿肌肉pH及肉色［亮度（L</w:t>
      </w:r>
      <w:r>
        <w:rPr>
          <w:szCs w:val="21"/>
        </w:rPr>
        <w:t>*</w:t>
      </w:r>
      <w:r>
        <w:rPr>
          <w:sz w:val="24"/>
        </w:rPr>
        <w:t>）、红度（a</w:t>
      </w:r>
      <w:r>
        <w:rPr>
          <w:szCs w:val="21"/>
        </w:rPr>
        <w:t>*</w:t>
      </w:r>
      <w:r>
        <w:rPr>
          <w:sz w:val="24"/>
        </w:rPr>
        <w:t>）和黄度（b</w:t>
      </w:r>
      <w:r>
        <w:rPr>
          <w:szCs w:val="21"/>
        </w:rPr>
        <w:t>*</w:t>
      </w:r>
      <w:r>
        <w:rPr>
          <w:sz w:val="24"/>
        </w:rPr>
        <w:t>）值］。</w:t>
      </w:r>
    </w:p>
    <w:p w14:paraId="2832B737">
      <w:pPr>
        <w:spacing w:line="360" w:lineRule="auto"/>
        <w:rPr>
          <w:sz w:val="24"/>
        </w:rPr>
      </w:pPr>
      <w:r>
        <w:rPr>
          <w:sz w:val="24"/>
        </w:rPr>
        <w:t>1.4.4血清生化指标</w:t>
      </w:r>
    </w:p>
    <w:p w14:paraId="3CAB712D">
      <w:pPr>
        <w:spacing w:line="360" w:lineRule="auto"/>
        <w:ind w:firstLine="480" w:firstLineChars="200"/>
        <w:rPr>
          <w:sz w:val="24"/>
        </w:rPr>
      </w:pPr>
      <w:r>
        <w:rPr>
          <w:sz w:val="24"/>
        </w:rPr>
        <w:t>委托广州新海医院检测科对血清葡萄糖（GLU）、CHO、甘油三酯（TG）、低密度脂蛋白胆固醇（LDL⁃C）、高密度脂蛋白胆固醇（HDL⁃C）、总蛋白（TP）、白蛋白（ALB）含量及谷草转氨酶（AST）、碱性磷酸酶（ALP）、谷丙转氨酶（ALT）、乳酸脱氢酶（LDH）活性进行检测。</w:t>
      </w:r>
    </w:p>
    <w:p w14:paraId="1821AE08">
      <w:pPr>
        <w:spacing w:line="360" w:lineRule="auto"/>
        <w:rPr>
          <w:sz w:val="24"/>
        </w:rPr>
      </w:pPr>
      <w:r>
        <w:rPr>
          <w:sz w:val="24"/>
        </w:rPr>
        <w:t>1.4.5肝脏抗氧化指标</w:t>
      </w:r>
    </w:p>
    <w:p w14:paraId="5F1E24D9">
      <w:pPr>
        <w:spacing w:line="360" w:lineRule="auto"/>
        <w:ind w:firstLine="480" w:firstLineChars="200"/>
        <w:rPr>
          <w:sz w:val="24"/>
        </w:rPr>
      </w:pPr>
      <w:r>
        <w:rPr>
          <w:sz w:val="24"/>
        </w:rPr>
        <w:t>采用南京建成生物工程研究所生产的试剂盒测定肝脏丙二醛（MDA）含量、总抗氧化能力（T⁃AOC）及过氧化氢酶（CAT）、超氧化物歧化酶（SOD）活性，具体操作步骤参照试剂盒说明书执行。</w:t>
      </w:r>
    </w:p>
    <w:p w14:paraId="22787EA9">
      <w:pPr>
        <w:spacing w:line="360" w:lineRule="auto"/>
        <w:rPr>
          <w:sz w:val="24"/>
        </w:rPr>
      </w:pPr>
      <w:r>
        <w:rPr>
          <w:sz w:val="24"/>
        </w:rPr>
        <w:t>1.4.6肝脏和肠道形态结构</w:t>
      </w:r>
    </w:p>
    <w:p w14:paraId="039FED78">
      <w:pPr>
        <w:spacing w:line="360" w:lineRule="auto"/>
        <w:ind w:firstLine="480" w:firstLineChars="200"/>
        <w:rPr>
          <w:sz w:val="24"/>
        </w:rPr>
      </w:pPr>
      <w:r>
        <w:rPr>
          <w:sz w:val="24"/>
        </w:rPr>
        <w:t>肝脏和肠道组织石蜡切片的制作与观察步骤如下：将组织样品从4%多聚甲醛溶液中取出，用手术刀取相同部位组织，经不同浓度乙醇梯度脱水，二甲苯透明后石蜡包埋，制作5μm厚的切片。采用常规组织学方法进行油红O染色与苏木精</w:t>
      </w:r>
      <w:r>
        <w:rPr>
          <w:rFonts w:hint="eastAsia"/>
          <w:sz w:val="24"/>
        </w:rPr>
        <w:t>-</w:t>
      </w:r>
      <w:r>
        <w:rPr>
          <w:sz w:val="24"/>
        </w:rPr>
        <w:t>伊红（HE）染色。利用光学显微镜（DP72，Olym⁃pus，日本）观察染色结果，并将显微镜连接至装有Motic</w:t>
      </w:r>
      <w:r>
        <w:rPr>
          <w:rFonts w:hint="eastAsia"/>
          <w:sz w:val="24"/>
        </w:rPr>
        <w:t xml:space="preserve"> </w:t>
      </w:r>
      <w:r>
        <w:rPr>
          <w:sz w:val="24"/>
        </w:rPr>
        <w:t>Images软件（Leica</w:t>
      </w:r>
      <w:r>
        <w:rPr>
          <w:rFonts w:hint="eastAsia"/>
          <w:sz w:val="24"/>
        </w:rPr>
        <w:t xml:space="preserve"> </w:t>
      </w:r>
      <w:r>
        <w:rPr>
          <w:sz w:val="24"/>
        </w:rPr>
        <w:t>Application</w:t>
      </w:r>
      <w:r>
        <w:rPr>
          <w:rFonts w:hint="eastAsia"/>
          <w:sz w:val="24"/>
        </w:rPr>
        <w:t xml:space="preserve"> </w:t>
      </w:r>
      <w:r>
        <w:rPr>
          <w:sz w:val="24"/>
        </w:rPr>
        <w:t>Suite</w:t>
      </w:r>
      <w:r>
        <w:rPr>
          <w:rFonts w:hint="eastAsia"/>
          <w:sz w:val="24"/>
        </w:rPr>
        <w:t xml:space="preserve"> </w:t>
      </w:r>
      <w:r>
        <w:rPr>
          <w:sz w:val="24"/>
        </w:rPr>
        <w:t>v3.3.0）的计算机进行图像采集与分析。</w:t>
      </w:r>
    </w:p>
    <w:p w14:paraId="2965C06E">
      <w:pPr>
        <w:spacing w:line="360" w:lineRule="auto"/>
        <w:rPr>
          <w:sz w:val="24"/>
        </w:rPr>
      </w:pPr>
      <w:r>
        <w:rPr>
          <w:sz w:val="24"/>
        </w:rPr>
        <w:t>1.5数据统计分析</w:t>
      </w:r>
    </w:p>
    <w:p w14:paraId="3F93F967">
      <w:pPr>
        <w:spacing w:line="360" w:lineRule="auto"/>
        <w:ind w:firstLine="480" w:firstLineChars="200"/>
        <w:rPr>
          <w:sz w:val="24"/>
        </w:rPr>
      </w:pPr>
      <w:r>
        <w:rPr>
          <w:sz w:val="24"/>
        </w:rPr>
        <w:t>利用SPSS26.0软件对试验数据进行单因素方差分析（one⁃way</w:t>
      </w:r>
      <w:r>
        <w:rPr>
          <w:rFonts w:hint="eastAsia"/>
          <w:sz w:val="24"/>
        </w:rPr>
        <w:t xml:space="preserve"> </w:t>
      </w:r>
      <w:r>
        <w:rPr>
          <w:sz w:val="24"/>
        </w:rPr>
        <w:t>ANOVA），并采用Duncan氏法进行组间多重比较。结果用平均值±标准误（mean±SE）表示，以</w:t>
      </w:r>
      <w:r>
        <w:rPr>
          <w:i/>
          <w:iCs/>
          <w:sz w:val="24"/>
        </w:rPr>
        <w:t>P</w:t>
      </w:r>
      <w:r>
        <w:rPr>
          <w:sz w:val="24"/>
        </w:rPr>
        <w:t>&lt;0.05为差异显著。</w:t>
      </w:r>
    </w:p>
    <w:p w14:paraId="2AD3BC29">
      <w:pPr>
        <w:spacing w:line="360" w:lineRule="auto"/>
        <w:rPr>
          <w:sz w:val="24"/>
        </w:rPr>
      </w:pPr>
      <w:r>
        <w:rPr>
          <w:sz w:val="24"/>
        </w:rPr>
        <w:t>2结果与分析</w:t>
      </w:r>
    </w:p>
    <w:p w14:paraId="17E63F46">
      <w:pPr>
        <w:spacing w:line="360" w:lineRule="auto"/>
        <w:rPr>
          <w:sz w:val="24"/>
        </w:rPr>
      </w:pPr>
      <w:r>
        <w:rPr>
          <w:sz w:val="24"/>
        </w:rPr>
        <w:t>2.1不同蛋白质源替代鱼粉对牛蛙生长性能的影响</w:t>
      </w:r>
    </w:p>
    <w:p w14:paraId="771613C1">
      <w:pPr>
        <w:spacing w:line="360" w:lineRule="auto"/>
        <w:ind w:firstLine="480" w:firstLineChars="200"/>
        <w:rPr>
          <w:sz w:val="24"/>
        </w:rPr>
      </w:pPr>
      <w:r>
        <w:rPr>
          <w:sz w:val="24"/>
        </w:rPr>
        <w:t>由表3可知，各组间初始体重和存活率无显著差异（</w:t>
      </w:r>
      <w:r>
        <w:rPr>
          <w:i/>
          <w:iCs/>
          <w:sz w:val="24"/>
        </w:rPr>
        <w:t>P</w:t>
      </w:r>
      <w:r>
        <w:rPr>
          <w:sz w:val="24"/>
        </w:rPr>
        <w:t>&gt;0.05）。与CK组相比，各替代组终末体重、增重率和特定生长率均有所降低，其中B组和D组与CK组无显著差异（</w:t>
      </w:r>
      <w:r>
        <w:rPr>
          <w:i/>
          <w:iCs/>
          <w:sz w:val="24"/>
        </w:rPr>
        <w:t>P</w:t>
      </w:r>
      <w:r>
        <w:rPr>
          <w:sz w:val="24"/>
        </w:rPr>
        <w:t>&gt;0.05），R组和C组则显著低于CK组（</w:t>
      </w:r>
      <w:r>
        <w:rPr>
          <w:i/>
          <w:iCs/>
          <w:sz w:val="24"/>
        </w:rPr>
        <w:t>P</w:t>
      </w:r>
      <w:r>
        <w:rPr>
          <w:sz w:val="24"/>
        </w:rPr>
        <w:t>&lt;0.05），且R组显著低于其他各组（</w:t>
      </w:r>
      <w:r>
        <w:rPr>
          <w:i/>
          <w:iCs/>
          <w:sz w:val="24"/>
        </w:rPr>
        <w:t>P</w:t>
      </w:r>
      <w:r>
        <w:rPr>
          <w:sz w:val="24"/>
        </w:rPr>
        <w:t>&lt;0.05）。CK组饲料系数与B组和D组无显著差异（</w:t>
      </w:r>
      <w:r>
        <w:rPr>
          <w:i/>
          <w:iCs/>
          <w:sz w:val="24"/>
        </w:rPr>
        <w:t>P</w:t>
      </w:r>
      <w:r>
        <w:rPr>
          <w:sz w:val="24"/>
        </w:rPr>
        <w:t>&gt;0.05），而显著低于C组（</w:t>
      </w:r>
      <w:r>
        <w:rPr>
          <w:i/>
          <w:iCs/>
          <w:sz w:val="24"/>
        </w:rPr>
        <w:t>P</w:t>
      </w:r>
      <w:r>
        <w:rPr>
          <w:sz w:val="24"/>
        </w:rPr>
        <w:t>&lt;0.05），且C组饲料系数显著低于R组（</w:t>
      </w:r>
      <w:r>
        <w:rPr>
          <w:i/>
          <w:iCs/>
          <w:sz w:val="24"/>
        </w:rPr>
        <w:t>P</w:t>
      </w:r>
      <w:r>
        <w:rPr>
          <w:sz w:val="24"/>
        </w:rPr>
        <w:t>&lt;0.05）。</w:t>
      </w:r>
    </w:p>
    <w:p w14:paraId="2500BD37">
      <w:pPr>
        <w:spacing w:line="360" w:lineRule="auto"/>
        <w:ind w:left="-271" w:leftChars="-129"/>
        <w:rPr>
          <w:sz w:val="24"/>
        </w:rPr>
      </w:pPr>
      <w:r>
        <w:drawing>
          <wp:inline distT="0" distB="0" distL="0" distR="0">
            <wp:extent cx="5515610" cy="2301240"/>
            <wp:effectExtent l="0" t="0" r="0" b="3810"/>
            <wp:docPr id="1177488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88542" name="图片 1"/>
                    <pic:cNvPicPr>
                      <a:picLocks noChangeAspect="1"/>
                    </pic:cNvPicPr>
                  </pic:nvPicPr>
                  <pic:blipFill>
                    <a:blip r:embed="rId50"/>
                    <a:stretch>
                      <a:fillRect/>
                    </a:stretch>
                  </pic:blipFill>
                  <pic:spPr>
                    <a:xfrm>
                      <a:off x="0" y="0"/>
                      <a:ext cx="5523761" cy="2305003"/>
                    </a:xfrm>
                    <a:prstGeom prst="rect">
                      <a:avLst/>
                    </a:prstGeom>
                  </pic:spPr>
                </pic:pic>
              </a:graphicData>
            </a:graphic>
          </wp:inline>
        </w:drawing>
      </w:r>
    </w:p>
    <w:p w14:paraId="2867A240">
      <w:pPr>
        <w:spacing w:line="360" w:lineRule="auto"/>
        <w:rPr>
          <w:sz w:val="24"/>
        </w:rPr>
      </w:pPr>
      <w:r>
        <w:rPr>
          <w:sz w:val="24"/>
        </w:rPr>
        <w:t>2.2不同蛋白质源替代鱼粉对牛蛙屠宰性能的影响</w:t>
      </w:r>
    </w:p>
    <w:p w14:paraId="2AC83EBA">
      <w:pPr>
        <w:spacing w:line="360" w:lineRule="auto"/>
        <w:ind w:firstLine="480" w:firstLineChars="200"/>
        <w:rPr>
          <w:sz w:val="24"/>
        </w:rPr>
      </w:pPr>
      <w:r>
        <w:rPr>
          <w:sz w:val="24"/>
        </w:rPr>
        <w:t>由表4可知，各组牛蛙的肝体比、脏体比、净肉率和后腿肉率均无显著差异（</w:t>
      </w:r>
      <w:r>
        <w:rPr>
          <w:i/>
          <w:iCs/>
          <w:sz w:val="24"/>
        </w:rPr>
        <w:t>P</w:t>
      </w:r>
      <w:r>
        <w:rPr>
          <w:sz w:val="24"/>
        </w:rPr>
        <w:t>&gt;0.05）。</w:t>
      </w:r>
    </w:p>
    <w:p w14:paraId="5F1B385D">
      <w:pPr>
        <w:spacing w:line="360" w:lineRule="auto"/>
        <w:ind w:left="-134" w:leftChars="-64" w:right="80" w:rightChars="38"/>
        <w:jc w:val="center"/>
        <w:rPr>
          <w:sz w:val="24"/>
        </w:rPr>
      </w:pPr>
      <w:r>
        <w:drawing>
          <wp:inline distT="0" distB="0" distL="0" distR="0">
            <wp:extent cx="5281295" cy="1368425"/>
            <wp:effectExtent l="0" t="0" r="0" b="3175"/>
            <wp:docPr id="998283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83825" name="图片 1"/>
                    <pic:cNvPicPr>
                      <a:picLocks noChangeAspect="1"/>
                    </pic:cNvPicPr>
                  </pic:nvPicPr>
                  <pic:blipFill>
                    <a:blip r:embed="rId51"/>
                    <a:stretch>
                      <a:fillRect/>
                    </a:stretch>
                  </pic:blipFill>
                  <pic:spPr>
                    <a:xfrm>
                      <a:off x="0" y="0"/>
                      <a:ext cx="5385714" cy="1396032"/>
                    </a:xfrm>
                    <a:prstGeom prst="rect">
                      <a:avLst/>
                    </a:prstGeom>
                  </pic:spPr>
                </pic:pic>
              </a:graphicData>
            </a:graphic>
          </wp:inline>
        </w:drawing>
      </w:r>
    </w:p>
    <w:p w14:paraId="324E3CF9">
      <w:pPr>
        <w:spacing w:line="360" w:lineRule="auto"/>
        <w:rPr>
          <w:sz w:val="24"/>
        </w:rPr>
      </w:pPr>
      <w:r>
        <w:rPr>
          <w:sz w:val="24"/>
        </w:rPr>
        <w:t>2.3不同蛋白质源替代鱼粉对牛蛙后腿肌肉品质的影响</w:t>
      </w:r>
    </w:p>
    <w:p w14:paraId="7E85F997">
      <w:pPr>
        <w:spacing w:line="360" w:lineRule="auto"/>
        <w:ind w:firstLine="480" w:firstLineChars="200"/>
        <w:rPr>
          <w:sz w:val="24"/>
        </w:rPr>
      </w:pPr>
      <w:r>
        <w:rPr>
          <w:sz w:val="24"/>
        </w:rPr>
        <w:t>由表5可知，各组间后腿肌肉pH和L</w:t>
      </w:r>
      <w:r>
        <w:rPr>
          <w:szCs w:val="21"/>
        </w:rPr>
        <w:t>*</w:t>
      </w:r>
      <w:r>
        <w:rPr>
          <w:sz w:val="24"/>
        </w:rPr>
        <w:t>值无显著差异（</w:t>
      </w:r>
      <w:r>
        <w:rPr>
          <w:i/>
          <w:iCs/>
          <w:sz w:val="24"/>
        </w:rPr>
        <w:t>P</w:t>
      </w:r>
      <w:r>
        <w:rPr>
          <w:sz w:val="24"/>
        </w:rPr>
        <w:t>&gt;0.05）。B组和D组后腿肌肉a</w:t>
      </w:r>
      <w:r>
        <w:rPr>
          <w:szCs w:val="21"/>
        </w:rPr>
        <w:t>*</w:t>
      </w:r>
      <w:r>
        <w:rPr>
          <w:sz w:val="24"/>
        </w:rPr>
        <w:t>和b</w:t>
      </w:r>
      <w:r>
        <w:rPr>
          <w:szCs w:val="21"/>
        </w:rPr>
        <w:t>*</w:t>
      </w:r>
      <w:r>
        <w:rPr>
          <w:sz w:val="24"/>
        </w:rPr>
        <w:t>值与CK组无显著差异（</w:t>
      </w:r>
      <w:r>
        <w:rPr>
          <w:i/>
          <w:iCs/>
          <w:sz w:val="24"/>
        </w:rPr>
        <w:t>P</w:t>
      </w:r>
      <w:r>
        <w:rPr>
          <w:sz w:val="24"/>
        </w:rPr>
        <w:t>&gt;0.05），但显著低于R组和C组（</w:t>
      </w:r>
      <w:r>
        <w:rPr>
          <w:i/>
          <w:iCs/>
          <w:sz w:val="24"/>
        </w:rPr>
        <w:t>P</w:t>
      </w:r>
      <w:r>
        <w:rPr>
          <w:sz w:val="24"/>
        </w:rPr>
        <w:t>&lt;0.05）。</w:t>
      </w:r>
    </w:p>
    <w:p w14:paraId="74C50D97">
      <w:pPr>
        <w:spacing w:line="360" w:lineRule="auto"/>
        <w:ind w:left="134" w:leftChars="64"/>
        <w:rPr>
          <w:sz w:val="24"/>
        </w:rPr>
      </w:pPr>
      <w:r>
        <w:drawing>
          <wp:inline distT="0" distB="0" distL="0" distR="0">
            <wp:extent cx="5154930" cy="1364615"/>
            <wp:effectExtent l="0" t="0" r="7620" b="6985"/>
            <wp:docPr id="1941799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9037" name="图片 1"/>
                    <pic:cNvPicPr>
                      <a:picLocks noChangeAspect="1"/>
                    </pic:cNvPicPr>
                  </pic:nvPicPr>
                  <pic:blipFill>
                    <a:blip r:embed="rId52"/>
                    <a:stretch>
                      <a:fillRect/>
                    </a:stretch>
                  </pic:blipFill>
                  <pic:spPr>
                    <a:xfrm>
                      <a:off x="0" y="0"/>
                      <a:ext cx="5200783" cy="1376898"/>
                    </a:xfrm>
                    <a:prstGeom prst="rect">
                      <a:avLst/>
                    </a:prstGeom>
                  </pic:spPr>
                </pic:pic>
              </a:graphicData>
            </a:graphic>
          </wp:inline>
        </w:drawing>
      </w:r>
    </w:p>
    <w:p w14:paraId="46A73DE2">
      <w:pPr>
        <w:spacing w:line="360" w:lineRule="auto"/>
        <w:rPr>
          <w:sz w:val="24"/>
        </w:rPr>
      </w:pPr>
      <w:r>
        <w:rPr>
          <w:sz w:val="24"/>
        </w:rPr>
        <w:t>2.4不同蛋白质源替代鱼粉对牛蛙血清生化指标的影响</w:t>
      </w:r>
    </w:p>
    <w:p w14:paraId="18FDF3D3">
      <w:pPr>
        <w:spacing w:line="360" w:lineRule="auto"/>
        <w:ind w:firstLine="480" w:firstLineChars="200"/>
        <w:rPr>
          <w:sz w:val="24"/>
        </w:rPr>
      </w:pPr>
      <w:r>
        <w:rPr>
          <w:sz w:val="24"/>
        </w:rPr>
        <w:t>由表6可知，B组</w:t>
      </w:r>
      <w:r>
        <w:rPr>
          <w:rFonts w:hint="eastAsia"/>
          <w:sz w:val="24"/>
        </w:rPr>
        <w:t>和D</w:t>
      </w:r>
      <w:r>
        <w:rPr>
          <w:sz w:val="24"/>
        </w:rPr>
        <w:t>组血清ALB、LDL⁃C含量及AST、ALT活性与CK组无显著差异（</w:t>
      </w:r>
      <w:r>
        <w:rPr>
          <w:i/>
          <w:iCs/>
          <w:sz w:val="24"/>
        </w:rPr>
        <w:t>P</w:t>
      </w:r>
      <w:r>
        <w:rPr>
          <w:sz w:val="24"/>
        </w:rPr>
        <w:t>&gt;0.05），但显著低于R组和C组（</w:t>
      </w:r>
      <w:r>
        <w:rPr>
          <w:i/>
          <w:iCs/>
          <w:sz w:val="24"/>
        </w:rPr>
        <w:t>P</w:t>
      </w:r>
      <w:r>
        <w:rPr>
          <w:sz w:val="24"/>
        </w:rPr>
        <w:t>&lt;0.05）；各替代组血清TG含量与CK组无显著差异（</w:t>
      </w:r>
      <w:r>
        <w:rPr>
          <w:i/>
          <w:iCs/>
          <w:sz w:val="24"/>
        </w:rPr>
        <w:t>P</w:t>
      </w:r>
      <w:r>
        <w:rPr>
          <w:sz w:val="24"/>
        </w:rPr>
        <w:t>&gt;0.05），但较CK组有所降低；R组血清球蛋白（GLOB）含量显著低于CK组和B组（</w:t>
      </w:r>
      <w:r>
        <w:rPr>
          <w:i/>
          <w:iCs/>
          <w:sz w:val="24"/>
        </w:rPr>
        <w:t>P</w:t>
      </w:r>
      <w:r>
        <w:rPr>
          <w:sz w:val="24"/>
        </w:rPr>
        <w:t>&lt;0.05）；各组血清LDH含量差异显著（</w:t>
      </w:r>
      <w:r>
        <w:rPr>
          <w:i/>
          <w:iCs/>
          <w:sz w:val="24"/>
        </w:rPr>
        <w:t>P</w:t>
      </w:r>
      <w:r>
        <w:rPr>
          <w:sz w:val="24"/>
        </w:rPr>
        <w:t>&lt;0.05），由低到高依次为B组&lt;CK组&lt;D组&lt;C组&lt;R组；B组和D组血清CHO和HDL⁃C含量与CK组无显著差异（</w:t>
      </w:r>
      <w:r>
        <w:rPr>
          <w:i/>
          <w:iCs/>
          <w:sz w:val="24"/>
        </w:rPr>
        <w:t>P</w:t>
      </w:r>
      <w:r>
        <w:rPr>
          <w:sz w:val="24"/>
        </w:rPr>
        <w:t>&gt;0.05），但显著高于R组和C组（</w:t>
      </w:r>
      <w:r>
        <w:rPr>
          <w:i/>
          <w:iCs/>
          <w:sz w:val="24"/>
        </w:rPr>
        <w:t>P</w:t>
      </w:r>
      <w:r>
        <w:rPr>
          <w:sz w:val="24"/>
        </w:rPr>
        <w:t>&lt;0.05）；CK组、B组和D组血清ALP活性和GLU含量显著低于R组和C组（</w:t>
      </w:r>
      <w:r>
        <w:rPr>
          <w:i/>
          <w:iCs/>
          <w:sz w:val="24"/>
        </w:rPr>
        <w:t>P</w:t>
      </w:r>
      <w:r>
        <w:rPr>
          <w:sz w:val="24"/>
        </w:rPr>
        <w:t>&lt;0.05）。</w:t>
      </w:r>
    </w:p>
    <w:p w14:paraId="617FAEA1">
      <w:pPr>
        <w:spacing w:line="360" w:lineRule="auto"/>
        <w:jc w:val="center"/>
        <w:rPr>
          <w:sz w:val="24"/>
        </w:rPr>
      </w:pPr>
      <w:r>
        <w:drawing>
          <wp:inline distT="0" distB="0" distL="0" distR="0">
            <wp:extent cx="5166360" cy="2821305"/>
            <wp:effectExtent l="0" t="0" r="0" b="0"/>
            <wp:docPr id="1726486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86725" name="图片 1"/>
                    <pic:cNvPicPr>
                      <a:picLocks noChangeAspect="1"/>
                    </pic:cNvPicPr>
                  </pic:nvPicPr>
                  <pic:blipFill>
                    <a:blip r:embed="rId53"/>
                    <a:stretch>
                      <a:fillRect/>
                    </a:stretch>
                  </pic:blipFill>
                  <pic:spPr>
                    <a:xfrm>
                      <a:off x="0" y="0"/>
                      <a:ext cx="5190578" cy="2834632"/>
                    </a:xfrm>
                    <a:prstGeom prst="rect">
                      <a:avLst/>
                    </a:prstGeom>
                  </pic:spPr>
                </pic:pic>
              </a:graphicData>
            </a:graphic>
          </wp:inline>
        </w:drawing>
      </w:r>
    </w:p>
    <w:p w14:paraId="7A5B538A">
      <w:pPr>
        <w:spacing w:line="360" w:lineRule="auto"/>
        <w:rPr>
          <w:sz w:val="24"/>
        </w:rPr>
      </w:pPr>
      <w:r>
        <w:rPr>
          <w:sz w:val="24"/>
        </w:rPr>
        <w:t>2.5不同蛋白质源替代鱼粉对牛蛙肝脏抗氧化指标的影响</w:t>
      </w:r>
    </w:p>
    <w:p w14:paraId="1CA0DB68">
      <w:pPr>
        <w:spacing w:line="360" w:lineRule="auto"/>
        <w:ind w:firstLine="480" w:firstLineChars="200"/>
        <w:rPr>
          <w:sz w:val="24"/>
        </w:rPr>
      </w:pPr>
      <w:r>
        <w:rPr>
          <w:sz w:val="24"/>
        </w:rPr>
        <w:t>由表7可知，B组和D组肝脏SOD、CAT活性及T⁃AOC与CK组无显著差异（</w:t>
      </w:r>
      <w:r>
        <w:rPr>
          <w:i/>
          <w:iCs/>
          <w:sz w:val="24"/>
        </w:rPr>
        <w:t>P</w:t>
      </w:r>
      <w:r>
        <w:rPr>
          <w:sz w:val="24"/>
        </w:rPr>
        <w:t>&gt;0.05），但显著高于R组和C组（</w:t>
      </w:r>
      <w:r>
        <w:rPr>
          <w:i/>
          <w:iCs/>
          <w:sz w:val="24"/>
        </w:rPr>
        <w:t>P</w:t>
      </w:r>
      <w:r>
        <w:rPr>
          <w:sz w:val="24"/>
        </w:rPr>
        <w:t>&lt;0.05）；B组和D组肝脏MDA含量与CK组无显著差异（</w:t>
      </w:r>
      <w:r>
        <w:rPr>
          <w:i/>
          <w:iCs/>
          <w:sz w:val="24"/>
        </w:rPr>
        <w:t>P</w:t>
      </w:r>
      <w:r>
        <w:rPr>
          <w:sz w:val="24"/>
        </w:rPr>
        <w:t>&gt;0.05），但显著低于R组和C组（</w:t>
      </w:r>
      <w:r>
        <w:rPr>
          <w:i/>
          <w:iCs/>
          <w:sz w:val="24"/>
        </w:rPr>
        <w:t>P</w:t>
      </w:r>
      <w:r>
        <w:rPr>
          <w:sz w:val="24"/>
        </w:rPr>
        <w:t>&lt;0.05）。</w:t>
      </w:r>
    </w:p>
    <w:p w14:paraId="620DEB70">
      <w:pPr>
        <w:spacing w:line="360" w:lineRule="auto"/>
        <w:ind w:left="134" w:leftChars="64"/>
        <w:jc w:val="center"/>
        <w:rPr>
          <w:sz w:val="24"/>
        </w:rPr>
      </w:pPr>
      <w:r>
        <w:drawing>
          <wp:inline distT="0" distB="0" distL="0" distR="0">
            <wp:extent cx="5133975" cy="1748155"/>
            <wp:effectExtent l="0" t="0" r="0" b="4445"/>
            <wp:docPr id="9479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08" name="图片 1"/>
                    <pic:cNvPicPr>
                      <a:picLocks noChangeAspect="1"/>
                    </pic:cNvPicPr>
                  </pic:nvPicPr>
                  <pic:blipFill>
                    <a:blip r:embed="rId54"/>
                    <a:stretch>
                      <a:fillRect/>
                    </a:stretch>
                  </pic:blipFill>
                  <pic:spPr>
                    <a:xfrm>
                      <a:off x="0" y="0"/>
                      <a:ext cx="5159355" cy="1757262"/>
                    </a:xfrm>
                    <a:prstGeom prst="rect">
                      <a:avLst/>
                    </a:prstGeom>
                  </pic:spPr>
                </pic:pic>
              </a:graphicData>
            </a:graphic>
          </wp:inline>
        </w:drawing>
      </w:r>
    </w:p>
    <w:p w14:paraId="4B0E0C8A">
      <w:pPr>
        <w:spacing w:line="360" w:lineRule="auto"/>
        <w:rPr>
          <w:sz w:val="24"/>
        </w:rPr>
      </w:pPr>
      <w:r>
        <w:rPr>
          <w:sz w:val="24"/>
        </w:rPr>
        <w:t>2.6不同蛋白质源替代鱼粉对牛蛙肝脏形态结构的影响</w:t>
      </w:r>
    </w:p>
    <w:p w14:paraId="7503F6B3">
      <w:pPr>
        <w:spacing w:line="360" w:lineRule="auto"/>
        <w:ind w:firstLine="480" w:firstLineChars="200"/>
        <w:rPr>
          <w:sz w:val="24"/>
        </w:rPr>
      </w:pPr>
      <w:r>
        <w:rPr>
          <w:sz w:val="24"/>
        </w:rPr>
        <w:t>如图1所示，各组牛蛙肝脏均未观察到明显损伤。</w:t>
      </w:r>
    </w:p>
    <w:p w14:paraId="341C38CC">
      <w:pPr>
        <w:spacing w:line="360" w:lineRule="auto"/>
        <w:jc w:val="center"/>
        <w:rPr>
          <w:sz w:val="24"/>
        </w:rPr>
      </w:pPr>
      <w:r>
        <w:drawing>
          <wp:inline distT="0" distB="0" distL="0" distR="0">
            <wp:extent cx="5263515" cy="1812925"/>
            <wp:effectExtent l="0" t="0" r="0" b="0"/>
            <wp:docPr id="102731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1001" name="图片 1"/>
                    <pic:cNvPicPr>
                      <a:picLocks noChangeAspect="1"/>
                    </pic:cNvPicPr>
                  </pic:nvPicPr>
                  <pic:blipFill>
                    <a:blip r:embed="rId55"/>
                    <a:stretch>
                      <a:fillRect/>
                    </a:stretch>
                  </pic:blipFill>
                  <pic:spPr>
                    <a:xfrm>
                      <a:off x="0" y="0"/>
                      <a:ext cx="5301351" cy="1826049"/>
                    </a:xfrm>
                    <a:prstGeom prst="rect">
                      <a:avLst/>
                    </a:prstGeom>
                  </pic:spPr>
                </pic:pic>
              </a:graphicData>
            </a:graphic>
          </wp:inline>
        </w:drawing>
      </w:r>
    </w:p>
    <w:p w14:paraId="39BBC90B">
      <w:pPr>
        <w:spacing w:line="360" w:lineRule="auto"/>
        <w:rPr>
          <w:sz w:val="24"/>
        </w:rPr>
      </w:pPr>
      <w:r>
        <w:rPr>
          <w:sz w:val="24"/>
        </w:rPr>
        <w:t>2.7不同蛋白质源替代鱼粉对牛蛙肠道形态结构的影响</w:t>
      </w:r>
    </w:p>
    <w:p w14:paraId="741C8A27">
      <w:pPr>
        <w:spacing w:line="360" w:lineRule="auto"/>
        <w:ind w:firstLine="480" w:firstLineChars="200"/>
        <w:rPr>
          <w:sz w:val="24"/>
        </w:rPr>
      </w:pPr>
      <w:r>
        <w:rPr>
          <w:sz w:val="24"/>
        </w:rPr>
        <w:t>由表8可知，各替代组肠道绒毛高度与CK组无显著差异（</w:t>
      </w:r>
      <w:r>
        <w:rPr>
          <w:i/>
          <w:iCs/>
          <w:sz w:val="24"/>
        </w:rPr>
        <w:t>P</w:t>
      </w:r>
      <w:r>
        <w:rPr>
          <w:sz w:val="24"/>
        </w:rPr>
        <w:t>&gt;0.05），B组肠道绒毛高度显著高于R组（</w:t>
      </w:r>
      <w:r>
        <w:rPr>
          <w:i/>
          <w:iCs/>
          <w:sz w:val="24"/>
        </w:rPr>
        <w:t>P</w:t>
      </w:r>
      <w:r>
        <w:rPr>
          <w:sz w:val="24"/>
        </w:rPr>
        <w:t>&lt;0.05）；B组和D组肠壁厚度与CK组无显著差异（</w:t>
      </w:r>
      <w:r>
        <w:rPr>
          <w:i/>
          <w:iCs/>
          <w:sz w:val="24"/>
        </w:rPr>
        <w:t>P</w:t>
      </w:r>
      <w:r>
        <w:rPr>
          <w:sz w:val="24"/>
        </w:rPr>
        <w:t>&gt;0.05），但显著高于R组和C组（</w:t>
      </w:r>
      <w:r>
        <w:rPr>
          <w:i/>
          <w:iCs/>
          <w:sz w:val="24"/>
        </w:rPr>
        <w:t>P</w:t>
      </w:r>
      <w:r>
        <w:rPr>
          <w:sz w:val="24"/>
        </w:rPr>
        <w:t>&lt;0.05）。牛蛙肠道组织切片染色结果（图2）显示，CK组、B组、D组和R组肠道绒毛结构较为完整、排列密集且长度较长，柱状上皮细胞排列整齐；而C组肠道出现上皮细胞自溶现象，且柱状上皮细胞排列不规则。</w:t>
      </w:r>
    </w:p>
    <w:p w14:paraId="05ECEE3C">
      <w:pPr>
        <w:spacing w:line="360" w:lineRule="auto"/>
        <w:ind w:left="-134" w:leftChars="-64"/>
        <w:jc w:val="center"/>
        <w:rPr>
          <w:sz w:val="24"/>
        </w:rPr>
      </w:pPr>
      <w:r>
        <w:drawing>
          <wp:inline distT="0" distB="0" distL="0" distR="0">
            <wp:extent cx="5270500" cy="1246505"/>
            <wp:effectExtent l="0" t="0" r="6350" b="0"/>
            <wp:docPr id="1444391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91204" name="图片 1"/>
                    <pic:cNvPicPr>
                      <a:picLocks noChangeAspect="1"/>
                    </pic:cNvPicPr>
                  </pic:nvPicPr>
                  <pic:blipFill>
                    <a:blip r:embed="rId56"/>
                    <a:stretch>
                      <a:fillRect/>
                    </a:stretch>
                  </pic:blipFill>
                  <pic:spPr>
                    <a:xfrm>
                      <a:off x="0" y="0"/>
                      <a:ext cx="5312835" cy="1256889"/>
                    </a:xfrm>
                    <a:prstGeom prst="rect">
                      <a:avLst/>
                    </a:prstGeom>
                  </pic:spPr>
                </pic:pic>
              </a:graphicData>
            </a:graphic>
          </wp:inline>
        </w:drawing>
      </w:r>
    </w:p>
    <w:p w14:paraId="6D7C3535">
      <w:pPr>
        <w:spacing w:line="360" w:lineRule="auto"/>
        <w:ind w:left="134" w:leftChars="64"/>
        <w:jc w:val="center"/>
        <w:rPr>
          <w:sz w:val="24"/>
        </w:rPr>
      </w:pPr>
      <w:r>
        <w:drawing>
          <wp:inline distT="0" distB="0" distL="0" distR="0">
            <wp:extent cx="5117465" cy="1928495"/>
            <wp:effectExtent l="0" t="0" r="6985" b="0"/>
            <wp:docPr id="132326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6418" name="图片 1"/>
                    <pic:cNvPicPr>
                      <a:picLocks noChangeAspect="1"/>
                    </pic:cNvPicPr>
                  </pic:nvPicPr>
                  <pic:blipFill>
                    <a:blip r:embed="rId57"/>
                    <a:stretch>
                      <a:fillRect/>
                    </a:stretch>
                  </pic:blipFill>
                  <pic:spPr>
                    <a:xfrm>
                      <a:off x="0" y="0"/>
                      <a:ext cx="5137006" cy="1935808"/>
                    </a:xfrm>
                    <a:prstGeom prst="rect">
                      <a:avLst/>
                    </a:prstGeom>
                  </pic:spPr>
                </pic:pic>
              </a:graphicData>
            </a:graphic>
          </wp:inline>
        </w:drawing>
      </w:r>
    </w:p>
    <w:p w14:paraId="5112220C">
      <w:pPr>
        <w:spacing w:line="360" w:lineRule="auto"/>
        <w:rPr>
          <w:sz w:val="24"/>
        </w:rPr>
      </w:pPr>
      <w:r>
        <w:rPr>
          <w:sz w:val="24"/>
        </w:rPr>
        <w:t>3讨论</w:t>
      </w:r>
    </w:p>
    <w:p w14:paraId="3FB10080">
      <w:pPr>
        <w:spacing w:line="360" w:lineRule="auto"/>
        <w:rPr>
          <w:sz w:val="24"/>
        </w:rPr>
      </w:pPr>
      <w:r>
        <w:rPr>
          <w:sz w:val="24"/>
        </w:rPr>
        <w:t>3.1不同蛋白质源替代鱼粉对牛蛙生长性能的影响</w:t>
      </w:r>
    </w:p>
    <w:p w14:paraId="046CF5B0">
      <w:pPr>
        <w:spacing w:line="360" w:lineRule="auto"/>
        <w:ind w:firstLine="480" w:firstLineChars="200"/>
        <w:rPr>
          <w:sz w:val="24"/>
        </w:rPr>
      </w:pPr>
      <w:r>
        <w:rPr>
          <w:sz w:val="24"/>
        </w:rPr>
        <w:t>生长性能可反映水产动物的营养状况</w:t>
      </w:r>
      <w:r>
        <w:rPr>
          <w:sz w:val="24"/>
          <w:vertAlign w:val="superscript"/>
        </w:rPr>
        <w:t>[26]</w:t>
      </w:r>
      <w:r>
        <w:rPr>
          <w:sz w:val="24"/>
        </w:rPr>
        <w:t>。研究表明，在肉食性鱼类饲料中使用植物蛋白质源替代鱼粉，通常会导致其生长速度减缓、饲料系数升高以及蛋白质利用效率下降</w:t>
      </w:r>
      <w:r>
        <w:rPr>
          <w:sz w:val="24"/>
          <w:vertAlign w:val="superscript"/>
        </w:rPr>
        <w:t>[12]</w:t>
      </w:r>
      <w:r>
        <w:rPr>
          <w:sz w:val="24"/>
        </w:rPr>
        <w:t>。另有研究发现，用豆粕和花生粕替代凡纳滨对虾饲料中40%以上的鱼粉时，其生长性能和饲料利用效率显著降低</w:t>
      </w:r>
      <w:r>
        <w:rPr>
          <w:sz w:val="24"/>
          <w:vertAlign w:val="superscript"/>
        </w:rPr>
        <w:t>[27]</w:t>
      </w:r>
      <w:r>
        <w:rPr>
          <w:sz w:val="24"/>
        </w:rPr>
        <w:t>；用菜籽粕替代青鱼（</w:t>
      </w:r>
      <w:r>
        <w:rPr>
          <w:i/>
          <w:iCs/>
          <w:sz w:val="24"/>
        </w:rPr>
        <w:t>Mylopharyngodon</w:t>
      </w:r>
      <w:r>
        <w:rPr>
          <w:rFonts w:hint="eastAsia"/>
          <w:i/>
          <w:iCs/>
          <w:sz w:val="24"/>
        </w:rPr>
        <w:t xml:space="preserve"> </w:t>
      </w:r>
      <w:r>
        <w:rPr>
          <w:i/>
          <w:iCs/>
          <w:sz w:val="24"/>
        </w:rPr>
        <w:t>piceus</w:t>
      </w:r>
      <w:r>
        <w:rPr>
          <w:sz w:val="24"/>
        </w:rPr>
        <w:t>）</w:t>
      </w:r>
      <w:r>
        <w:rPr>
          <w:sz w:val="24"/>
          <w:vertAlign w:val="superscript"/>
        </w:rPr>
        <w:t>[28]</w:t>
      </w:r>
      <w:r>
        <w:rPr>
          <w:sz w:val="24"/>
        </w:rPr>
        <w:t>饲料中30%以上或真鲷（</w:t>
      </w:r>
      <w:r>
        <w:rPr>
          <w:i/>
          <w:iCs/>
          <w:sz w:val="24"/>
        </w:rPr>
        <w:t>Pagrus</w:t>
      </w:r>
      <w:r>
        <w:rPr>
          <w:rFonts w:hint="eastAsia"/>
          <w:i/>
          <w:iCs/>
          <w:sz w:val="24"/>
        </w:rPr>
        <w:t xml:space="preserve"> </w:t>
      </w:r>
      <w:r>
        <w:rPr>
          <w:i/>
          <w:iCs/>
          <w:sz w:val="24"/>
        </w:rPr>
        <w:t>major</w:t>
      </w:r>
      <w:r>
        <w:rPr>
          <w:sz w:val="24"/>
        </w:rPr>
        <w:t>）</w:t>
      </w:r>
      <w:r>
        <w:rPr>
          <w:sz w:val="24"/>
          <w:vertAlign w:val="superscript"/>
        </w:rPr>
        <w:t>[29]</w:t>
      </w:r>
      <w:r>
        <w:rPr>
          <w:sz w:val="24"/>
        </w:rPr>
        <w:t>饲料中37.5%以上的鱼粉，均明显抑制其生长；用棉籽粕替代乌苏拟鲿鱼（</w:t>
      </w:r>
      <w:r>
        <w:rPr>
          <w:i/>
          <w:iCs/>
          <w:sz w:val="24"/>
        </w:rPr>
        <w:t>Pseudobagrus</w:t>
      </w:r>
      <w:r>
        <w:rPr>
          <w:rFonts w:hint="eastAsia"/>
          <w:i/>
          <w:iCs/>
          <w:sz w:val="24"/>
        </w:rPr>
        <w:t xml:space="preserve"> </w:t>
      </w:r>
      <w:r>
        <w:rPr>
          <w:i/>
          <w:iCs/>
          <w:sz w:val="24"/>
        </w:rPr>
        <w:t>ussuriensis</w:t>
      </w:r>
      <w:r>
        <w:rPr>
          <w:sz w:val="24"/>
        </w:rPr>
        <w:t>）</w:t>
      </w:r>
      <w:r>
        <w:rPr>
          <w:sz w:val="24"/>
          <w:vertAlign w:val="superscript"/>
        </w:rPr>
        <w:t>[30]</w:t>
      </w:r>
      <w:r>
        <w:rPr>
          <w:sz w:val="24"/>
        </w:rPr>
        <w:t>饲料中25.3%以上或鲤鱼</w:t>
      </w:r>
      <w:r>
        <w:rPr>
          <w:sz w:val="24"/>
          <w:vertAlign w:val="superscript"/>
        </w:rPr>
        <w:t>[31]</w:t>
      </w:r>
      <w:r>
        <w:rPr>
          <w:sz w:val="24"/>
        </w:rPr>
        <w:t>饲料中36%及以上的鱼粉时，同样显著降低生长性能。本研究结果表明，用棉籽粕或菜籽粕替代牛蛙饲料中37.5%的鱼粉，也会导致其生长性能降低和饲料系数提高，与多数已有研究结果一致。这可能与植物蛋白质源中抗营养因子和纤维素的存在</w:t>
      </w:r>
      <w:r>
        <w:rPr>
          <w:sz w:val="24"/>
          <w:vertAlign w:val="superscript"/>
        </w:rPr>
        <w:t>[32-34]</w:t>
      </w:r>
      <w:r>
        <w:rPr>
          <w:sz w:val="24"/>
        </w:rPr>
        <w:t>，以及脂肪酸组成不平衡、缺乏胆固醇等重要营养素有关</w:t>
      </w:r>
      <w:r>
        <w:rPr>
          <w:sz w:val="24"/>
          <w:vertAlign w:val="superscript"/>
        </w:rPr>
        <w:t>[35-37]</w:t>
      </w:r>
      <w:r>
        <w:rPr>
          <w:sz w:val="24"/>
        </w:rPr>
        <w:t>。本研究结果还表明，用黑水虻干虫替代牛蛙饲料中37.5%的鱼粉，对其生长性能和饲料利用效率无显著影响，这与用黑水虻幼虫粉替代河蟹（</w:t>
      </w:r>
      <w:r>
        <w:rPr>
          <w:i/>
          <w:iCs/>
          <w:sz w:val="24"/>
        </w:rPr>
        <w:t>Eriocheir</w:t>
      </w:r>
      <w:r>
        <w:rPr>
          <w:rFonts w:hint="eastAsia"/>
          <w:i/>
          <w:iCs/>
          <w:sz w:val="24"/>
        </w:rPr>
        <w:t xml:space="preserve"> </w:t>
      </w:r>
      <w:r>
        <w:rPr>
          <w:i/>
          <w:iCs/>
          <w:sz w:val="24"/>
        </w:rPr>
        <w:t>sinensis</w:t>
      </w:r>
      <w:r>
        <w:rPr>
          <w:sz w:val="24"/>
        </w:rPr>
        <w:t>）饲料中40%的鱼粉不影响其生长的结果</w:t>
      </w:r>
      <w:r>
        <w:rPr>
          <w:sz w:val="24"/>
          <w:vertAlign w:val="superscript"/>
        </w:rPr>
        <w:t>[38]</w:t>
      </w:r>
      <w:r>
        <w:rPr>
          <w:sz w:val="24"/>
        </w:rPr>
        <w:t>相似。此外，本研究中以脱脂黑水虻干虫替代37.5%的鱼粉，对牛蛙生长性能和饲料利用效率亦无显著影响，这与周琳</w:t>
      </w:r>
      <w:r>
        <w:rPr>
          <w:sz w:val="24"/>
          <w:vertAlign w:val="superscript"/>
        </w:rPr>
        <w:t>[22]</w:t>
      </w:r>
      <w:r>
        <w:rPr>
          <w:sz w:val="24"/>
        </w:rPr>
        <w:t>用脱脂黑水虻替代牛蛙幼蛙饲料中部分或全部鱼粉对其生长性能和饲料利用效率均无显著影响的研究结果相似。棉籽粕和菜籽粕替代鱼粉的效果劣于黑水虻干虫和脱脂黑水虻干虫，可能与黑水虻幼虫粉的优良消化特性有关———该虫粉中约78%的蛋白质可在胃蛋白酶－胰蛋白酶复合体系中被高效水解，消化速率较常规植物蛋白质提升20%~25%</w:t>
      </w:r>
      <w:r>
        <w:rPr>
          <w:sz w:val="24"/>
          <w:vertAlign w:val="superscript"/>
        </w:rPr>
        <w:t>[39]</w:t>
      </w:r>
      <w:r>
        <w:rPr>
          <w:sz w:val="24"/>
        </w:rPr>
        <w:t>。</w:t>
      </w:r>
    </w:p>
    <w:p w14:paraId="631A037A">
      <w:pPr>
        <w:spacing w:line="360" w:lineRule="auto"/>
        <w:rPr>
          <w:sz w:val="24"/>
        </w:rPr>
      </w:pPr>
      <w:r>
        <w:rPr>
          <w:sz w:val="24"/>
        </w:rPr>
        <w:t>3.2不同蛋白质源替代鱼粉对牛蛙屠宰性能和肉品质的影响</w:t>
      </w:r>
    </w:p>
    <w:p w14:paraId="78045567">
      <w:pPr>
        <w:spacing w:line="360" w:lineRule="auto"/>
        <w:ind w:firstLine="480" w:firstLineChars="200"/>
        <w:rPr>
          <w:sz w:val="24"/>
        </w:rPr>
      </w:pPr>
      <w:r>
        <w:rPr>
          <w:sz w:val="24"/>
        </w:rPr>
        <w:t>肝胆综合征以肝胆肿大、变色为典型症状</w:t>
      </w:r>
      <w:r>
        <w:rPr>
          <w:sz w:val="24"/>
          <w:vertAlign w:val="superscript"/>
        </w:rPr>
        <w:t>[40]</w:t>
      </w:r>
      <w:r>
        <w:rPr>
          <w:sz w:val="24"/>
        </w:rPr>
        <w:t>，其发生与饲料营养成分密切相关。本研究发现，与CK组相比，不同蛋白质源替代鱼粉对牛蛙肝体比、脏体比、净肉率和后腿肉率均无显著影响；但植物蛋白质源替代组（R组和C组）的肝体比较CK组有所提高，而昆虫蛋白质源替代组（B组和D组）的肝体比较CK组有所降低。这一结果提示，植物蛋白质源替代鱼粉可能对牛蛙肝脏健康产生一定负面影响，推测与其中抗营养因子的负面作用有关</w:t>
      </w:r>
      <w:r>
        <w:rPr>
          <w:sz w:val="24"/>
          <w:vertAlign w:val="superscript"/>
        </w:rPr>
        <w:t>[41-42]</w:t>
      </w:r>
      <w:r>
        <w:rPr>
          <w:sz w:val="24"/>
        </w:rPr>
        <w:t>；而黑水虻干虫及脱脂黑水虻干虫替代鱼粉则对牛蛙肝脏健康具有一定保护作用，这可能得益于其含有的月桂酸、几丁质、抗菌肽等活性物质，这类物质可提高水产动物的抗氧化能力和免疫力</w:t>
      </w:r>
      <w:r>
        <w:rPr>
          <w:sz w:val="24"/>
          <w:vertAlign w:val="superscript"/>
        </w:rPr>
        <w:t>[43]</w:t>
      </w:r>
      <w:r>
        <w:rPr>
          <w:sz w:val="24"/>
        </w:rPr>
        <w:t>。此外，不同蛋白质源替代鱼粉均未对牛蛙的净肉率造成显著影响。肌肉pH及肉色是评价肉品质的基本指标</w:t>
      </w:r>
      <w:r>
        <w:rPr>
          <w:sz w:val="24"/>
          <w:vertAlign w:val="superscript"/>
        </w:rPr>
        <w:t>[44]</w:t>
      </w:r>
      <w:r>
        <w:rPr>
          <w:sz w:val="24"/>
        </w:rPr>
        <w:t>，直接关系到产品的加工特性和市场接受度。其中，pH过高会影响肌肉加工成熟后的品质</w:t>
      </w:r>
      <w:r>
        <w:rPr>
          <w:sz w:val="24"/>
          <w:vertAlign w:val="superscript"/>
        </w:rPr>
        <w:t>[45]</w:t>
      </w:r>
      <w:r>
        <w:rPr>
          <w:sz w:val="24"/>
        </w:rPr>
        <w:t>；肉色则是消费者直观判断肉制品优劣的重要依据，主要通过L</w:t>
      </w:r>
      <w:r>
        <w:rPr>
          <w:szCs w:val="21"/>
        </w:rPr>
        <w:t>*</w:t>
      </w:r>
      <w:r>
        <w:rPr>
          <w:sz w:val="24"/>
        </w:rPr>
        <w:t>、a</w:t>
      </w:r>
      <w:r>
        <w:rPr>
          <w:szCs w:val="21"/>
        </w:rPr>
        <w:t>*</w:t>
      </w:r>
      <w:r>
        <w:rPr>
          <w:sz w:val="24"/>
        </w:rPr>
        <w:t>和b</w:t>
      </w:r>
      <w:r>
        <w:rPr>
          <w:szCs w:val="21"/>
        </w:rPr>
        <w:t>*</w:t>
      </w:r>
      <w:r>
        <w:rPr>
          <w:sz w:val="24"/>
        </w:rPr>
        <w:t>值进行量化评价，其中L</w:t>
      </w:r>
      <w:r>
        <w:rPr>
          <w:rFonts w:ascii="Cambria Math" w:hAnsi="Cambria Math" w:cs="Cambria Math"/>
          <w:sz w:val="24"/>
        </w:rPr>
        <w:t>*</w:t>
      </w:r>
      <w:r>
        <w:rPr>
          <w:sz w:val="24"/>
        </w:rPr>
        <w:t>值与光照条件、肌肉表面水分含量及肉色饱和度密切相关</w:t>
      </w:r>
      <w:r>
        <w:rPr>
          <w:sz w:val="24"/>
          <w:vertAlign w:val="superscript"/>
        </w:rPr>
        <w:t>[46]</w:t>
      </w:r>
      <w:r>
        <w:rPr>
          <w:sz w:val="24"/>
        </w:rPr>
        <w:t>。本研究发现，各组牛蛙后腿肌肉pH及L</w:t>
      </w:r>
      <w:r>
        <w:rPr>
          <w:rFonts w:ascii="Cambria Math" w:hAnsi="Cambria Math" w:cs="Cambria Math"/>
          <w:sz w:val="24"/>
        </w:rPr>
        <w:t>*</w:t>
      </w:r>
      <w:r>
        <w:rPr>
          <w:sz w:val="24"/>
        </w:rPr>
        <w:t>值均无显著差异，表明本研究所用不同蛋白质源替代部分鱼粉，不会影响牛蛙肌肉的加工品质及肉色饱和度。已有研究表明，a</w:t>
      </w:r>
      <w:r>
        <w:rPr>
          <w:szCs w:val="21"/>
        </w:rPr>
        <w:t>*</w:t>
      </w:r>
      <w:r>
        <w:rPr>
          <w:sz w:val="24"/>
        </w:rPr>
        <w:t>和b</w:t>
      </w:r>
      <w:r>
        <w:rPr>
          <w:szCs w:val="21"/>
        </w:rPr>
        <w:t>*</w:t>
      </w:r>
      <w:r>
        <w:rPr>
          <w:sz w:val="24"/>
        </w:rPr>
        <w:t>值的高低与肌肉氧化程度呈正相关</w:t>
      </w:r>
      <w:r>
        <w:rPr>
          <w:sz w:val="24"/>
          <w:vertAlign w:val="superscript"/>
        </w:rPr>
        <w:t>[47]</w:t>
      </w:r>
      <w:r>
        <w:rPr>
          <w:sz w:val="24"/>
        </w:rPr>
        <w:t>。本研究中，植物蛋白质源替代鱼粉组牛蛙后腿肌肉a</w:t>
      </w:r>
      <w:r>
        <w:rPr>
          <w:szCs w:val="21"/>
        </w:rPr>
        <w:t>*</w:t>
      </w:r>
      <w:r>
        <w:rPr>
          <w:sz w:val="24"/>
        </w:rPr>
        <w:t>和b</w:t>
      </w:r>
      <w:r>
        <w:rPr>
          <w:szCs w:val="21"/>
        </w:rPr>
        <w:t>*</w:t>
      </w:r>
      <w:r>
        <w:rPr>
          <w:sz w:val="24"/>
        </w:rPr>
        <w:t>值较CK组显著提高，提示植物蛋白质源替代鱼粉可能会增加牛蛙后腿肌肉氧化变质的风险。</w:t>
      </w:r>
    </w:p>
    <w:p w14:paraId="594D5ACF">
      <w:pPr>
        <w:spacing w:line="360" w:lineRule="auto"/>
        <w:rPr>
          <w:sz w:val="24"/>
        </w:rPr>
      </w:pPr>
      <w:r>
        <w:rPr>
          <w:sz w:val="24"/>
        </w:rPr>
        <w:t>3.3不同蛋白质源替代鱼粉对牛蛙血清生化指标的影响</w:t>
      </w:r>
    </w:p>
    <w:p w14:paraId="07A1A3ED">
      <w:pPr>
        <w:spacing w:line="360" w:lineRule="auto"/>
        <w:ind w:firstLine="480" w:firstLineChars="200"/>
        <w:rPr>
          <w:sz w:val="24"/>
        </w:rPr>
      </w:pPr>
      <w:r>
        <w:rPr>
          <w:sz w:val="24"/>
        </w:rPr>
        <w:t>血清生化指标可反映动物机体生理代谢水平、营养状况及健康状态</w:t>
      </w:r>
      <w:r>
        <w:rPr>
          <w:sz w:val="24"/>
          <w:vertAlign w:val="superscript"/>
        </w:rPr>
        <w:t>[48]</w:t>
      </w:r>
      <w:r>
        <w:rPr>
          <w:sz w:val="24"/>
        </w:rPr>
        <w:t>。其中，血清ALB含量升高通常与内脏功能受损及相关疾病的发生有关</w:t>
      </w:r>
      <w:r>
        <w:rPr>
          <w:sz w:val="24"/>
          <w:vertAlign w:val="superscript"/>
        </w:rPr>
        <w:t>[49]</w:t>
      </w:r>
      <w:r>
        <w:rPr>
          <w:sz w:val="24"/>
        </w:rPr>
        <w:t>；TG和CHO含量可反映机体脂肪代谢及脂质沉积状况</w:t>
      </w:r>
      <w:r>
        <w:rPr>
          <w:sz w:val="24"/>
          <w:vertAlign w:val="superscript"/>
        </w:rPr>
        <w:t>[50]</w:t>
      </w:r>
      <w:r>
        <w:rPr>
          <w:sz w:val="24"/>
        </w:rPr>
        <w:t>；HDL⁃C和LDL⁃C则在机体CHO代谢方面发挥着重要作用</w:t>
      </w:r>
      <w:r>
        <w:rPr>
          <w:sz w:val="24"/>
          <w:vertAlign w:val="superscript"/>
        </w:rPr>
        <w:t>[51]</w:t>
      </w:r>
      <w:r>
        <w:rPr>
          <w:sz w:val="24"/>
        </w:rPr>
        <w:t>。本研究结果表明，B组和D组血清ALB含量与CK组无显著差异，而R组和C组血清ALB含量较CK组显著提高，说明用植物蛋白质源替代37.5%的鱼粉可能导致牛蛙内脏功能出现一定程度的损伤。同时，R组和C组血清LDL⁃C含量显著高于CK组，血清HDL⁃C含量显著低于CK组，说明用植物蛋白质源替代37.5%的鱼粉会干扰牛蛙机体CHO代谢，这与在青鱼</w:t>
      </w:r>
      <w:r>
        <w:rPr>
          <w:sz w:val="24"/>
          <w:vertAlign w:val="superscript"/>
        </w:rPr>
        <w:t>[28]</w:t>
      </w:r>
      <w:r>
        <w:rPr>
          <w:sz w:val="24"/>
        </w:rPr>
        <w:t>和杂交鲟（</w:t>
      </w:r>
      <w:r>
        <w:rPr>
          <w:i/>
          <w:iCs/>
          <w:sz w:val="24"/>
        </w:rPr>
        <w:t>Acipenser</w:t>
      </w:r>
      <w:r>
        <w:rPr>
          <w:rFonts w:hint="eastAsia"/>
          <w:i/>
          <w:iCs/>
          <w:sz w:val="24"/>
        </w:rPr>
        <w:t xml:space="preserve"> </w:t>
      </w:r>
      <w:r>
        <w:rPr>
          <w:i/>
          <w:iCs/>
          <w:sz w:val="24"/>
        </w:rPr>
        <w:t>schrenckii</w:t>
      </w:r>
      <w:r>
        <w:rPr>
          <w:rFonts w:hint="eastAsia"/>
          <w:sz w:val="24"/>
        </w:rPr>
        <w:t>♀×</w:t>
      </w:r>
      <w:r>
        <w:rPr>
          <w:i/>
          <w:iCs/>
          <w:sz w:val="24"/>
        </w:rPr>
        <w:t>Acipenser</w:t>
      </w:r>
      <w:r>
        <w:rPr>
          <w:rFonts w:hint="eastAsia"/>
          <w:i/>
          <w:iCs/>
          <w:sz w:val="24"/>
        </w:rPr>
        <w:t xml:space="preserve"> </w:t>
      </w:r>
      <w:r>
        <w:rPr>
          <w:i/>
          <w:iCs/>
          <w:sz w:val="24"/>
        </w:rPr>
        <w:t>baerii</w:t>
      </w:r>
      <w:r>
        <w:rPr>
          <w:sz w:val="24"/>
        </w:rPr>
        <w:t>）</w:t>
      </w:r>
      <w:r>
        <w:rPr>
          <w:sz w:val="24"/>
          <w:vertAlign w:val="superscript"/>
        </w:rPr>
        <w:t>[52]</w:t>
      </w:r>
      <w:r>
        <w:rPr>
          <w:sz w:val="24"/>
        </w:rPr>
        <w:t>饲料中用菜籽粕替代鱼粉后血清TG和CHO含量随替代比例升高呈降低趋势的研究结果相似。ALT和AST在肝脏氨基酸代谢和机体蛋白质代谢中起重要作用</w:t>
      </w:r>
      <w:r>
        <w:rPr>
          <w:sz w:val="24"/>
          <w:vertAlign w:val="superscript"/>
        </w:rPr>
        <w:t>[53]</w:t>
      </w:r>
      <w:r>
        <w:rPr>
          <w:sz w:val="24"/>
        </w:rPr>
        <w:t>，而血液中ALT和AST活性升高通常与肝脏功能受损有关</w:t>
      </w:r>
      <w:r>
        <w:rPr>
          <w:sz w:val="24"/>
          <w:vertAlign w:val="superscript"/>
        </w:rPr>
        <w:t>[54]</w:t>
      </w:r>
      <w:r>
        <w:rPr>
          <w:sz w:val="24"/>
        </w:rPr>
        <w:t>。本研究结果表明，与CK组相比，R组和C组血清ALT和AST活性显著提高，说明植物蛋白质源替代37.5%的鱼粉对牛蛙肝脏组织完整性具有一定危害。这与菜籽粕替代青鱼饲料中30%以上鱼粉时，其血清AST</w:t>
      </w:r>
      <w:r>
        <w:rPr>
          <w:rFonts w:hint="eastAsia"/>
          <w:sz w:val="24"/>
        </w:rPr>
        <w:t>和ALT</w:t>
      </w:r>
      <w:r>
        <w:rPr>
          <w:sz w:val="24"/>
        </w:rPr>
        <w:t>活性显著上升的研究结果</w:t>
      </w:r>
      <w:r>
        <w:rPr>
          <w:sz w:val="24"/>
          <w:vertAlign w:val="superscript"/>
        </w:rPr>
        <w:t>[28]</w:t>
      </w:r>
      <w:r>
        <w:rPr>
          <w:sz w:val="24"/>
        </w:rPr>
        <w:t>一致；同时也与罗非鱼研究中随菜籽粕替代鱼粉比例增加，其血清</w:t>
      </w:r>
      <w:r>
        <w:rPr>
          <w:rFonts w:hint="eastAsia"/>
          <w:sz w:val="24"/>
        </w:rPr>
        <w:t>AST和ALT</w:t>
      </w:r>
      <w:r>
        <w:rPr>
          <w:sz w:val="24"/>
        </w:rPr>
        <w:t>活性显著提高的研究结果</w:t>
      </w:r>
      <w:r>
        <w:rPr>
          <w:sz w:val="24"/>
          <w:vertAlign w:val="superscript"/>
        </w:rPr>
        <w:t>[55]</w:t>
      </w:r>
      <w:r>
        <w:rPr>
          <w:sz w:val="24"/>
        </w:rPr>
        <w:t>相符。</w:t>
      </w:r>
    </w:p>
    <w:p w14:paraId="5F1A5DB7">
      <w:pPr>
        <w:spacing w:line="360" w:lineRule="auto"/>
        <w:rPr>
          <w:sz w:val="24"/>
        </w:rPr>
      </w:pPr>
      <w:r>
        <w:rPr>
          <w:sz w:val="24"/>
        </w:rPr>
        <w:t>3.4不同蛋白质源替代鱼粉对牛蛙肝脏抗氧化指标的影响</w:t>
      </w:r>
    </w:p>
    <w:p w14:paraId="118A0C2D">
      <w:pPr>
        <w:spacing w:line="360" w:lineRule="auto"/>
        <w:ind w:firstLine="480" w:firstLineChars="200"/>
        <w:rPr>
          <w:sz w:val="24"/>
        </w:rPr>
      </w:pPr>
      <w:r>
        <w:rPr>
          <w:sz w:val="24"/>
        </w:rPr>
        <w:t>动物机体抗氧化系统主要由抗氧化酶和非酶类抗氧化物质构成</w:t>
      </w:r>
      <w:r>
        <w:rPr>
          <w:sz w:val="24"/>
          <w:vertAlign w:val="superscript"/>
        </w:rPr>
        <w:t>[56]</w:t>
      </w:r>
      <w:r>
        <w:rPr>
          <w:sz w:val="24"/>
        </w:rPr>
        <w:t>。其中，SOD</w:t>
      </w:r>
      <w:r>
        <w:rPr>
          <w:rFonts w:hint="eastAsia"/>
          <w:sz w:val="24"/>
        </w:rPr>
        <w:t>和CAT</w:t>
      </w:r>
      <w:r>
        <w:rPr>
          <w:sz w:val="24"/>
        </w:rPr>
        <w:t>等酶在水产动物体内具有关键作用，能够有效降低氧化应激损伤</w:t>
      </w:r>
      <w:r>
        <w:rPr>
          <w:sz w:val="24"/>
          <w:vertAlign w:val="superscript"/>
        </w:rPr>
        <w:t>[57-59]</w:t>
      </w:r>
      <w:r>
        <w:rPr>
          <w:sz w:val="24"/>
        </w:rPr>
        <w:t>。T⁃AOC作为综合评价机体抗氧化性能的指标，能全面反映机体应对氧化应激的能力</w:t>
      </w:r>
      <w:r>
        <w:rPr>
          <w:sz w:val="24"/>
          <w:vertAlign w:val="superscript"/>
        </w:rPr>
        <w:t>[60-61]</w:t>
      </w:r>
      <w:r>
        <w:rPr>
          <w:sz w:val="24"/>
        </w:rPr>
        <w:t>。而MDA则对细胞具有毒性作用</w:t>
      </w:r>
      <w:r>
        <w:rPr>
          <w:sz w:val="24"/>
          <w:vertAlign w:val="superscript"/>
        </w:rPr>
        <w:t>[62]</w:t>
      </w:r>
      <w:r>
        <w:rPr>
          <w:sz w:val="24"/>
        </w:rPr>
        <w:t>，其含量高低可反映细胞的受损程度。本研究中，用黑水虻干虫及脱脂黑水虻干虫替代37.5%的鱼粉对牛蛙肝脏抗氧化性能未产生负面影响，且用黑水虻干虫替代鱼粉可在一定程度上提高肝脏</w:t>
      </w:r>
      <w:r>
        <w:rPr>
          <w:rFonts w:hint="eastAsia"/>
          <w:sz w:val="24"/>
        </w:rPr>
        <w:t>CAT和SOD</w:t>
      </w:r>
      <w:r>
        <w:rPr>
          <w:sz w:val="24"/>
        </w:rPr>
        <w:t>活性，这与用黑水虻幼虫粉替代鱼粉饲喂黄颡鱼可提高其机体抗氧化性能的研究结果</w:t>
      </w:r>
      <w:r>
        <w:rPr>
          <w:sz w:val="24"/>
          <w:vertAlign w:val="superscript"/>
        </w:rPr>
        <w:t>[63]</w:t>
      </w:r>
      <w:r>
        <w:rPr>
          <w:sz w:val="24"/>
        </w:rPr>
        <w:t>相似。这一效果可能归因于黑水虻中含有的抗菌肽、几丁质及月桂酸等活性成分。研究表明，给虹鳟鱼饲喂含有抗菌肽富集型黑水虻幼虫（通过植物乳杆菌处理获得）的饲料，其免疫性能得到了改善</w:t>
      </w:r>
      <w:r>
        <w:rPr>
          <w:sz w:val="24"/>
          <w:vertAlign w:val="superscript"/>
        </w:rPr>
        <w:t>[64]</w:t>
      </w:r>
      <w:r>
        <w:rPr>
          <w:sz w:val="24"/>
        </w:rPr>
        <w:t>；蝇蛆几丁质具有调节血脂、增强机体免疫调节功能的作用</w:t>
      </w:r>
      <w:r>
        <w:rPr>
          <w:sz w:val="24"/>
          <w:vertAlign w:val="superscript"/>
        </w:rPr>
        <w:t>[65]</w:t>
      </w:r>
      <w:r>
        <w:rPr>
          <w:sz w:val="24"/>
        </w:rPr>
        <w:t>；月桂酸则具备较强的抗菌活性</w:t>
      </w:r>
      <w:r>
        <w:rPr>
          <w:sz w:val="24"/>
          <w:vertAlign w:val="superscript"/>
        </w:rPr>
        <w:t>[66]</w:t>
      </w:r>
      <w:r>
        <w:rPr>
          <w:sz w:val="24"/>
        </w:rPr>
        <w:t>，且可通过调节肠道微生物改善水产机体健康状态</w:t>
      </w:r>
      <w:r>
        <w:rPr>
          <w:sz w:val="24"/>
          <w:vertAlign w:val="superscript"/>
        </w:rPr>
        <w:t>[67]</w:t>
      </w:r>
      <w:r>
        <w:rPr>
          <w:sz w:val="24"/>
        </w:rPr>
        <w:t>。本研究结果表明，用植物蛋白质源替代鱼粉显著降低了牛蛙肝脏抗氧化性能，这与丁李</w:t>
      </w:r>
      <w:r>
        <w:rPr>
          <w:sz w:val="24"/>
          <w:vertAlign w:val="superscript"/>
        </w:rPr>
        <w:t>[68]</w:t>
      </w:r>
      <w:r>
        <w:rPr>
          <w:sz w:val="24"/>
        </w:rPr>
        <w:t>的研究结果相符，其发现用豆粕替代牛蛙饲料中的鱼粉，会导致牛蛙体内促炎细胞因子mRNA相对表达量显著上调。综合来看，采用黑水虻干虫和脱脂黑水虻干虫替代牛蛙饲料中37.5%的鱼粉，对牛蛙的生理代谢、抗氧化功能及肝脏健康均未产生不良影响；而使用植物蛋白质源（菜籽粕和棉籽粕）进行相同比例的替代，则会产生不同程度的负面效应。</w:t>
      </w:r>
    </w:p>
    <w:p w14:paraId="7801D3E4">
      <w:pPr>
        <w:spacing w:line="360" w:lineRule="auto"/>
        <w:rPr>
          <w:sz w:val="24"/>
        </w:rPr>
      </w:pPr>
      <w:r>
        <w:rPr>
          <w:sz w:val="24"/>
        </w:rPr>
        <w:t>3.5不同蛋白质源替代鱼粉对牛蛙肝脏和肠道形态结构的影响</w:t>
      </w:r>
    </w:p>
    <w:p w14:paraId="792ABED8">
      <w:pPr>
        <w:spacing w:line="360" w:lineRule="auto"/>
        <w:ind w:firstLine="480" w:firstLineChars="200"/>
        <w:rPr>
          <w:sz w:val="24"/>
        </w:rPr>
      </w:pPr>
      <w:r>
        <w:rPr>
          <w:sz w:val="24"/>
        </w:rPr>
        <w:t>本研究结果表明，各组牛蛙的肝脏组织形态均未出现明显异常，表明采用不同蛋白质源替代饲料中37.5%的鱼粉未对牛蛙肝脏组织形态造成明显损伤。这一结果与用脱脂黑水虻替代中华鳖饲料中30%的鱼粉不影响其肝脏组织形态的研究结果</w:t>
      </w:r>
      <w:r>
        <w:rPr>
          <w:sz w:val="24"/>
          <w:vertAlign w:val="superscript"/>
        </w:rPr>
        <w:t>[69]</w:t>
      </w:r>
      <w:r>
        <w:rPr>
          <w:sz w:val="24"/>
        </w:rPr>
        <w:t>相似。但胡俊茹等</w:t>
      </w:r>
      <w:r>
        <w:rPr>
          <w:sz w:val="24"/>
          <w:vertAlign w:val="superscript"/>
        </w:rPr>
        <w:t>[53]</w:t>
      </w:r>
      <w:r>
        <w:rPr>
          <w:sz w:val="24"/>
        </w:rPr>
        <w:t>研究发现，用黑水虻幼虫粉替代花鲈（</w:t>
      </w:r>
      <w:r>
        <w:rPr>
          <w:i/>
          <w:iCs/>
          <w:sz w:val="24"/>
        </w:rPr>
        <w:t>Lateolabrax</w:t>
      </w:r>
      <w:r>
        <w:rPr>
          <w:rFonts w:hint="eastAsia"/>
          <w:i/>
          <w:iCs/>
          <w:sz w:val="24"/>
        </w:rPr>
        <w:t xml:space="preserve"> </w:t>
      </w:r>
      <w:r>
        <w:rPr>
          <w:i/>
          <w:iCs/>
          <w:sz w:val="24"/>
        </w:rPr>
        <w:t>japonicas</w:t>
      </w:r>
      <w:r>
        <w:rPr>
          <w:sz w:val="24"/>
        </w:rPr>
        <w:t>）饲料中的鱼粉，随着替代比例上升肝细胞出现广泛胞浆疏松、溶解或空泡化；Xie等</w:t>
      </w:r>
      <w:r>
        <w:rPr>
          <w:sz w:val="24"/>
          <w:vertAlign w:val="superscript"/>
        </w:rPr>
        <w:t>[70]</w:t>
      </w:r>
      <w:r>
        <w:rPr>
          <w:sz w:val="24"/>
        </w:rPr>
        <w:t>研究指出，使用低酚棉籽蛋白替代30%以上鱼粉会导致梭子蟹（</w:t>
      </w:r>
      <w:r>
        <w:rPr>
          <w:i/>
          <w:iCs/>
          <w:sz w:val="24"/>
        </w:rPr>
        <w:t>Portunus</w:t>
      </w:r>
      <w:r>
        <w:rPr>
          <w:rFonts w:hint="eastAsia"/>
          <w:i/>
          <w:iCs/>
          <w:sz w:val="24"/>
        </w:rPr>
        <w:t xml:space="preserve"> </w:t>
      </w:r>
      <w:r>
        <w:rPr>
          <w:i/>
          <w:iCs/>
          <w:sz w:val="24"/>
        </w:rPr>
        <w:t>trituberculatus</w:t>
      </w:r>
      <w:r>
        <w:rPr>
          <w:sz w:val="24"/>
        </w:rPr>
        <w:t>）肝小管空泡化，降低其营养物质利用率并阻碍生长；He等</w:t>
      </w:r>
      <w:r>
        <w:rPr>
          <w:sz w:val="24"/>
          <w:vertAlign w:val="superscript"/>
        </w:rPr>
        <w:t>[71]</w:t>
      </w:r>
      <w:r>
        <w:rPr>
          <w:sz w:val="24"/>
        </w:rPr>
        <w:t>亦报道，用棉籽浓缩蛋白替代大口黑鲈（</w:t>
      </w:r>
      <w:r>
        <w:rPr>
          <w:i/>
          <w:iCs/>
          <w:sz w:val="24"/>
        </w:rPr>
        <w:t>Micropterus</w:t>
      </w:r>
      <w:r>
        <w:rPr>
          <w:rFonts w:hint="eastAsia"/>
          <w:i/>
          <w:iCs/>
          <w:sz w:val="24"/>
        </w:rPr>
        <w:t xml:space="preserve"> </w:t>
      </w:r>
      <w:r>
        <w:rPr>
          <w:i/>
          <w:iCs/>
          <w:sz w:val="24"/>
        </w:rPr>
        <w:t>salmoides</w:t>
      </w:r>
      <w:r>
        <w:rPr>
          <w:sz w:val="24"/>
        </w:rPr>
        <w:t>）饲料中18%的鱼粉可引起肝脏颜色变黄及部分肝细胞弥漫性脂质空泡化。上述研究结果的差异，可能与试验动物种类、食性特征、试验周期以及鱼粉替代比例等不同有关。肠道是水产动物营养物质消化吸收的主要场所，其健康与结构完整性对牛蛙的生长发育至关重要。本研究发现，用棉籽粕和菜籽粕替代鱼粉均使牛蛙肠道绒毛高度和肠壁厚度降低，这可能是由于牛蛙作为肉食性水产动物，对饲料中植物蛋白质源的耐受性有限，比例过高易引起肠道组织结构损伤</w:t>
      </w:r>
      <w:r>
        <w:rPr>
          <w:sz w:val="24"/>
          <w:vertAlign w:val="superscript"/>
        </w:rPr>
        <w:t>[72-73]</w:t>
      </w:r>
      <w:r>
        <w:rPr>
          <w:sz w:val="24"/>
        </w:rPr>
        <w:t>。此外，Ｃ组牛蛙肠道出现上皮细胞自溶现象，这可能与棉籽粕中含有的游离棉酚等抗营养因子有关，这类物质会对水产动物的肠道黏膜及消化道结构造成损害，破坏肠道上皮细胞的完整性</w:t>
      </w:r>
      <w:r>
        <w:rPr>
          <w:sz w:val="24"/>
          <w:vertAlign w:val="superscript"/>
        </w:rPr>
        <w:t>[74-75]</w:t>
      </w:r>
      <w:r>
        <w:rPr>
          <w:sz w:val="24"/>
        </w:rPr>
        <w:t>。</w:t>
      </w:r>
    </w:p>
    <w:p w14:paraId="77E86FC2">
      <w:pPr>
        <w:spacing w:line="360" w:lineRule="auto"/>
        <w:rPr>
          <w:sz w:val="24"/>
        </w:rPr>
      </w:pPr>
      <w:r>
        <w:rPr>
          <w:sz w:val="24"/>
        </w:rPr>
        <w:t>４结论</w:t>
      </w:r>
    </w:p>
    <w:p w14:paraId="2B145918">
      <w:pPr>
        <w:spacing w:line="360" w:lineRule="auto"/>
        <w:ind w:firstLine="480" w:firstLineChars="200"/>
        <w:rPr>
          <w:sz w:val="24"/>
        </w:rPr>
      </w:pPr>
      <w:r>
        <w:rPr>
          <w:sz w:val="24"/>
        </w:rPr>
        <w:t>在本试验条件下，用黑水虻干虫和脱脂黑水虻干虫替代饲料中37.5%的鱼粉，对牛蛙生长性能、血清生化指标、抗氧化能力及肠道形态结构均无不良影响，且对肝脏健康具有一定的保护作用。因此，黑水虻可作为优质的鱼粉替代蛋白质源，有效降低牛蛙饲料中鱼粉的用量。</w:t>
      </w:r>
    </w:p>
    <w:p w14:paraId="46AAABAF">
      <w:pPr>
        <w:rPr>
          <w:rFonts w:hint="eastAsia" w:ascii="宋体" w:hAnsi="宋体" w:cs="宋体"/>
          <w:sz w:val="24"/>
        </w:rPr>
      </w:pPr>
      <w:r>
        <w:rPr>
          <w:rFonts w:hint="eastAsia" w:ascii="宋体" w:hAnsi="宋体" w:cs="宋体"/>
          <w:sz w:val="24"/>
        </w:rPr>
        <w:t>参考文献：略</w:t>
      </w:r>
    </w:p>
    <w:p w14:paraId="1C893ABC">
      <w:pPr>
        <w:spacing w:line="360" w:lineRule="auto"/>
        <w:jc w:val="right"/>
        <w:rPr>
          <w:szCs w:val="21"/>
        </w:rPr>
      </w:pPr>
      <w:r>
        <w:rPr>
          <w:rFonts w:ascii="宋体" w:hAnsi="宋体" w:cs="宋体"/>
          <w:szCs w:val="21"/>
        </w:rPr>
        <w:t>原文刊登在</w:t>
      </w:r>
      <w:r>
        <w:rPr>
          <w:szCs w:val="21"/>
        </w:rPr>
        <w:t>《</w:t>
      </w:r>
      <w:r>
        <w:rPr>
          <w:rFonts w:hint="eastAsia"/>
          <w:szCs w:val="21"/>
        </w:rPr>
        <w:t>动物营养学报</w:t>
      </w:r>
      <w:r>
        <w:rPr>
          <w:szCs w:val="21"/>
        </w:rPr>
        <w:t>》，网络首发时间：</w:t>
      </w:r>
      <w:r>
        <w:rPr>
          <w:rFonts w:hint="eastAsia"/>
          <w:szCs w:val="21"/>
        </w:rPr>
        <w:t>2026-05-13</w:t>
      </w:r>
    </w:p>
    <w:p w14:paraId="579EEFD3">
      <w:pPr>
        <w:spacing w:line="360" w:lineRule="auto"/>
        <w:ind w:right="840"/>
        <w:rPr>
          <w:rStyle w:val="96"/>
          <w:rFonts w:eastAsiaTheme="minorEastAsia"/>
          <w:szCs w:val="21"/>
        </w:rPr>
      </w:pPr>
    </w:p>
    <w:sectPr>
      <w:footerReference r:id="rId3" w:type="default"/>
      <w:pgSz w:w="11906" w:h="16838"/>
      <w:pgMar w:top="1440" w:right="1247" w:bottom="1440" w:left="124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0" w:csb1="00000000"/>
  </w:font>
  <w:font w:name="TimesNewRomanPS-ItalicMT">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226461"/>
      <w:docPartObj>
        <w:docPartGallery w:val="autotext"/>
      </w:docPartObj>
    </w:sdtPr>
    <w:sdtContent>
      <w:p w14:paraId="16AD406C">
        <w:pPr>
          <w:pStyle w:val="12"/>
          <w:jc w:val="center"/>
        </w:pPr>
        <w:r>
          <w:fldChar w:fldCharType="begin"/>
        </w:r>
        <w:r>
          <w:instrText xml:space="preserve">PAGE   \* MERGEFORMAT</w:instrText>
        </w:r>
        <w:r>
          <w:fldChar w:fldCharType="separate"/>
        </w:r>
        <w:r>
          <w:rPr>
            <w:lang w:val="zh-CN"/>
          </w:rPr>
          <w:t>2</w:t>
        </w:r>
        <w:r>
          <w:fldChar w:fldCharType="end"/>
        </w:r>
      </w:p>
    </w:sdtContent>
  </w:sdt>
  <w:p w14:paraId="0F8D21D0">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mirrorMargins w:val="1"/>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1809"/>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A80"/>
    <w:rsid w:val="00075D73"/>
    <w:rsid w:val="00075DD3"/>
    <w:rsid w:val="000778A5"/>
    <w:rsid w:val="00080EC7"/>
    <w:rsid w:val="0008258D"/>
    <w:rsid w:val="00082714"/>
    <w:rsid w:val="0008527C"/>
    <w:rsid w:val="00086944"/>
    <w:rsid w:val="00086B20"/>
    <w:rsid w:val="00086BED"/>
    <w:rsid w:val="00087A85"/>
    <w:rsid w:val="00087D57"/>
    <w:rsid w:val="00091B87"/>
    <w:rsid w:val="00092844"/>
    <w:rsid w:val="000932DF"/>
    <w:rsid w:val="00095841"/>
    <w:rsid w:val="00096E7B"/>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6C41"/>
    <w:rsid w:val="000B7C99"/>
    <w:rsid w:val="000C000C"/>
    <w:rsid w:val="000C1E70"/>
    <w:rsid w:val="000C1F1B"/>
    <w:rsid w:val="000C2535"/>
    <w:rsid w:val="000C38D1"/>
    <w:rsid w:val="000C4200"/>
    <w:rsid w:val="000C4DD7"/>
    <w:rsid w:val="000C5A7E"/>
    <w:rsid w:val="000C5F62"/>
    <w:rsid w:val="000C6194"/>
    <w:rsid w:val="000C6B67"/>
    <w:rsid w:val="000C7025"/>
    <w:rsid w:val="000C7E7A"/>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5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291"/>
    <w:rsid w:val="00151762"/>
    <w:rsid w:val="00151DBA"/>
    <w:rsid w:val="00151DDB"/>
    <w:rsid w:val="001525A7"/>
    <w:rsid w:val="0015316B"/>
    <w:rsid w:val="00155FA9"/>
    <w:rsid w:val="00156460"/>
    <w:rsid w:val="001571FA"/>
    <w:rsid w:val="00160661"/>
    <w:rsid w:val="001608F4"/>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0838"/>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27A"/>
    <w:rsid w:val="001C4E29"/>
    <w:rsid w:val="001C5FD7"/>
    <w:rsid w:val="001C7EC0"/>
    <w:rsid w:val="001D0EA1"/>
    <w:rsid w:val="001D27FF"/>
    <w:rsid w:val="001D53B7"/>
    <w:rsid w:val="001D61B6"/>
    <w:rsid w:val="001E01CB"/>
    <w:rsid w:val="001E3265"/>
    <w:rsid w:val="001E60D4"/>
    <w:rsid w:val="001E6BB5"/>
    <w:rsid w:val="001E7BCF"/>
    <w:rsid w:val="001F1948"/>
    <w:rsid w:val="001F1E7F"/>
    <w:rsid w:val="001F60FD"/>
    <w:rsid w:val="001F610B"/>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0F4"/>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1D5E"/>
    <w:rsid w:val="00242377"/>
    <w:rsid w:val="00242686"/>
    <w:rsid w:val="002428B3"/>
    <w:rsid w:val="00244407"/>
    <w:rsid w:val="00244B43"/>
    <w:rsid w:val="0024556B"/>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014"/>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861BE"/>
    <w:rsid w:val="0039220D"/>
    <w:rsid w:val="00392211"/>
    <w:rsid w:val="003928A0"/>
    <w:rsid w:val="003936E1"/>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090"/>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1DC0"/>
    <w:rsid w:val="003F366D"/>
    <w:rsid w:val="003F3D62"/>
    <w:rsid w:val="003F5232"/>
    <w:rsid w:val="00400693"/>
    <w:rsid w:val="00401B64"/>
    <w:rsid w:val="00402029"/>
    <w:rsid w:val="00402577"/>
    <w:rsid w:val="00402C8B"/>
    <w:rsid w:val="004034A8"/>
    <w:rsid w:val="00403775"/>
    <w:rsid w:val="00403AFA"/>
    <w:rsid w:val="00405426"/>
    <w:rsid w:val="00405824"/>
    <w:rsid w:val="00405844"/>
    <w:rsid w:val="00406215"/>
    <w:rsid w:val="00410441"/>
    <w:rsid w:val="00411276"/>
    <w:rsid w:val="00413245"/>
    <w:rsid w:val="004148FF"/>
    <w:rsid w:val="00414E6F"/>
    <w:rsid w:val="00414EF5"/>
    <w:rsid w:val="00414F24"/>
    <w:rsid w:val="004151C2"/>
    <w:rsid w:val="004156D5"/>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61F9"/>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515B"/>
    <w:rsid w:val="004E70BA"/>
    <w:rsid w:val="004E71FA"/>
    <w:rsid w:val="004F0AEB"/>
    <w:rsid w:val="004F15D2"/>
    <w:rsid w:val="004F22BC"/>
    <w:rsid w:val="004F3C8A"/>
    <w:rsid w:val="004F42D4"/>
    <w:rsid w:val="004F4727"/>
    <w:rsid w:val="005000BC"/>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3E35"/>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E4C"/>
    <w:rsid w:val="00542F72"/>
    <w:rsid w:val="005450CF"/>
    <w:rsid w:val="005458A1"/>
    <w:rsid w:val="00545D19"/>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2A0B"/>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5F7E20"/>
    <w:rsid w:val="00600212"/>
    <w:rsid w:val="00601307"/>
    <w:rsid w:val="006016B6"/>
    <w:rsid w:val="00601DB6"/>
    <w:rsid w:val="006023D7"/>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50A"/>
    <w:rsid w:val="00632922"/>
    <w:rsid w:val="00633E72"/>
    <w:rsid w:val="00635067"/>
    <w:rsid w:val="00635D0C"/>
    <w:rsid w:val="006361F7"/>
    <w:rsid w:val="006364D6"/>
    <w:rsid w:val="006366B5"/>
    <w:rsid w:val="00637FAC"/>
    <w:rsid w:val="00640463"/>
    <w:rsid w:val="00641D7E"/>
    <w:rsid w:val="00646F30"/>
    <w:rsid w:val="00646F55"/>
    <w:rsid w:val="00647290"/>
    <w:rsid w:val="006474D3"/>
    <w:rsid w:val="006501A1"/>
    <w:rsid w:val="00651A13"/>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A33"/>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605"/>
    <w:rsid w:val="006B4BE6"/>
    <w:rsid w:val="006B5D12"/>
    <w:rsid w:val="006B7831"/>
    <w:rsid w:val="006C23E3"/>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50"/>
    <w:rsid w:val="006D5192"/>
    <w:rsid w:val="006D6EEC"/>
    <w:rsid w:val="006D7547"/>
    <w:rsid w:val="006E0739"/>
    <w:rsid w:val="006E1274"/>
    <w:rsid w:val="006E19F1"/>
    <w:rsid w:val="006E255F"/>
    <w:rsid w:val="006E2DAA"/>
    <w:rsid w:val="006F287F"/>
    <w:rsid w:val="006F2CE5"/>
    <w:rsid w:val="006F4D05"/>
    <w:rsid w:val="006F533D"/>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60BE"/>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4745B"/>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D6B"/>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10D"/>
    <w:rsid w:val="0081053A"/>
    <w:rsid w:val="00810A4D"/>
    <w:rsid w:val="00811857"/>
    <w:rsid w:val="00812AB0"/>
    <w:rsid w:val="00812C0D"/>
    <w:rsid w:val="00812F1D"/>
    <w:rsid w:val="008132FE"/>
    <w:rsid w:val="00813808"/>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66A1"/>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95"/>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2BB8"/>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1088"/>
    <w:rsid w:val="009921DB"/>
    <w:rsid w:val="00992C24"/>
    <w:rsid w:val="00992C93"/>
    <w:rsid w:val="00992F39"/>
    <w:rsid w:val="00993162"/>
    <w:rsid w:val="00994451"/>
    <w:rsid w:val="00994EDD"/>
    <w:rsid w:val="00995AC8"/>
    <w:rsid w:val="00996BEA"/>
    <w:rsid w:val="009A04CD"/>
    <w:rsid w:val="009A0601"/>
    <w:rsid w:val="009A1B3D"/>
    <w:rsid w:val="009A2511"/>
    <w:rsid w:val="009A34A6"/>
    <w:rsid w:val="009A3956"/>
    <w:rsid w:val="009A3AC1"/>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3CDF"/>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22"/>
    <w:rsid w:val="00A6126A"/>
    <w:rsid w:val="00A627A9"/>
    <w:rsid w:val="00A629E3"/>
    <w:rsid w:val="00A62BF5"/>
    <w:rsid w:val="00A62F9F"/>
    <w:rsid w:val="00A63A09"/>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4E85"/>
    <w:rsid w:val="00A96062"/>
    <w:rsid w:val="00A962EF"/>
    <w:rsid w:val="00A967E3"/>
    <w:rsid w:val="00A97A74"/>
    <w:rsid w:val="00AA0AE5"/>
    <w:rsid w:val="00AA0E2A"/>
    <w:rsid w:val="00AA16B6"/>
    <w:rsid w:val="00AA1D71"/>
    <w:rsid w:val="00AA25C4"/>
    <w:rsid w:val="00AA2FE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46B9"/>
    <w:rsid w:val="00AD5634"/>
    <w:rsid w:val="00AD60EA"/>
    <w:rsid w:val="00AD7C25"/>
    <w:rsid w:val="00AE07CA"/>
    <w:rsid w:val="00AE0C85"/>
    <w:rsid w:val="00AE2F94"/>
    <w:rsid w:val="00AE3983"/>
    <w:rsid w:val="00AE3ECF"/>
    <w:rsid w:val="00AE5DCF"/>
    <w:rsid w:val="00AE73F2"/>
    <w:rsid w:val="00AE75EB"/>
    <w:rsid w:val="00AF0059"/>
    <w:rsid w:val="00AF2AC3"/>
    <w:rsid w:val="00AF37E1"/>
    <w:rsid w:val="00AF3A22"/>
    <w:rsid w:val="00AF42C9"/>
    <w:rsid w:val="00AF546D"/>
    <w:rsid w:val="00AF6162"/>
    <w:rsid w:val="00B01EFE"/>
    <w:rsid w:val="00B02222"/>
    <w:rsid w:val="00B025DA"/>
    <w:rsid w:val="00B03BC8"/>
    <w:rsid w:val="00B0534F"/>
    <w:rsid w:val="00B06636"/>
    <w:rsid w:val="00B06BC8"/>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2BF6"/>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349"/>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3A4"/>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2915"/>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25A3"/>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4C92"/>
    <w:rsid w:val="00D1647D"/>
    <w:rsid w:val="00D17018"/>
    <w:rsid w:val="00D20E64"/>
    <w:rsid w:val="00D20F45"/>
    <w:rsid w:val="00D21BD9"/>
    <w:rsid w:val="00D23A4F"/>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4329"/>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17"/>
    <w:rsid w:val="00E15BC7"/>
    <w:rsid w:val="00E163A1"/>
    <w:rsid w:val="00E1651C"/>
    <w:rsid w:val="00E2260B"/>
    <w:rsid w:val="00E232C4"/>
    <w:rsid w:val="00E243D1"/>
    <w:rsid w:val="00E24875"/>
    <w:rsid w:val="00E2552B"/>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64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32A5"/>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5F76"/>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4CFE"/>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6232"/>
    <w:rsid w:val="00F47FF5"/>
    <w:rsid w:val="00F530C1"/>
    <w:rsid w:val="00F5527C"/>
    <w:rsid w:val="00F56372"/>
    <w:rsid w:val="00F57033"/>
    <w:rsid w:val="00F60E66"/>
    <w:rsid w:val="00F61470"/>
    <w:rsid w:val="00F616EC"/>
    <w:rsid w:val="00F63AD0"/>
    <w:rsid w:val="00F659CE"/>
    <w:rsid w:val="00F66F31"/>
    <w:rsid w:val="00F70775"/>
    <w:rsid w:val="00F71588"/>
    <w:rsid w:val="00F7268F"/>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290"/>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4C50BA"/>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D990662"/>
    <w:rsid w:val="0EA855E3"/>
    <w:rsid w:val="0F3E7ED6"/>
    <w:rsid w:val="0F5F3AAE"/>
    <w:rsid w:val="0FB56CEA"/>
    <w:rsid w:val="0FCD4501"/>
    <w:rsid w:val="1045349C"/>
    <w:rsid w:val="10964F66"/>
    <w:rsid w:val="11811920"/>
    <w:rsid w:val="118D7F73"/>
    <w:rsid w:val="11EE5E19"/>
    <w:rsid w:val="1203041E"/>
    <w:rsid w:val="12323B41"/>
    <w:rsid w:val="12363F6F"/>
    <w:rsid w:val="12601C36"/>
    <w:rsid w:val="128F01D6"/>
    <w:rsid w:val="130354DD"/>
    <w:rsid w:val="137C2A53"/>
    <w:rsid w:val="145412D3"/>
    <w:rsid w:val="1474109B"/>
    <w:rsid w:val="14BA74DA"/>
    <w:rsid w:val="152E66D7"/>
    <w:rsid w:val="15746553"/>
    <w:rsid w:val="15CF7F33"/>
    <w:rsid w:val="16322ABD"/>
    <w:rsid w:val="176435AF"/>
    <w:rsid w:val="179B3F36"/>
    <w:rsid w:val="17A55F44"/>
    <w:rsid w:val="18031D95"/>
    <w:rsid w:val="18226406"/>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20C40840"/>
    <w:rsid w:val="210F3827"/>
    <w:rsid w:val="21C3522A"/>
    <w:rsid w:val="21FA1C76"/>
    <w:rsid w:val="22206440"/>
    <w:rsid w:val="22342CF6"/>
    <w:rsid w:val="227476F2"/>
    <w:rsid w:val="228B5F10"/>
    <w:rsid w:val="22C95DFC"/>
    <w:rsid w:val="22CF384A"/>
    <w:rsid w:val="24523BCF"/>
    <w:rsid w:val="259F4BF2"/>
    <w:rsid w:val="26634398"/>
    <w:rsid w:val="26BD3642"/>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9FE44D0"/>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666EBE"/>
    <w:rsid w:val="48841B50"/>
    <w:rsid w:val="48B54D35"/>
    <w:rsid w:val="4AC9433B"/>
    <w:rsid w:val="4BBD535F"/>
    <w:rsid w:val="4BD85A65"/>
    <w:rsid w:val="4C013C65"/>
    <w:rsid w:val="4C8156FE"/>
    <w:rsid w:val="4DE329CA"/>
    <w:rsid w:val="4E154832"/>
    <w:rsid w:val="51392C27"/>
    <w:rsid w:val="5180629F"/>
    <w:rsid w:val="5221410F"/>
    <w:rsid w:val="52A25FA4"/>
    <w:rsid w:val="52E0364E"/>
    <w:rsid w:val="530B7DEB"/>
    <w:rsid w:val="532B74AA"/>
    <w:rsid w:val="535C2DC0"/>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5C0DAB"/>
    <w:rsid w:val="72917B3F"/>
    <w:rsid w:val="73451141"/>
    <w:rsid w:val="735842EF"/>
    <w:rsid w:val="73F1457A"/>
    <w:rsid w:val="74521887"/>
    <w:rsid w:val="74A12766"/>
    <w:rsid w:val="76452346"/>
    <w:rsid w:val="76C75323"/>
    <w:rsid w:val="76F705B1"/>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27"/>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9"/>
    <w:semiHidden/>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paragraph" w:styleId="7">
    <w:name w:val="heading 6"/>
    <w:basedOn w:val="1"/>
    <w:next w:val="1"/>
    <w:link w:val="3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98"/>
    <w:qFormat/>
    <w:uiPriority w:val="1"/>
    <w:pPr>
      <w:autoSpaceDE w:val="0"/>
      <w:autoSpaceDN w:val="0"/>
      <w:jc w:val="left"/>
    </w:pPr>
    <w:rPr>
      <w:rFonts w:eastAsia="Times New Roman"/>
      <w:kern w:val="0"/>
      <w:sz w:val="17"/>
      <w:szCs w:val="17"/>
      <w:lang w:eastAsia="en-US" w:bidi="en-US"/>
    </w:rPr>
  </w:style>
  <w:style w:type="paragraph" w:styleId="9">
    <w:name w:val="Date"/>
    <w:basedOn w:val="1"/>
    <w:next w:val="1"/>
    <w:link w:val="78"/>
    <w:semiHidden/>
    <w:unhideWhenUsed/>
    <w:qFormat/>
    <w:uiPriority w:val="99"/>
    <w:pPr>
      <w:ind w:left="100" w:leftChars="2500"/>
    </w:pPr>
  </w:style>
  <w:style w:type="paragraph" w:styleId="10">
    <w:name w:val="Body Text Indent 2"/>
    <w:basedOn w:val="1"/>
    <w:link w:val="194"/>
    <w:semiHidden/>
    <w:unhideWhenUsed/>
    <w:qFormat/>
    <w:uiPriority w:val="99"/>
    <w:pPr>
      <w:spacing w:after="120" w:line="480" w:lineRule="auto"/>
      <w:ind w:left="420" w:leftChars="200"/>
    </w:pPr>
  </w:style>
  <w:style w:type="paragraph" w:styleId="11">
    <w:name w:val="Balloon Text"/>
    <w:basedOn w:val="1"/>
    <w:link w:val="33"/>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autoRedefine/>
    <w:unhideWhenUsed/>
    <w:qFormat/>
    <w:uiPriority w:val="39"/>
  </w:style>
  <w:style w:type="paragraph" w:styleId="15">
    <w:name w:val="toc 2"/>
    <w:basedOn w:val="1"/>
    <w:next w:val="1"/>
    <w:autoRedefine/>
    <w:unhideWhenUsed/>
    <w:qFormat/>
    <w:uiPriority w:val="39"/>
    <w:pPr>
      <w:tabs>
        <w:tab w:val="right" w:leader="dot" w:pos="9402"/>
      </w:tabs>
      <w:ind w:left="420" w:leftChars="200"/>
    </w:pPr>
    <w:rPr>
      <w:rFonts w:eastAsia="黑体"/>
    </w:rPr>
  </w:style>
  <w:style w:type="paragraph" w:styleId="16">
    <w:name w:val="HTML Preformatted"/>
    <w:basedOn w:val="1"/>
    <w:link w:val="1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szCs w:val="20"/>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FollowedHyperlink"/>
    <w:basedOn w:val="20"/>
    <w:semiHidden/>
    <w:unhideWhenUsed/>
    <w:qFormat/>
    <w:uiPriority w:val="99"/>
    <w:rPr>
      <w:color w:val="800080"/>
      <w:u w:val="single"/>
    </w:rPr>
  </w:style>
  <w:style w:type="character" w:styleId="23">
    <w:name w:val="Emphasis"/>
    <w:basedOn w:val="20"/>
    <w:qFormat/>
    <w:uiPriority w:val="20"/>
    <w:rPr>
      <w:i/>
      <w:iCs/>
    </w:rPr>
  </w:style>
  <w:style w:type="character" w:styleId="24">
    <w:name w:val="Hyperlink"/>
    <w:basedOn w:val="20"/>
    <w:unhideWhenUsed/>
    <w:qFormat/>
    <w:uiPriority w:val="99"/>
    <w:rPr>
      <w:color w:val="0000FF"/>
      <w:u w:val="single"/>
    </w:rPr>
  </w:style>
  <w:style w:type="character" w:customStyle="1" w:styleId="25">
    <w:name w:val="标题 1 字符"/>
    <w:basedOn w:val="20"/>
    <w:link w:val="2"/>
    <w:qFormat/>
    <w:uiPriority w:val="9"/>
    <w:rPr>
      <w:rFonts w:ascii="Times New Roman" w:hAnsi="Times New Roman" w:eastAsia="宋体" w:cs="Times New Roman"/>
      <w:b/>
      <w:bCs/>
      <w:kern w:val="44"/>
      <w:sz w:val="44"/>
      <w:szCs w:val="44"/>
    </w:rPr>
  </w:style>
  <w:style w:type="character" w:customStyle="1" w:styleId="26">
    <w:name w:val="标题 2 字符"/>
    <w:basedOn w:val="20"/>
    <w:link w:val="3"/>
    <w:qFormat/>
    <w:uiPriority w:val="9"/>
    <w:rPr>
      <w:rFonts w:ascii="宋体" w:hAnsi="宋体" w:eastAsia="宋体" w:cs="宋体"/>
      <w:b/>
      <w:bCs/>
      <w:kern w:val="0"/>
      <w:sz w:val="36"/>
      <w:szCs w:val="36"/>
    </w:rPr>
  </w:style>
  <w:style w:type="character" w:customStyle="1" w:styleId="27">
    <w:name w:val="标题 3 字符"/>
    <w:basedOn w:val="20"/>
    <w:link w:val="4"/>
    <w:qFormat/>
    <w:uiPriority w:val="9"/>
    <w:rPr>
      <w:b/>
      <w:bCs/>
      <w:sz w:val="32"/>
      <w:szCs w:val="32"/>
    </w:rPr>
  </w:style>
  <w:style w:type="character" w:customStyle="1" w:styleId="28">
    <w:name w:val="标题 4 字符"/>
    <w:basedOn w:val="20"/>
    <w:link w:val="5"/>
    <w:qFormat/>
    <w:uiPriority w:val="9"/>
    <w:rPr>
      <w:rFonts w:asciiTheme="majorHAnsi" w:hAnsiTheme="majorHAnsi" w:eastAsiaTheme="majorEastAsia" w:cstheme="majorBidi"/>
      <w:b/>
      <w:bCs/>
      <w:sz w:val="28"/>
      <w:szCs w:val="28"/>
    </w:rPr>
  </w:style>
  <w:style w:type="character" w:customStyle="1" w:styleId="29">
    <w:name w:val="标题 5 字符"/>
    <w:basedOn w:val="20"/>
    <w:link w:val="6"/>
    <w:semiHidden/>
    <w:qFormat/>
    <w:uiPriority w:val="9"/>
    <w:rPr>
      <w:b/>
      <w:bCs/>
      <w:sz w:val="28"/>
      <w:szCs w:val="28"/>
    </w:rPr>
  </w:style>
  <w:style w:type="character" w:customStyle="1" w:styleId="30">
    <w:name w:val="标题 6 字符"/>
    <w:basedOn w:val="20"/>
    <w:link w:val="7"/>
    <w:semiHidden/>
    <w:qFormat/>
    <w:uiPriority w:val="9"/>
    <w:rPr>
      <w:rFonts w:asciiTheme="majorHAnsi" w:hAnsiTheme="majorHAnsi" w:eastAsiaTheme="majorEastAsia" w:cstheme="majorBidi"/>
      <w:b/>
      <w:bCs/>
      <w:sz w:val="24"/>
      <w:szCs w:val="24"/>
    </w:rPr>
  </w:style>
  <w:style w:type="character" w:customStyle="1" w:styleId="31">
    <w:name w:val="页眉 字符"/>
    <w:basedOn w:val="20"/>
    <w:link w:val="13"/>
    <w:qFormat/>
    <w:uiPriority w:val="99"/>
    <w:rPr>
      <w:sz w:val="18"/>
      <w:szCs w:val="18"/>
    </w:rPr>
  </w:style>
  <w:style w:type="character" w:customStyle="1" w:styleId="32">
    <w:name w:val="页脚 字符"/>
    <w:basedOn w:val="20"/>
    <w:link w:val="12"/>
    <w:qFormat/>
    <w:uiPriority w:val="99"/>
    <w:rPr>
      <w:sz w:val="18"/>
      <w:szCs w:val="18"/>
    </w:rPr>
  </w:style>
  <w:style w:type="character" w:customStyle="1" w:styleId="33">
    <w:name w:val="批注框文本 字符"/>
    <w:basedOn w:val="20"/>
    <w:link w:val="11"/>
    <w:semiHidden/>
    <w:qFormat/>
    <w:uiPriority w:val="99"/>
    <w:rPr>
      <w:rFonts w:ascii="Times New Roman" w:hAnsi="Times New Roman" w:eastAsia="宋体" w:cs="Times New Roman"/>
      <w:sz w:val="18"/>
      <w:szCs w:val="18"/>
    </w:rPr>
  </w:style>
  <w:style w:type="character" w:customStyle="1" w:styleId="34">
    <w:name w:val="apple-converted-space"/>
    <w:basedOn w:val="20"/>
    <w:qFormat/>
    <w:uiPriority w:val="0"/>
  </w:style>
  <w:style w:type="paragraph" w:styleId="35">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36">
    <w:name w:val="article-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article-info-en"/>
    <w:basedOn w:val="1"/>
    <w:qFormat/>
    <w:uiPriority w:val="0"/>
    <w:pPr>
      <w:widowControl/>
      <w:spacing w:before="100" w:beforeAutospacing="1" w:after="100" w:afterAutospacing="1"/>
      <w:jc w:val="left"/>
    </w:pPr>
    <w:rPr>
      <w:rFonts w:ascii="宋体" w:hAnsi="宋体" w:cs="宋体"/>
      <w:kern w:val="0"/>
      <w:sz w:val="24"/>
    </w:rPr>
  </w:style>
  <w:style w:type="character" w:customStyle="1" w:styleId="38">
    <w:name w:val="xref"/>
    <w:basedOn w:val="20"/>
    <w:qFormat/>
    <w:uiPriority w:val="0"/>
  </w:style>
  <w:style w:type="character" w:customStyle="1" w:styleId="39">
    <w:name w:val="sec-title"/>
    <w:basedOn w:val="20"/>
    <w:qFormat/>
    <w:uiPriority w:val="0"/>
  </w:style>
  <w:style w:type="character" w:customStyle="1" w:styleId="40">
    <w:name w:val="tabletext"/>
    <w:basedOn w:val="20"/>
    <w:qFormat/>
    <w:uiPriority w:val="0"/>
  </w:style>
  <w:style w:type="character" w:customStyle="1" w:styleId="41">
    <w:name w:val="figtext"/>
    <w:basedOn w:val="20"/>
    <w:qFormat/>
    <w:uiPriority w:val="0"/>
  </w:style>
  <w:style w:type="paragraph" w:customStyle="1" w:styleId="42">
    <w:name w:val="img_ti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img_note"/>
    <w:basedOn w:val="1"/>
    <w:qFormat/>
    <w:uiPriority w:val="0"/>
    <w:pPr>
      <w:widowControl/>
      <w:spacing w:before="100" w:beforeAutospacing="1" w:after="100" w:afterAutospacing="1"/>
      <w:jc w:val="left"/>
    </w:pPr>
    <w:rPr>
      <w:rFonts w:ascii="宋体" w:hAnsi="宋体" w:cs="宋体"/>
      <w:kern w:val="0"/>
      <w:sz w:val="24"/>
    </w:rPr>
  </w:style>
  <w:style w:type="character" w:customStyle="1" w:styleId="44">
    <w:name w:val="rich_media_meta"/>
    <w:basedOn w:val="20"/>
    <w:qFormat/>
    <w:uiPriority w:val="0"/>
  </w:style>
  <w:style w:type="character" w:customStyle="1" w:styleId="45">
    <w:name w:val="keys"/>
    <w:basedOn w:val="20"/>
    <w:qFormat/>
    <w:uiPriority w:val="0"/>
  </w:style>
  <w:style w:type="character" w:customStyle="1" w:styleId="46">
    <w:name w:val="续段落 Char"/>
    <w:link w:val="47"/>
    <w:qFormat/>
    <w:uiPriority w:val="0"/>
    <w:rPr>
      <w:rFonts w:eastAsia="仿宋_GB2312"/>
      <w:color w:val="000000"/>
      <w:sz w:val="28"/>
      <w:szCs w:val="28"/>
    </w:rPr>
  </w:style>
  <w:style w:type="paragraph" w:customStyle="1" w:styleId="47">
    <w:name w:val="续段落"/>
    <w:basedOn w:val="1"/>
    <w:link w:val="46"/>
    <w:qFormat/>
    <w:uiPriority w:val="0"/>
    <w:pPr>
      <w:spacing w:line="500" w:lineRule="exact"/>
      <w:ind w:firstLine="561"/>
    </w:pPr>
    <w:rPr>
      <w:rFonts w:eastAsia="仿宋_GB2312" w:asciiTheme="minorHAnsi" w:hAnsiTheme="minorHAnsi" w:cstheme="minorBidi"/>
      <w:color w:val="000000"/>
      <w:sz w:val="28"/>
      <w:szCs w:val="28"/>
    </w:rPr>
  </w:style>
  <w:style w:type="character" w:customStyle="1" w:styleId="48">
    <w:name w:val="key_title"/>
    <w:basedOn w:val="20"/>
    <w:qFormat/>
    <w:uiPriority w:val="0"/>
  </w:style>
  <w:style w:type="character" w:customStyle="1" w:styleId="49">
    <w:name w:val="keyword"/>
    <w:basedOn w:val="20"/>
    <w:qFormat/>
    <w:uiPriority w:val="0"/>
  </w:style>
  <w:style w:type="character" w:customStyle="1" w:styleId="50">
    <w:name w:val="paragraph_title"/>
    <w:basedOn w:val="20"/>
    <w:qFormat/>
    <w:uiPriority w:val="0"/>
  </w:style>
  <w:style w:type="character" w:customStyle="1" w:styleId="51">
    <w:name w:val="题注1"/>
    <w:basedOn w:val="20"/>
    <w:qFormat/>
    <w:uiPriority w:val="0"/>
  </w:style>
  <w:style w:type="character" w:customStyle="1" w:styleId="52">
    <w:name w:val="outline_anchor"/>
    <w:basedOn w:val="20"/>
    <w:qFormat/>
    <w:uiPriority w:val="0"/>
  </w:style>
  <w:style w:type="character" w:customStyle="1" w:styleId="53">
    <w:name w:val="z-窗体顶端 字符"/>
    <w:basedOn w:val="20"/>
    <w:link w:val="54"/>
    <w:semiHidden/>
    <w:qFormat/>
    <w:uiPriority w:val="99"/>
    <w:rPr>
      <w:rFonts w:ascii="Arial" w:hAnsi="Arial" w:eastAsia="宋体" w:cs="Arial"/>
      <w:vanish/>
      <w:kern w:val="0"/>
      <w:sz w:val="16"/>
      <w:szCs w:val="16"/>
    </w:rPr>
  </w:style>
  <w:style w:type="paragraph" w:customStyle="1" w:styleId="54">
    <w:name w:val="z-窗体顶端1"/>
    <w:basedOn w:val="1"/>
    <w:next w:val="1"/>
    <w:link w:val="5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55">
    <w:name w:val="z-窗体顶端 Char1"/>
    <w:basedOn w:val="20"/>
    <w:semiHidden/>
    <w:qFormat/>
    <w:uiPriority w:val="99"/>
    <w:rPr>
      <w:rFonts w:ascii="Arial" w:hAnsi="Arial" w:eastAsia="宋体" w:cs="Arial"/>
      <w:vanish/>
      <w:sz w:val="16"/>
      <w:szCs w:val="16"/>
    </w:rPr>
  </w:style>
  <w:style w:type="character" w:customStyle="1" w:styleId="56">
    <w:name w:val="z-窗体底端 字符"/>
    <w:basedOn w:val="20"/>
    <w:link w:val="57"/>
    <w:semiHidden/>
    <w:qFormat/>
    <w:uiPriority w:val="99"/>
    <w:rPr>
      <w:rFonts w:ascii="Arial" w:hAnsi="Arial" w:eastAsia="宋体" w:cs="Arial"/>
      <w:vanish/>
      <w:kern w:val="0"/>
      <w:sz w:val="16"/>
      <w:szCs w:val="16"/>
    </w:rPr>
  </w:style>
  <w:style w:type="paragraph" w:customStyle="1" w:styleId="57">
    <w:name w:val="z-窗体底端1"/>
    <w:basedOn w:val="1"/>
    <w:next w:val="1"/>
    <w:link w:val="56"/>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58">
    <w:name w:val="z-窗体底端 Char1"/>
    <w:basedOn w:val="20"/>
    <w:semiHidden/>
    <w:qFormat/>
    <w:uiPriority w:val="99"/>
    <w:rPr>
      <w:rFonts w:ascii="Arial" w:hAnsi="Arial" w:eastAsia="宋体" w:cs="Arial"/>
      <w:vanish/>
      <w:sz w:val="16"/>
      <w:szCs w:val="16"/>
    </w:rPr>
  </w:style>
  <w:style w:type="paragraph" w:customStyle="1" w:styleId="59">
    <w:name w:val="reader-word-layer reader-word-s2-16"/>
    <w:basedOn w:val="1"/>
    <w:qFormat/>
    <w:uiPriority w:val="0"/>
    <w:pPr>
      <w:widowControl/>
      <w:spacing w:before="100" w:beforeAutospacing="1" w:after="100" w:afterAutospacing="1"/>
      <w:jc w:val="left"/>
    </w:pPr>
    <w:rPr>
      <w:rFonts w:ascii="宋体" w:hAnsi="宋体" w:cs="宋体"/>
      <w:kern w:val="0"/>
      <w:sz w:val="24"/>
    </w:rPr>
  </w:style>
  <w:style w:type="character" w:customStyle="1" w:styleId="60">
    <w:name w:val="bjh-p"/>
    <w:basedOn w:val="20"/>
    <w:qFormat/>
    <w:uiPriority w:val="0"/>
  </w:style>
  <w:style w:type="character" w:customStyle="1" w:styleId="61">
    <w:name w:val="bjh-strong"/>
    <w:basedOn w:val="20"/>
    <w:qFormat/>
    <w:uiPriority w:val="0"/>
  </w:style>
  <w:style w:type="character" w:customStyle="1" w:styleId="62">
    <w:name w:val="author_cn"/>
    <w:basedOn w:val="20"/>
    <w:qFormat/>
    <w:uiPriority w:val="0"/>
  </w:style>
  <w:style w:type="character" w:customStyle="1" w:styleId="63">
    <w:name w:val="author_en"/>
    <w:basedOn w:val="20"/>
    <w:qFormat/>
    <w:uiPriority w:val="0"/>
  </w:style>
  <w:style w:type="character" w:customStyle="1" w:styleId="64">
    <w:name w:val="题注2"/>
    <w:basedOn w:val="20"/>
    <w:qFormat/>
    <w:uiPriority w:val="0"/>
  </w:style>
  <w:style w:type="character" w:customStyle="1" w:styleId="65">
    <w:name w:val="tabtext"/>
    <w:basedOn w:val="20"/>
    <w:qFormat/>
    <w:uiPriority w:val="0"/>
  </w:style>
  <w:style w:type="character" w:customStyle="1" w:styleId="66">
    <w:name w:val="mathjax_preview"/>
    <w:basedOn w:val="20"/>
    <w:qFormat/>
    <w:uiPriority w:val="0"/>
  </w:style>
  <w:style w:type="character" w:customStyle="1" w:styleId="67">
    <w:name w:val="mathjax"/>
    <w:basedOn w:val="20"/>
    <w:qFormat/>
    <w:uiPriority w:val="0"/>
  </w:style>
  <w:style w:type="character" w:customStyle="1" w:styleId="68">
    <w:name w:val="math"/>
    <w:basedOn w:val="20"/>
    <w:qFormat/>
    <w:uiPriority w:val="0"/>
  </w:style>
  <w:style w:type="character" w:customStyle="1" w:styleId="69">
    <w:name w:val="mrow"/>
    <w:basedOn w:val="20"/>
    <w:qFormat/>
    <w:uiPriority w:val="0"/>
  </w:style>
  <w:style w:type="character" w:customStyle="1" w:styleId="70">
    <w:name w:val="mtable"/>
    <w:basedOn w:val="20"/>
    <w:qFormat/>
    <w:uiPriority w:val="0"/>
  </w:style>
  <w:style w:type="character" w:customStyle="1" w:styleId="71">
    <w:name w:val="mtd"/>
    <w:basedOn w:val="20"/>
    <w:qFormat/>
    <w:uiPriority w:val="0"/>
  </w:style>
  <w:style w:type="character" w:customStyle="1" w:styleId="72">
    <w:name w:val="texatom"/>
    <w:basedOn w:val="20"/>
    <w:qFormat/>
    <w:uiPriority w:val="0"/>
  </w:style>
  <w:style w:type="character" w:customStyle="1" w:styleId="73">
    <w:name w:val="mi"/>
    <w:basedOn w:val="20"/>
    <w:qFormat/>
    <w:uiPriority w:val="0"/>
  </w:style>
  <w:style w:type="character" w:customStyle="1" w:styleId="74">
    <w:name w:val="mo"/>
    <w:basedOn w:val="20"/>
    <w:qFormat/>
    <w:uiPriority w:val="0"/>
  </w:style>
  <w:style w:type="character" w:customStyle="1" w:styleId="75">
    <w:name w:val="msubsup"/>
    <w:basedOn w:val="20"/>
    <w:qFormat/>
    <w:uiPriority w:val="0"/>
  </w:style>
  <w:style w:type="character" w:customStyle="1" w:styleId="76">
    <w:name w:val="mn"/>
    <w:basedOn w:val="20"/>
    <w:qFormat/>
    <w:uiPriority w:val="0"/>
  </w:style>
  <w:style w:type="character" w:customStyle="1" w:styleId="77">
    <w:name w:val="mjx_assistive_mathml"/>
    <w:basedOn w:val="20"/>
    <w:qFormat/>
    <w:uiPriority w:val="0"/>
  </w:style>
  <w:style w:type="character" w:customStyle="1" w:styleId="78">
    <w:name w:val="日期 字符"/>
    <w:basedOn w:val="20"/>
    <w:link w:val="9"/>
    <w:semiHidden/>
    <w:qFormat/>
    <w:uiPriority w:val="99"/>
    <w:rPr>
      <w:rFonts w:ascii="Times New Roman" w:hAnsi="Times New Roman" w:eastAsia="宋体" w:cs="Times New Roman"/>
      <w:szCs w:val="24"/>
    </w:rPr>
  </w:style>
  <w:style w:type="paragraph" w:customStyle="1" w:styleId="7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li-pdf"/>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li-exce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li-xml"/>
    <w:basedOn w:val="1"/>
    <w:qFormat/>
    <w:uiPriority w:val="0"/>
    <w:pPr>
      <w:widowControl/>
      <w:spacing w:before="100" w:beforeAutospacing="1" w:after="100" w:afterAutospacing="1"/>
      <w:jc w:val="left"/>
    </w:pPr>
    <w:rPr>
      <w:rFonts w:ascii="宋体" w:hAnsi="宋体" w:cs="宋体"/>
      <w:kern w:val="0"/>
      <w:sz w:val="24"/>
    </w:rPr>
  </w:style>
  <w:style w:type="character" w:customStyle="1" w:styleId="84">
    <w:name w:val="maincolor"/>
    <w:basedOn w:val="20"/>
    <w:qFormat/>
    <w:uiPriority w:val="0"/>
  </w:style>
  <w:style w:type="paragraph" w:customStyle="1" w:styleId="85">
    <w:name w:val="article_ceil_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article_ceil_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articletool_li1"/>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articletool_li2"/>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articletool_li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figtabspan"/>
    <w:basedOn w:val="1"/>
    <w:qFormat/>
    <w:uiPriority w:val="0"/>
    <w:pPr>
      <w:widowControl/>
      <w:spacing w:before="100" w:beforeAutospacing="1" w:after="100" w:afterAutospacing="1"/>
      <w:jc w:val="left"/>
    </w:pPr>
    <w:rPr>
      <w:rFonts w:ascii="宋体" w:hAnsi="宋体" w:cs="宋体"/>
      <w:kern w:val="0"/>
      <w:sz w:val="24"/>
    </w:rPr>
  </w:style>
  <w:style w:type="character" w:customStyle="1" w:styleId="91">
    <w:name w:val="info"/>
    <w:basedOn w:val="20"/>
    <w:qFormat/>
    <w:uiPriority w:val="0"/>
  </w:style>
  <w:style w:type="character" w:customStyle="1" w:styleId="92">
    <w:name w:val="infoen"/>
    <w:basedOn w:val="20"/>
    <w:qFormat/>
    <w:uiPriority w:val="0"/>
  </w:style>
  <w:style w:type="character" w:customStyle="1" w:styleId="93">
    <w:name w:val="rich_media_meta_link"/>
    <w:basedOn w:val="20"/>
    <w:qFormat/>
    <w:uiPriority w:val="0"/>
  </w:style>
  <w:style w:type="character" w:customStyle="1" w:styleId="94">
    <w:name w:val="source"/>
    <w:basedOn w:val="20"/>
    <w:qFormat/>
    <w:uiPriority w:val="0"/>
  </w:style>
  <w:style w:type="paragraph" w:customStyle="1" w:styleId="95">
    <w:name w:val="one-p"/>
    <w:basedOn w:val="1"/>
    <w:qFormat/>
    <w:uiPriority w:val="0"/>
    <w:pPr>
      <w:widowControl/>
      <w:spacing w:before="100" w:beforeAutospacing="1" w:after="100" w:afterAutospacing="1"/>
      <w:jc w:val="left"/>
    </w:pPr>
    <w:rPr>
      <w:rFonts w:ascii="宋体" w:hAnsi="宋体" w:cs="宋体"/>
      <w:kern w:val="0"/>
      <w:sz w:val="24"/>
    </w:rPr>
  </w:style>
  <w:style w:type="character" w:customStyle="1" w:styleId="96">
    <w:name w:val="vm"/>
    <w:basedOn w:val="20"/>
    <w:qFormat/>
    <w:uiPriority w:val="0"/>
  </w:style>
  <w:style w:type="character" w:customStyle="1" w:styleId="97">
    <w:name w:val="article_title3"/>
    <w:basedOn w:val="20"/>
    <w:qFormat/>
    <w:uiPriority w:val="0"/>
  </w:style>
  <w:style w:type="character" w:customStyle="1" w:styleId="98">
    <w:name w:val="正文文本 字符"/>
    <w:basedOn w:val="20"/>
    <w:link w:val="8"/>
    <w:qFormat/>
    <w:uiPriority w:val="1"/>
    <w:rPr>
      <w:rFonts w:ascii="Times New Roman" w:hAnsi="Times New Roman" w:eastAsia="Times New Roman" w:cs="Times New Roman"/>
      <w:kern w:val="0"/>
      <w:sz w:val="17"/>
      <w:szCs w:val="17"/>
      <w:lang w:eastAsia="en-US" w:bidi="en-US"/>
    </w:rPr>
  </w:style>
  <w:style w:type="paragraph" w:customStyle="1" w:styleId="99">
    <w:name w:val="Table Paragraph"/>
    <w:basedOn w:val="1"/>
    <w:qFormat/>
    <w:uiPriority w:val="1"/>
    <w:pPr>
      <w:autoSpaceDE w:val="0"/>
      <w:autoSpaceDN w:val="0"/>
      <w:spacing w:before="46"/>
      <w:jc w:val="center"/>
    </w:pPr>
    <w:rPr>
      <w:rFonts w:eastAsia="Times New Roman"/>
      <w:kern w:val="0"/>
      <w:sz w:val="22"/>
      <w:szCs w:val="22"/>
      <w:lang w:eastAsia="en-US" w:bidi="en-US"/>
    </w:rPr>
  </w:style>
  <w:style w:type="paragraph" w:customStyle="1" w:styleId="100">
    <w:name w:val="pic_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01">
    <w:name w:val="anchor-a"/>
    <w:basedOn w:val="20"/>
    <w:qFormat/>
    <w:uiPriority w:val="0"/>
  </w:style>
  <w:style w:type="character" w:customStyle="1" w:styleId="102">
    <w:name w:val="未处理的提及1"/>
    <w:basedOn w:val="20"/>
    <w:semiHidden/>
    <w:unhideWhenUsed/>
    <w:qFormat/>
    <w:uiPriority w:val="99"/>
    <w:rPr>
      <w:color w:val="605E5C"/>
      <w:shd w:val="clear" w:color="auto" w:fill="E1DFDD"/>
    </w:rPr>
  </w:style>
  <w:style w:type="paragraph" w:styleId="10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s1"/>
    <w:basedOn w:val="1"/>
    <w:qFormat/>
    <w:uiPriority w:val="0"/>
    <w:pPr>
      <w:widowControl/>
      <w:spacing w:before="100" w:beforeAutospacing="1" w:after="100" w:afterAutospacing="1"/>
      <w:jc w:val="left"/>
    </w:pPr>
    <w:rPr>
      <w:rFonts w:ascii="宋体" w:hAnsi="宋体" w:cs="宋体"/>
      <w:kern w:val="0"/>
      <w:sz w:val="24"/>
    </w:rPr>
  </w:style>
  <w:style w:type="character" w:customStyle="1" w:styleId="105">
    <w:name w:val="s2"/>
    <w:basedOn w:val="20"/>
    <w:qFormat/>
    <w:uiPriority w:val="0"/>
  </w:style>
  <w:style w:type="character" w:customStyle="1" w:styleId="106">
    <w:name w:val="s3"/>
    <w:basedOn w:val="20"/>
    <w:qFormat/>
    <w:uiPriority w:val="0"/>
  </w:style>
  <w:style w:type="paragraph" w:customStyle="1" w:styleId="107">
    <w:name w:val="s4"/>
    <w:basedOn w:val="1"/>
    <w:qFormat/>
    <w:uiPriority w:val="0"/>
    <w:pPr>
      <w:widowControl/>
      <w:spacing w:before="100" w:beforeAutospacing="1" w:after="100" w:afterAutospacing="1"/>
      <w:jc w:val="left"/>
    </w:pPr>
    <w:rPr>
      <w:rFonts w:ascii="宋体" w:hAnsi="宋体" w:cs="宋体"/>
      <w:kern w:val="0"/>
      <w:sz w:val="24"/>
    </w:rPr>
  </w:style>
  <w:style w:type="character" w:customStyle="1" w:styleId="108">
    <w:name w:val="s5"/>
    <w:basedOn w:val="20"/>
    <w:qFormat/>
    <w:uiPriority w:val="0"/>
  </w:style>
  <w:style w:type="character" w:customStyle="1" w:styleId="109">
    <w:name w:val="s6"/>
    <w:basedOn w:val="20"/>
    <w:qFormat/>
    <w:uiPriority w:val="0"/>
  </w:style>
  <w:style w:type="character" w:customStyle="1" w:styleId="110">
    <w:name w:val="p"/>
    <w:basedOn w:val="20"/>
    <w:qFormat/>
    <w:uiPriority w:val="0"/>
  </w:style>
  <w:style w:type="paragraph" w:customStyle="1" w:styleId="111">
    <w:name w:val="s7"/>
    <w:basedOn w:val="1"/>
    <w:qFormat/>
    <w:uiPriority w:val="0"/>
    <w:pPr>
      <w:widowControl/>
      <w:spacing w:before="100" w:beforeAutospacing="1" w:after="100" w:afterAutospacing="1"/>
      <w:jc w:val="left"/>
    </w:pPr>
    <w:rPr>
      <w:rFonts w:ascii="宋体" w:hAnsi="宋体" w:cs="宋体"/>
      <w:kern w:val="0"/>
      <w:sz w:val="24"/>
    </w:rPr>
  </w:style>
  <w:style w:type="character" w:customStyle="1" w:styleId="112">
    <w:name w:val="s41"/>
    <w:basedOn w:val="20"/>
    <w:qFormat/>
    <w:uiPriority w:val="0"/>
  </w:style>
  <w:style w:type="character" w:customStyle="1" w:styleId="113">
    <w:name w:val="h2"/>
    <w:basedOn w:val="20"/>
    <w:qFormat/>
    <w:uiPriority w:val="0"/>
  </w:style>
  <w:style w:type="paragraph" w:customStyle="1" w:styleId="114">
    <w:name w:val="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s9"/>
    <w:basedOn w:val="1"/>
    <w:qFormat/>
    <w:uiPriority w:val="0"/>
    <w:pPr>
      <w:widowControl/>
      <w:spacing w:before="100" w:beforeAutospacing="1" w:after="100" w:afterAutospacing="1"/>
      <w:jc w:val="left"/>
    </w:pPr>
    <w:rPr>
      <w:rFonts w:ascii="宋体" w:hAnsi="宋体" w:cs="宋体"/>
      <w:kern w:val="0"/>
      <w:sz w:val="24"/>
    </w:rPr>
  </w:style>
  <w:style w:type="character" w:customStyle="1" w:styleId="116">
    <w:name w:val="s11"/>
    <w:basedOn w:val="20"/>
    <w:qFormat/>
    <w:uiPriority w:val="0"/>
  </w:style>
  <w:style w:type="paragraph" w:customStyle="1" w:styleId="117">
    <w:name w:val="s14"/>
    <w:basedOn w:val="1"/>
    <w:qFormat/>
    <w:uiPriority w:val="0"/>
    <w:pPr>
      <w:widowControl/>
      <w:spacing w:before="100" w:beforeAutospacing="1" w:after="100" w:afterAutospacing="1"/>
      <w:jc w:val="left"/>
    </w:pPr>
    <w:rPr>
      <w:rFonts w:ascii="宋体" w:hAnsi="宋体" w:cs="宋体"/>
      <w:kern w:val="0"/>
      <w:sz w:val="24"/>
    </w:rPr>
  </w:style>
  <w:style w:type="character" w:customStyle="1" w:styleId="118">
    <w:name w:val="s12"/>
    <w:basedOn w:val="20"/>
    <w:qFormat/>
    <w:uiPriority w:val="0"/>
  </w:style>
  <w:style w:type="character" w:customStyle="1" w:styleId="119">
    <w:name w:val="s13"/>
    <w:basedOn w:val="20"/>
    <w:qFormat/>
    <w:uiPriority w:val="0"/>
  </w:style>
  <w:style w:type="paragraph" w:customStyle="1" w:styleId="120">
    <w:name w:val="s1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21">
    <w:name w:val="h4"/>
    <w:basedOn w:val="20"/>
    <w:qFormat/>
    <w:uiPriority w:val="0"/>
  </w:style>
  <w:style w:type="character" w:customStyle="1" w:styleId="122">
    <w:name w:val="s141"/>
    <w:basedOn w:val="20"/>
    <w:qFormat/>
    <w:uiPriority w:val="0"/>
  </w:style>
  <w:style w:type="paragraph" w:customStyle="1" w:styleId="123">
    <w:name w:val="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s16"/>
    <w:basedOn w:val="1"/>
    <w:qFormat/>
    <w:uiPriority w:val="0"/>
    <w:pPr>
      <w:widowControl/>
      <w:spacing w:before="100" w:beforeAutospacing="1" w:after="100" w:afterAutospacing="1"/>
      <w:jc w:val="left"/>
    </w:pPr>
    <w:rPr>
      <w:rFonts w:ascii="宋体" w:hAnsi="宋体" w:cs="宋体"/>
      <w:kern w:val="0"/>
      <w:sz w:val="24"/>
    </w:rPr>
  </w:style>
  <w:style w:type="character" w:customStyle="1" w:styleId="125">
    <w:name w:val="s17"/>
    <w:basedOn w:val="20"/>
    <w:qFormat/>
    <w:uiPriority w:val="0"/>
  </w:style>
  <w:style w:type="character" w:customStyle="1" w:styleId="126">
    <w:name w:val="s18"/>
    <w:basedOn w:val="20"/>
    <w:qFormat/>
    <w:uiPriority w:val="0"/>
  </w:style>
  <w:style w:type="character" w:customStyle="1" w:styleId="127">
    <w:name w:val="s19"/>
    <w:basedOn w:val="20"/>
    <w:qFormat/>
    <w:uiPriority w:val="0"/>
  </w:style>
  <w:style w:type="character" w:customStyle="1" w:styleId="128">
    <w:name w:val="s20"/>
    <w:basedOn w:val="20"/>
    <w:qFormat/>
    <w:uiPriority w:val="0"/>
  </w:style>
  <w:style w:type="character" w:customStyle="1" w:styleId="129">
    <w:name w:val="s21"/>
    <w:basedOn w:val="20"/>
    <w:qFormat/>
    <w:uiPriority w:val="0"/>
  </w:style>
  <w:style w:type="paragraph" w:customStyle="1" w:styleId="130">
    <w:name w:val="s22"/>
    <w:basedOn w:val="1"/>
    <w:qFormat/>
    <w:uiPriority w:val="0"/>
    <w:pPr>
      <w:widowControl/>
      <w:spacing w:before="100" w:beforeAutospacing="1" w:after="100" w:afterAutospacing="1"/>
      <w:jc w:val="left"/>
    </w:pPr>
    <w:rPr>
      <w:rFonts w:ascii="宋体" w:hAnsi="宋体" w:cs="宋体"/>
      <w:kern w:val="0"/>
      <w:sz w:val="24"/>
    </w:rPr>
  </w:style>
  <w:style w:type="character" w:customStyle="1" w:styleId="131">
    <w:name w:val="s23"/>
    <w:basedOn w:val="20"/>
    <w:qFormat/>
    <w:uiPriority w:val="0"/>
  </w:style>
  <w:style w:type="character" w:customStyle="1" w:styleId="132">
    <w:name w:val="s24"/>
    <w:basedOn w:val="20"/>
    <w:qFormat/>
    <w:uiPriority w:val="0"/>
  </w:style>
  <w:style w:type="paragraph" w:customStyle="1" w:styleId="133">
    <w:name w:val="s25"/>
    <w:basedOn w:val="1"/>
    <w:qFormat/>
    <w:uiPriority w:val="0"/>
    <w:pPr>
      <w:widowControl/>
      <w:spacing w:before="100" w:beforeAutospacing="1" w:after="100" w:afterAutospacing="1"/>
      <w:jc w:val="left"/>
    </w:pPr>
    <w:rPr>
      <w:rFonts w:ascii="宋体" w:hAnsi="宋体" w:cs="宋体"/>
      <w:kern w:val="0"/>
      <w:sz w:val="24"/>
    </w:rPr>
  </w:style>
  <w:style w:type="character" w:customStyle="1" w:styleId="134">
    <w:name w:val="s221"/>
    <w:basedOn w:val="20"/>
    <w:qFormat/>
    <w:uiPriority w:val="0"/>
  </w:style>
  <w:style w:type="paragraph" w:customStyle="1" w:styleId="135">
    <w:name w:val="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
    <w:name w:val="s28"/>
    <w:basedOn w:val="1"/>
    <w:qFormat/>
    <w:uiPriority w:val="0"/>
    <w:pPr>
      <w:widowControl/>
      <w:spacing w:before="100" w:beforeAutospacing="1" w:after="100" w:afterAutospacing="1"/>
      <w:jc w:val="left"/>
    </w:pPr>
    <w:rPr>
      <w:rFonts w:ascii="宋体" w:hAnsi="宋体" w:cs="宋体"/>
      <w:kern w:val="0"/>
      <w:sz w:val="24"/>
    </w:rPr>
  </w:style>
  <w:style w:type="character" w:customStyle="1" w:styleId="137">
    <w:name w:val="s30"/>
    <w:basedOn w:val="20"/>
    <w:qFormat/>
    <w:uiPriority w:val="0"/>
  </w:style>
  <w:style w:type="paragraph" w:customStyle="1" w:styleId="138">
    <w:name w:val="s171"/>
    <w:basedOn w:val="1"/>
    <w:qFormat/>
    <w:uiPriority w:val="0"/>
    <w:pPr>
      <w:widowControl/>
      <w:spacing w:before="100" w:beforeAutospacing="1" w:after="100" w:afterAutospacing="1"/>
      <w:jc w:val="left"/>
    </w:pPr>
    <w:rPr>
      <w:rFonts w:ascii="宋体" w:hAnsi="宋体" w:cs="宋体"/>
      <w:kern w:val="0"/>
      <w:sz w:val="24"/>
    </w:rPr>
  </w:style>
  <w:style w:type="character" w:customStyle="1" w:styleId="139">
    <w:name w:val="s161"/>
    <w:basedOn w:val="20"/>
    <w:qFormat/>
    <w:uiPriority w:val="0"/>
  </w:style>
  <w:style w:type="paragraph" w:customStyle="1" w:styleId="140">
    <w:name w:val="s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41">
    <w:name w:val="s32"/>
    <w:basedOn w:val="20"/>
    <w:qFormat/>
    <w:uiPriority w:val="0"/>
  </w:style>
  <w:style w:type="paragraph" w:customStyle="1" w:styleId="142">
    <w:name w:val="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43">
    <w:name w:val="s34"/>
    <w:basedOn w:val="1"/>
    <w:qFormat/>
    <w:uiPriority w:val="0"/>
    <w:pPr>
      <w:widowControl/>
      <w:spacing w:before="100" w:beforeAutospacing="1" w:after="100" w:afterAutospacing="1"/>
      <w:jc w:val="left"/>
    </w:pPr>
    <w:rPr>
      <w:rFonts w:ascii="宋体" w:hAnsi="宋体" w:cs="宋体"/>
      <w:kern w:val="0"/>
      <w:sz w:val="24"/>
    </w:rPr>
  </w:style>
  <w:style w:type="character" w:customStyle="1" w:styleId="144">
    <w:name w:val="s331"/>
    <w:basedOn w:val="20"/>
    <w:qFormat/>
    <w:uiPriority w:val="0"/>
  </w:style>
  <w:style w:type="character" w:customStyle="1" w:styleId="145">
    <w:name w:val="s35"/>
    <w:basedOn w:val="20"/>
    <w:qFormat/>
    <w:uiPriority w:val="0"/>
  </w:style>
  <w:style w:type="character" w:customStyle="1" w:styleId="146">
    <w:name w:val="s36"/>
    <w:basedOn w:val="20"/>
    <w:qFormat/>
    <w:uiPriority w:val="0"/>
  </w:style>
  <w:style w:type="character" w:customStyle="1" w:styleId="147">
    <w:name w:val="s37"/>
    <w:basedOn w:val="20"/>
    <w:qFormat/>
    <w:uiPriority w:val="0"/>
  </w:style>
  <w:style w:type="character" w:customStyle="1" w:styleId="148">
    <w:name w:val="s38"/>
    <w:basedOn w:val="20"/>
    <w:qFormat/>
    <w:uiPriority w:val="0"/>
  </w:style>
  <w:style w:type="character" w:customStyle="1" w:styleId="149">
    <w:name w:val="s39"/>
    <w:basedOn w:val="20"/>
    <w:qFormat/>
    <w:uiPriority w:val="0"/>
  </w:style>
  <w:style w:type="character" w:customStyle="1" w:styleId="150">
    <w:name w:val="s40"/>
    <w:basedOn w:val="20"/>
    <w:qFormat/>
    <w:uiPriority w:val="0"/>
  </w:style>
  <w:style w:type="paragraph" w:customStyle="1" w:styleId="151">
    <w:name w:val="s42"/>
    <w:basedOn w:val="1"/>
    <w:qFormat/>
    <w:uiPriority w:val="0"/>
    <w:pPr>
      <w:widowControl/>
      <w:spacing w:before="100" w:beforeAutospacing="1" w:after="100" w:afterAutospacing="1"/>
      <w:jc w:val="left"/>
    </w:pPr>
    <w:rPr>
      <w:rFonts w:ascii="宋体" w:hAnsi="宋体" w:cs="宋体"/>
      <w:kern w:val="0"/>
      <w:sz w:val="24"/>
    </w:rPr>
  </w:style>
  <w:style w:type="character" w:customStyle="1" w:styleId="152">
    <w:name w:val="s43"/>
    <w:basedOn w:val="20"/>
    <w:qFormat/>
    <w:uiPriority w:val="0"/>
  </w:style>
  <w:style w:type="character" w:customStyle="1" w:styleId="153">
    <w:name w:val="s341"/>
    <w:basedOn w:val="20"/>
    <w:qFormat/>
    <w:uiPriority w:val="0"/>
  </w:style>
  <w:style w:type="paragraph" w:customStyle="1" w:styleId="154">
    <w:name w:val="s44"/>
    <w:basedOn w:val="1"/>
    <w:qFormat/>
    <w:uiPriority w:val="0"/>
    <w:pPr>
      <w:widowControl/>
      <w:spacing w:before="100" w:beforeAutospacing="1" w:after="100" w:afterAutospacing="1"/>
      <w:jc w:val="left"/>
    </w:pPr>
    <w:rPr>
      <w:rFonts w:ascii="宋体" w:hAnsi="宋体" w:cs="宋体"/>
      <w:kern w:val="0"/>
      <w:sz w:val="24"/>
    </w:rPr>
  </w:style>
  <w:style w:type="character" w:customStyle="1" w:styleId="155">
    <w:name w:val="s45"/>
    <w:basedOn w:val="20"/>
    <w:qFormat/>
    <w:uiPriority w:val="0"/>
  </w:style>
  <w:style w:type="character" w:customStyle="1" w:styleId="156">
    <w:name w:val="s46"/>
    <w:basedOn w:val="20"/>
    <w:qFormat/>
    <w:uiPriority w:val="0"/>
  </w:style>
  <w:style w:type="character" w:customStyle="1" w:styleId="157">
    <w:name w:val="s47"/>
    <w:basedOn w:val="20"/>
    <w:qFormat/>
    <w:uiPriority w:val="0"/>
  </w:style>
  <w:style w:type="character" w:customStyle="1" w:styleId="158">
    <w:name w:val="s48"/>
    <w:basedOn w:val="20"/>
    <w:qFormat/>
    <w:uiPriority w:val="0"/>
  </w:style>
  <w:style w:type="character" w:customStyle="1" w:styleId="159">
    <w:name w:val="s29"/>
    <w:basedOn w:val="20"/>
    <w:qFormat/>
    <w:uiPriority w:val="0"/>
  </w:style>
  <w:style w:type="character" w:customStyle="1" w:styleId="160">
    <w:name w:val="s50"/>
    <w:basedOn w:val="20"/>
    <w:qFormat/>
    <w:uiPriority w:val="0"/>
  </w:style>
  <w:style w:type="paragraph" w:customStyle="1" w:styleId="161">
    <w:name w:val="s24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2">
    <w:name w:val="s51"/>
    <w:basedOn w:val="20"/>
    <w:qFormat/>
    <w:uiPriority w:val="0"/>
  </w:style>
  <w:style w:type="paragraph" w:customStyle="1" w:styleId="163">
    <w:name w:val="s5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s52"/>
    <w:basedOn w:val="1"/>
    <w:qFormat/>
    <w:uiPriority w:val="0"/>
    <w:pPr>
      <w:widowControl/>
      <w:spacing w:before="100" w:beforeAutospacing="1" w:after="100" w:afterAutospacing="1"/>
      <w:jc w:val="left"/>
    </w:pPr>
    <w:rPr>
      <w:rFonts w:ascii="宋体" w:hAnsi="宋体" w:cs="宋体"/>
      <w:kern w:val="0"/>
      <w:sz w:val="24"/>
    </w:rPr>
  </w:style>
  <w:style w:type="character" w:customStyle="1" w:styleId="165">
    <w:name w:val="s53"/>
    <w:basedOn w:val="20"/>
    <w:qFormat/>
    <w:uiPriority w:val="0"/>
  </w:style>
  <w:style w:type="paragraph" w:customStyle="1" w:styleId="166">
    <w:name w:val="s531"/>
    <w:basedOn w:val="1"/>
    <w:qFormat/>
    <w:uiPriority w:val="0"/>
    <w:pPr>
      <w:widowControl/>
      <w:spacing w:before="100" w:beforeAutospacing="1" w:after="100" w:afterAutospacing="1"/>
      <w:jc w:val="left"/>
    </w:pPr>
    <w:rPr>
      <w:rFonts w:ascii="宋体" w:hAnsi="宋体" w:cs="宋体"/>
      <w:kern w:val="0"/>
      <w:sz w:val="24"/>
    </w:rPr>
  </w:style>
  <w:style w:type="character" w:customStyle="1" w:styleId="167">
    <w:name w:val="s521"/>
    <w:basedOn w:val="20"/>
    <w:qFormat/>
    <w:uiPriority w:val="0"/>
  </w:style>
  <w:style w:type="paragraph" w:customStyle="1" w:styleId="168">
    <w:name w:val="s50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s8"/>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s15"/>
    <w:basedOn w:val="1"/>
    <w:qFormat/>
    <w:uiPriority w:val="0"/>
    <w:pPr>
      <w:widowControl/>
      <w:spacing w:before="100" w:beforeAutospacing="1" w:after="100" w:afterAutospacing="1"/>
      <w:jc w:val="left"/>
    </w:pPr>
    <w:rPr>
      <w:rFonts w:ascii="宋体" w:hAnsi="宋体" w:cs="宋体"/>
      <w:kern w:val="0"/>
      <w:sz w:val="24"/>
    </w:rPr>
  </w:style>
  <w:style w:type="character" w:customStyle="1" w:styleId="171">
    <w:name w:val="h3"/>
    <w:basedOn w:val="20"/>
    <w:qFormat/>
    <w:uiPriority w:val="0"/>
  </w:style>
  <w:style w:type="paragraph" w:customStyle="1" w:styleId="172">
    <w:name w:val="s6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3">
    <w:name w:val="s26"/>
    <w:basedOn w:val="20"/>
    <w:qFormat/>
    <w:uiPriority w:val="0"/>
  </w:style>
  <w:style w:type="paragraph" w:customStyle="1" w:styleId="174">
    <w:name w:val="s26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s29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6">
    <w:name w:val="s281"/>
    <w:basedOn w:val="20"/>
    <w:qFormat/>
    <w:uiPriority w:val="0"/>
  </w:style>
  <w:style w:type="paragraph" w:customStyle="1" w:styleId="177">
    <w:name w:val="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s201"/>
    <w:basedOn w:val="1"/>
    <w:qFormat/>
    <w:uiPriority w:val="0"/>
    <w:pPr>
      <w:widowControl/>
      <w:spacing w:before="100" w:beforeAutospacing="1" w:after="100" w:afterAutospacing="1"/>
      <w:jc w:val="left"/>
    </w:pPr>
    <w:rPr>
      <w:rFonts w:ascii="宋体" w:hAnsi="宋体" w:cs="宋体"/>
      <w:kern w:val="0"/>
      <w:sz w:val="24"/>
    </w:rPr>
  </w:style>
  <w:style w:type="character" w:customStyle="1" w:styleId="179">
    <w:name w:val="s231"/>
    <w:basedOn w:val="20"/>
    <w:qFormat/>
    <w:uiPriority w:val="0"/>
  </w:style>
  <w:style w:type="character" w:customStyle="1" w:styleId="180">
    <w:name w:val="s271"/>
    <w:basedOn w:val="20"/>
    <w:qFormat/>
    <w:uiPriority w:val="0"/>
  </w:style>
  <w:style w:type="character" w:customStyle="1" w:styleId="181">
    <w:name w:val="s301"/>
    <w:basedOn w:val="20"/>
    <w:qFormat/>
    <w:uiPriority w:val="0"/>
  </w:style>
  <w:style w:type="character" w:customStyle="1" w:styleId="182">
    <w:name w:val="s351"/>
    <w:basedOn w:val="20"/>
    <w:qFormat/>
    <w:uiPriority w:val="0"/>
  </w:style>
  <w:style w:type="character" w:customStyle="1" w:styleId="183">
    <w:name w:val="fontstyle01"/>
    <w:basedOn w:val="20"/>
    <w:qFormat/>
    <w:uiPriority w:val="0"/>
    <w:rPr>
      <w:rFonts w:hint="eastAsia" w:ascii="宋体" w:hAnsi="宋体" w:eastAsia="宋体"/>
      <w:color w:val="000000"/>
      <w:sz w:val="22"/>
      <w:szCs w:val="22"/>
    </w:rPr>
  </w:style>
  <w:style w:type="character" w:customStyle="1" w:styleId="184">
    <w:name w:val="fontstyle21"/>
    <w:basedOn w:val="20"/>
    <w:qFormat/>
    <w:uiPriority w:val="0"/>
    <w:rPr>
      <w:rFonts w:hint="default" w:ascii="TimesNewRomanPSMT" w:hAnsi="TimesNewRomanPSMT"/>
      <w:color w:val="0000FF"/>
      <w:sz w:val="22"/>
      <w:szCs w:val="22"/>
    </w:rPr>
  </w:style>
  <w:style w:type="character" w:customStyle="1" w:styleId="185">
    <w:name w:val="fontstyle31"/>
    <w:basedOn w:val="20"/>
    <w:qFormat/>
    <w:uiPriority w:val="0"/>
    <w:rPr>
      <w:rFonts w:hint="default" w:ascii="TimesNewRomanPS-ItalicMT" w:hAnsi="TimesNewRomanPS-ItalicMT"/>
      <w:i/>
      <w:iCs/>
      <w:color w:val="000000"/>
      <w:sz w:val="22"/>
      <w:szCs w:val="22"/>
    </w:rPr>
  </w:style>
  <w:style w:type="character" w:customStyle="1" w:styleId="186">
    <w:name w:val="fontstyle11"/>
    <w:basedOn w:val="20"/>
    <w:qFormat/>
    <w:uiPriority w:val="0"/>
    <w:rPr>
      <w:rFonts w:hint="default" w:ascii="TimesNewRomanPSMT" w:hAnsi="TimesNewRomanPSMT"/>
      <w:color w:val="000000"/>
      <w:sz w:val="22"/>
      <w:szCs w:val="22"/>
    </w:rPr>
  </w:style>
  <w:style w:type="character" w:customStyle="1" w:styleId="187">
    <w:name w:val="fontstyle41"/>
    <w:basedOn w:val="20"/>
    <w:qFormat/>
    <w:uiPriority w:val="0"/>
    <w:rPr>
      <w:rFonts w:hint="default" w:ascii="TimesNewRomanPSMT" w:hAnsi="TimesNewRomanPSMT"/>
      <w:color w:val="000000"/>
      <w:sz w:val="20"/>
      <w:szCs w:val="20"/>
    </w:rPr>
  </w:style>
  <w:style w:type="paragraph" w:customStyle="1" w:styleId="188">
    <w:name w:val="cur"/>
    <w:basedOn w:val="1"/>
    <w:qFormat/>
    <w:uiPriority w:val="0"/>
    <w:pPr>
      <w:widowControl/>
      <w:spacing w:before="100" w:beforeAutospacing="1" w:after="100" w:afterAutospacing="1"/>
      <w:jc w:val="left"/>
    </w:pPr>
    <w:rPr>
      <w:rFonts w:ascii="宋体" w:hAnsi="宋体" w:cs="宋体"/>
      <w:kern w:val="0"/>
      <w:sz w:val="24"/>
    </w:rPr>
  </w:style>
  <w:style w:type="character" w:customStyle="1" w:styleId="189">
    <w:name w:val="shareboard"/>
    <w:basedOn w:val="20"/>
    <w:qFormat/>
    <w:uiPriority w:val="0"/>
  </w:style>
  <w:style w:type="character" w:customStyle="1" w:styleId="190">
    <w:name w:val="msqrt"/>
    <w:basedOn w:val="20"/>
    <w:qFormat/>
    <w:uiPriority w:val="0"/>
  </w:style>
  <w:style w:type="paragraph" w:customStyle="1" w:styleId="191">
    <w:name w:val="ql-align-justify"/>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
    <w:name w:val="ql-align-cent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93">
    <w:name w:val="mtext"/>
    <w:basedOn w:val="20"/>
    <w:qFormat/>
    <w:uiPriority w:val="0"/>
  </w:style>
  <w:style w:type="character" w:customStyle="1" w:styleId="194">
    <w:name w:val="正文文本缩进 2 字符"/>
    <w:basedOn w:val="20"/>
    <w:link w:val="10"/>
    <w:semiHidden/>
    <w:qFormat/>
    <w:uiPriority w:val="99"/>
    <w:rPr>
      <w:rFonts w:ascii="Times New Roman" w:hAnsi="Times New Roman" w:eastAsia="宋体" w:cs="Times New Roman"/>
      <w:szCs w:val="24"/>
    </w:rPr>
  </w:style>
  <w:style w:type="character" w:customStyle="1" w:styleId="195">
    <w:name w:val="HTML 预设格式 字符"/>
    <w:basedOn w:val="20"/>
    <w:link w:val="16"/>
    <w:qFormat/>
    <w:uiPriority w:val="0"/>
    <w:rPr>
      <w:rFonts w:ascii="黑体" w:hAnsi="Courier New" w:eastAsia="黑体" w:cs="Courier New"/>
      <w:color w:val="000000"/>
      <w:kern w:val="0"/>
      <w:sz w:val="20"/>
      <w:szCs w:val="20"/>
    </w:rPr>
  </w:style>
  <w:style w:type="character" w:customStyle="1" w:styleId="196">
    <w:name w:val="rowtit"/>
    <w:basedOn w:val="20"/>
    <w:qFormat/>
    <w:uiPriority w:val="0"/>
  </w:style>
  <w:style w:type="character" w:customStyle="1" w:styleId="197">
    <w:name w:val="abstract-text"/>
    <w:basedOn w:val="20"/>
    <w:qFormat/>
    <w:uiPriority w:val="0"/>
  </w:style>
  <w:style w:type="paragraph" w:customStyle="1" w:styleId="198">
    <w:name w:val="keywords"/>
    <w:basedOn w:val="1"/>
    <w:qFormat/>
    <w:uiPriority w:val="0"/>
    <w:pPr>
      <w:widowControl/>
      <w:spacing w:before="100" w:beforeAutospacing="1" w:after="100" w:afterAutospacing="1"/>
      <w:jc w:val="left"/>
    </w:pPr>
    <w:rPr>
      <w:rFonts w:ascii="宋体" w:hAnsi="宋体" w:cs="宋体"/>
      <w:kern w:val="0"/>
      <w:sz w:val="24"/>
    </w:rPr>
  </w:style>
  <w:style w:type="paragraph" w:customStyle="1" w:styleId="199">
    <w:name w:val="code-formula"/>
    <w:basedOn w:val="1"/>
    <w:qFormat/>
    <w:uiPriority w:val="0"/>
    <w:pPr>
      <w:widowControl/>
      <w:spacing w:before="100" w:beforeAutospacing="1" w:after="100" w:afterAutospacing="1"/>
      <w:jc w:val="left"/>
    </w:pPr>
    <w:rPr>
      <w:rFonts w:ascii="宋体" w:hAnsi="宋体" w:cs="宋体"/>
      <w:kern w:val="0"/>
      <w:sz w:val="24"/>
    </w:rPr>
  </w:style>
  <w:style w:type="character" w:customStyle="1" w:styleId="200">
    <w:name w:val="未处理的提及2"/>
    <w:basedOn w:val="20"/>
    <w:semiHidden/>
    <w:unhideWhenUsed/>
    <w:qFormat/>
    <w:uiPriority w:val="99"/>
    <w:rPr>
      <w:color w:val="605E5C"/>
      <w:shd w:val="clear" w:color="auto" w:fill="E1DFDD"/>
    </w:rPr>
  </w:style>
  <w:style w:type="paragraph" w:customStyle="1" w:styleId="201">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20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03">
    <w:name w:val="Unresolved Mention"/>
    <w:basedOn w:val="2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customXml" Target="../customXml/item2.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datastoreItem>
</file>

<file path=docProps/app.xml><?xml version="1.0" encoding="utf-8"?>
<Properties xmlns="http://schemas.openxmlformats.org/officeDocument/2006/extended-properties" xmlns:vt="http://schemas.openxmlformats.org/officeDocument/2006/docPropsVTypes">
  <Template>Normal.dotm</Template>
  <Company>Win10NeT.COM</Company>
  <Pages>81</Pages>
  <Words>24839</Words>
  <Characters>27811</Characters>
  <Lines>569</Lines>
  <Paragraphs>160</Paragraphs>
  <TotalTime>18</TotalTime>
  <ScaleCrop>false</ScaleCrop>
  <LinksUpToDate>false</LinksUpToDate>
  <CharactersWithSpaces>28213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2026-05-28T08:56:00Z</dcterms:created>
  <dc:creator>Administrator</dc:creator>
  <cp:lastModifiedBy>林佳辉</cp:lastModifiedBy>
  <cp:lastPrinted>2020-12-15T10:48:00Z</cp:lastPrinted>
  <dcterms:modified xsi:type="dcterms:W3CDTF">2026-06-01T11:51:43Z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F1B8D64906024EF9A7D66F4013F7BBD4_13</vt:lpwstr>
  </property>
  <property fmtid="{D5CDD505-2E9C-101B-9397-08002B2CF9AE}" pid="4" name="KSOTemplateDocerSaveRecord">
    <vt:lpwstr>eyJoZGlkIjoiNWQwMGEzOTExNjQwMmY0MWUwODUxZDI3YTU0NzA5M2MiLCJ1c2VySWQiOiI4NDc3NDgzOTcifQ==</vt:lpwstr>
  </property>
</Properties>
</file>