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C9C84">
      <w:pPr>
        <w:spacing w:line="360" w:lineRule="auto"/>
        <w:ind w:left="-94" w:leftChars="-45" w:right="-334" w:rightChars="-159"/>
        <w:jc w:val="left"/>
        <w:rPr>
          <w:b/>
          <w:bCs/>
          <w:sz w:val="32"/>
          <w:szCs w:val="32"/>
        </w:rPr>
      </w:pPr>
      <w:bookmarkStart w:id="0" w:name="_Hlk21261980"/>
      <w:bookmarkEnd w:id="0"/>
      <w:r>
        <w:rPr>
          <w:b/>
          <w:bCs/>
          <w:sz w:val="32"/>
          <w:szCs w:val="32"/>
        </w:rPr>
        <mc:AlternateContent>
          <mc:Choice Requires="wps">
            <w:drawing>
              <wp:anchor distT="0" distB="0" distL="114300" distR="114300" simplePos="0" relativeHeight="251662336" behindDoc="0" locked="0" layoutInCell="1" allowOverlap="1">
                <wp:simplePos x="0" y="0"/>
                <wp:positionH relativeFrom="column">
                  <wp:posOffset>-113030</wp:posOffset>
                </wp:positionH>
                <wp:positionV relativeFrom="paragraph">
                  <wp:posOffset>1882775</wp:posOffset>
                </wp:positionV>
                <wp:extent cx="6212205" cy="0"/>
                <wp:effectExtent l="0" t="19050" r="55880" b="38100"/>
                <wp:wrapNone/>
                <wp:docPr id="24" name="直线 5"/>
                <wp:cNvGraphicFramePr/>
                <a:graphic xmlns:a="http://schemas.openxmlformats.org/drawingml/2006/main">
                  <a:graphicData uri="http://schemas.microsoft.com/office/word/2010/wordprocessingShape">
                    <wps:wsp>
                      <wps:cNvCnPr>
                        <a:cxnSpLocks noChangeShapeType="1"/>
                      </wps:cNvCnPr>
                      <wps:spPr bwMode="auto">
                        <a:xfrm>
                          <a:off x="0" y="0"/>
                          <a:ext cx="6212020" cy="0"/>
                        </a:xfrm>
                        <a:prstGeom prst="line">
                          <a:avLst/>
                        </a:prstGeom>
                        <a:noFill/>
                        <a:ln w="57150" cmpd="thickThin">
                          <a:solidFill>
                            <a:srgbClr val="000000"/>
                          </a:solidFill>
                          <a:round/>
                        </a:ln>
                      </wps:spPr>
                      <wps:bodyPr/>
                    </wps:wsp>
                  </a:graphicData>
                </a:graphic>
              </wp:anchor>
            </w:drawing>
          </mc:Choice>
          <mc:Fallback>
            <w:pict>
              <v:line id="直线 5" o:spid="_x0000_s1026" o:spt="20" style="position:absolute;left:0pt;margin-left:-8.9pt;margin-top:148.25pt;height:0pt;width:489.15pt;z-index:251662336;mso-width-relative:page;mso-height-relative:page;" filled="f" stroked="t" coordsize="21600,21600" o:gfxdata="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M2Jj/9YAAAALAQAA&#10;DwAAAAAAAAABACAAAAAiAAAAZHJzL2Rvd25yZXYueG1sUEsBAhQAFAAAAAgAh07iQBx5xE3iAQAA&#10;tAMAAA4AAAAAAAAAAQAgAAAAJQEAAGRycy9lMm9Eb2MueG1sUEsFBgAAAAAGAAYAWQEAAHkFAAAA&#10;AA==&#10;">
                <v:fill on="f" focussize="0,0"/>
                <v:stroke weight="4.5pt" color="#000000" linestyle="thickThin" joinstyle="round"/>
                <v:imagedata o:title=""/>
                <o:lock v:ext="edit" aspectratio="f"/>
              </v:line>
            </w:pict>
          </mc:Fallback>
        </mc:AlternateContent>
      </w:r>
      <w:r>
        <w:rPr>
          <w:b/>
          <w:bCs/>
          <w:sz w:val="32"/>
          <w:szCs w:val="32"/>
        </w:rPr>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1257300" cy="1257300"/>
            <wp:effectExtent l="0" t="0" r="0" b="0"/>
            <wp:wrapTopAndBottom/>
            <wp:docPr id="2" name="图片 2" descr="徽标（白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徽标（白边）"/>
                    <pic:cNvPicPr>
                      <a:picLocks noChangeAspect="1" noChangeArrowheads="1"/>
                    </pic:cNvPicPr>
                  </pic:nvPicPr>
                  <pic:blipFill>
                    <a:blip r:embed="rId5" cstate="print"/>
                    <a:srcRect/>
                    <a:stretch>
                      <a:fillRect/>
                    </a:stretch>
                  </pic:blipFill>
                  <pic:spPr>
                    <a:xfrm>
                      <a:off x="0" y="0"/>
                      <a:ext cx="1257300" cy="1257300"/>
                    </a:xfrm>
                    <a:prstGeom prst="rect">
                      <a:avLst/>
                    </a:prstGeom>
                    <a:noFill/>
                    <a:ln w="9525">
                      <a:noFill/>
                      <a:miter lim="800000"/>
                      <a:headEnd/>
                      <a:tailEnd/>
                    </a:ln>
                  </pic:spPr>
                </pic:pic>
              </a:graphicData>
            </a:graphic>
          </wp:anchor>
        </w:drawing>
      </w:r>
      <w:r>
        <w:rPr>
          <w:b/>
          <w:bCs/>
          <w:sz w:val="32"/>
          <w:szCs w:val="32"/>
        </w:rPr>
        <w:drawing>
          <wp:anchor distT="0" distB="0" distL="114300" distR="114300" simplePos="0" relativeHeight="251660288" behindDoc="0" locked="0" layoutInCell="1" allowOverlap="1">
            <wp:simplePos x="0" y="0"/>
            <wp:positionH relativeFrom="column">
              <wp:posOffset>1714500</wp:posOffset>
            </wp:positionH>
            <wp:positionV relativeFrom="paragraph">
              <wp:posOffset>693420</wp:posOffset>
            </wp:positionV>
            <wp:extent cx="3200400" cy="805180"/>
            <wp:effectExtent l="0" t="0" r="0" b="0"/>
            <wp:wrapTopAndBottom/>
            <wp:docPr id="3" name="图片 3" descr="信息简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信息简报"/>
                    <pic:cNvPicPr>
                      <a:picLocks noChangeAspect="1" noChangeArrowheads="1"/>
                    </pic:cNvPicPr>
                  </pic:nvPicPr>
                  <pic:blipFill>
                    <a:blip r:embed="rId6" cstate="print"/>
                    <a:srcRect l="11453" t="15935" r="17537" b="12360"/>
                    <a:stretch>
                      <a:fillRect/>
                    </a:stretch>
                  </pic:blipFill>
                  <pic:spPr>
                    <a:xfrm>
                      <a:off x="0" y="0"/>
                      <a:ext cx="3200400" cy="805180"/>
                    </a:xfrm>
                    <a:prstGeom prst="rect">
                      <a:avLst/>
                    </a:prstGeom>
                    <a:noFill/>
                    <a:ln w="9525">
                      <a:noFill/>
                      <a:miter lim="800000"/>
                      <a:headEnd/>
                      <a:tailEnd/>
                    </a:ln>
                  </pic:spPr>
                </pic:pic>
              </a:graphicData>
            </a:graphic>
          </wp:anchor>
        </w:drawing>
      </w:r>
      <w:r>
        <w:rPr>
          <w:b/>
          <w:bCs/>
          <w:sz w:val="32"/>
          <w:szCs w:val="32"/>
        </w:rPr>
        <w:drawing>
          <wp:anchor distT="0" distB="0" distL="114300" distR="114300" simplePos="0" relativeHeight="251661312" behindDoc="0" locked="0" layoutInCell="1" allowOverlap="1">
            <wp:simplePos x="0" y="0"/>
            <wp:positionH relativeFrom="column">
              <wp:posOffset>914400</wp:posOffset>
            </wp:positionH>
            <wp:positionV relativeFrom="paragraph">
              <wp:posOffset>0</wp:posOffset>
            </wp:positionV>
            <wp:extent cx="5029200" cy="783590"/>
            <wp:effectExtent l="0" t="0" r="0" b="0"/>
            <wp:wrapNone/>
            <wp:docPr id="4" name="图片 4" descr="福建省水产饲料研究会 - 刘中一题—红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福建省水产饲料研究会 - 刘中一题—红色"/>
                    <pic:cNvPicPr>
                      <a:picLocks noChangeAspect="1" noChangeArrowheads="1"/>
                    </pic:cNvPicPr>
                  </pic:nvPicPr>
                  <pic:blipFill>
                    <a:blip r:embed="rId7" cstate="print"/>
                    <a:srcRect/>
                    <a:stretch>
                      <a:fillRect/>
                    </a:stretch>
                  </pic:blipFill>
                  <pic:spPr>
                    <a:xfrm>
                      <a:off x="0" y="0"/>
                      <a:ext cx="5029200" cy="783590"/>
                    </a:xfrm>
                    <a:prstGeom prst="rect">
                      <a:avLst/>
                    </a:prstGeom>
                    <a:noFill/>
                    <a:ln w="9525">
                      <a:noFill/>
                      <a:miter lim="800000"/>
                      <a:headEnd/>
                      <a:tailEnd/>
                    </a:ln>
                  </pic:spPr>
                </pic:pic>
              </a:graphicData>
            </a:graphic>
          </wp:anchor>
        </w:drawing>
      </w:r>
      <w:r>
        <w:rPr>
          <w:b/>
          <w:bCs/>
          <w:sz w:val="32"/>
          <w:szCs w:val="32"/>
        </w:rPr>
        <w:t>51350000B20881845C</w:t>
      </w:r>
      <w:r>
        <w:rPr>
          <w:rFonts w:hint="eastAsia"/>
          <w:b/>
          <w:bCs/>
          <w:sz w:val="32"/>
          <w:szCs w:val="32"/>
        </w:rPr>
        <w:t xml:space="preserve">   </w:t>
      </w:r>
      <w:r>
        <w:rPr>
          <w:b/>
          <w:bCs/>
          <w:sz w:val="32"/>
          <w:szCs w:val="32"/>
        </w:rPr>
        <w:t>第</w:t>
      </w:r>
      <w:r>
        <w:rPr>
          <w:rFonts w:hint="eastAsia"/>
          <w:b/>
          <w:bCs/>
          <w:sz w:val="32"/>
          <w:szCs w:val="32"/>
        </w:rPr>
        <w:t>18</w:t>
      </w:r>
      <w:r>
        <w:rPr>
          <w:b/>
          <w:bCs/>
          <w:sz w:val="32"/>
          <w:szCs w:val="32"/>
        </w:rPr>
        <w:t>期  (总第</w:t>
      </w:r>
      <w:r>
        <w:rPr>
          <w:rFonts w:hint="eastAsia"/>
          <w:b/>
          <w:bCs/>
          <w:sz w:val="32"/>
          <w:szCs w:val="32"/>
        </w:rPr>
        <w:t>463</w:t>
      </w:r>
      <w:r>
        <w:rPr>
          <w:b/>
          <w:bCs/>
          <w:sz w:val="32"/>
          <w:szCs w:val="32"/>
        </w:rPr>
        <w:t>期)</w:t>
      </w:r>
      <w:r>
        <w:rPr>
          <w:rFonts w:hint="eastAsia"/>
          <w:b/>
          <w:bCs/>
          <w:sz w:val="32"/>
          <w:szCs w:val="32"/>
        </w:rPr>
        <w:t xml:space="preserve">   </w:t>
      </w:r>
      <w:r>
        <w:rPr>
          <w:b/>
          <w:bCs/>
          <w:sz w:val="32"/>
          <w:szCs w:val="32"/>
        </w:rPr>
        <w:t>202</w:t>
      </w:r>
      <w:r>
        <w:rPr>
          <w:rFonts w:hint="eastAsia"/>
          <w:b/>
          <w:bCs/>
          <w:sz w:val="32"/>
          <w:szCs w:val="32"/>
        </w:rPr>
        <w:t>6</w:t>
      </w:r>
      <w:r>
        <w:rPr>
          <w:b/>
          <w:bCs/>
          <w:sz w:val="32"/>
          <w:szCs w:val="32"/>
        </w:rPr>
        <w:t>年</w:t>
      </w:r>
      <w:r>
        <w:rPr>
          <w:rFonts w:hint="eastAsia"/>
          <w:b/>
          <w:bCs/>
          <w:sz w:val="32"/>
          <w:szCs w:val="32"/>
        </w:rPr>
        <w:t>9</w:t>
      </w:r>
      <w:r>
        <w:rPr>
          <w:b/>
          <w:bCs/>
          <w:sz w:val="32"/>
          <w:szCs w:val="32"/>
        </w:rPr>
        <w:t>月</w:t>
      </w:r>
      <w:r>
        <w:rPr>
          <w:rFonts w:hint="eastAsia"/>
          <w:b/>
          <w:bCs/>
          <w:sz w:val="32"/>
          <w:szCs w:val="32"/>
        </w:rPr>
        <w:t>2</w:t>
      </w:r>
      <w:r>
        <w:rPr>
          <w:rFonts w:hint="eastAsia"/>
          <w:b/>
          <w:bCs/>
          <w:sz w:val="32"/>
          <w:szCs w:val="32"/>
          <w:lang w:val="en-US" w:eastAsia="zh-CN"/>
        </w:rPr>
        <w:t>9</w:t>
      </w:r>
      <w:r>
        <w:rPr>
          <w:b/>
          <w:bCs/>
          <w:sz w:val="32"/>
          <w:szCs w:val="32"/>
        </w:rPr>
        <w:t>日</w:t>
      </w:r>
    </w:p>
    <w:sdt>
      <w:sdtPr>
        <w:rPr>
          <w:rFonts w:ascii="Times New Roman" w:hAnsi="Times New Roman" w:eastAsia="宋体" w:cs="Times New Roman"/>
          <w:color w:val="auto"/>
          <w:kern w:val="2"/>
          <w:sz w:val="21"/>
          <w:szCs w:val="24"/>
          <w:lang w:val="zh-CN"/>
        </w:rPr>
        <w:id w:val="336666750"/>
        <w:docPartObj>
          <w:docPartGallery w:val="Table of Contents"/>
          <w:docPartUnique/>
        </w:docPartObj>
      </w:sdtPr>
      <w:sdtEndPr>
        <w:rPr>
          <w:rFonts w:ascii="Times New Roman" w:hAnsi="Times New Roman" w:eastAsia="宋体" w:cs="Times New Roman"/>
          <w:color w:val="auto"/>
          <w:kern w:val="2"/>
          <w:sz w:val="21"/>
          <w:szCs w:val="24"/>
          <w:lang w:val="zh-CN"/>
        </w:rPr>
      </w:sdtEndPr>
      <w:sdtContent>
        <w:p w14:paraId="68DD6BFC">
          <w:pPr>
            <w:pStyle w:val="203"/>
            <w:jc w:val="center"/>
            <w:rPr>
              <w:rFonts w:hint="eastAsia" w:ascii="黑体" w:hAnsi="黑体" w:eastAsia="黑体"/>
              <w:color w:val="auto"/>
            </w:rPr>
          </w:pPr>
          <w:bookmarkStart w:id="1" w:name="_Hlk95645129"/>
          <w:r>
            <w:rPr>
              <w:rFonts w:ascii="黑体" w:hAnsi="黑体" w:eastAsia="黑体"/>
              <w:color w:val="auto"/>
              <w:lang w:val="zh-CN"/>
            </w:rPr>
            <w:t>目录</w:t>
          </w:r>
        </w:p>
        <w:p w14:paraId="0B71E220">
          <w:pPr>
            <w:pStyle w:val="15"/>
            <w:tabs>
              <w:tab w:val="right" w:leader="dot" w:pos="9402"/>
            </w:tabs>
            <w:rPr>
              <w:rFonts w:hint="eastAsia" w:asciiTheme="minorHAnsi" w:hAnsiTheme="minorHAnsi" w:eastAsiaTheme="minorEastAsia" w:cstheme="minorBidi"/>
              <w:sz w:val="22"/>
              <w14:ligatures w14:val="standardContextual"/>
            </w:rPr>
          </w:pPr>
          <w:r>
            <w:fldChar w:fldCharType="begin"/>
          </w:r>
          <w:r>
            <w:instrText xml:space="preserve"> TOC \o "1-3" \h \z \u </w:instrText>
          </w:r>
          <w:r>
            <w:fldChar w:fldCharType="separate"/>
          </w:r>
          <w:r>
            <w:fldChar w:fldCharType="begin"/>
          </w:r>
          <w:r>
            <w:instrText xml:space="preserve"> HYPERLINK \l "_Toc241496771" </w:instrText>
          </w:r>
          <w:r>
            <w:fldChar w:fldCharType="separate"/>
          </w:r>
          <w:r>
            <w:rPr>
              <w:rStyle w:val="25"/>
              <w:rFonts w:hint="eastAsia" w:eastAsia="黑体"/>
              <w:b/>
              <w:bCs/>
              <w:bdr w:val="single" w:color="auto" w:sz="4" w:space="0"/>
            </w:rPr>
            <w:t>重要资讯</w:t>
          </w:r>
          <w:r>
            <w:rPr>
              <w:rFonts w:hint="eastAsia"/>
            </w:rPr>
            <w:tab/>
          </w:r>
          <w:r>
            <w:rPr>
              <w:rFonts w:hint="eastAsia"/>
            </w:rPr>
            <w:fldChar w:fldCharType="begin"/>
          </w:r>
          <w:r>
            <w:rPr>
              <w:rFonts w:hint="eastAsia"/>
            </w:rPr>
            <w:instrText xml:space="preserve"> </w:instrText>
          </w:r>
          <w:r>
            <w:instrText xml:space="preserve">PAGEREF _Toc241496771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2AFCAD42">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"_Toc241496772" </w:instrText>
          </w:r>
          <w:r>
            <w:fldChar w:fldCharType="separate"/>
          </w:r>
          <w:r>
            <w:rPr>
              <w:rStyle w:val="25"/>
              <w:rFonts w:hint="eastAsia"/>
              <w:b/>
              <w:bCs/>
            </w:rPr>
            <w:t>农业农村部召开全国海洋渔船安全生产监管工作视频会议</w:t>
          </w:r>
          <w:r>
            <w:rPr>
              <w:rFonts w:hint="eastAsia"/>
            </w:rPr>
            <w:tab/>
          </w:r>
          <w:r>
            <w:rPr>
              <w:rFonts w:hint="eastAsia"/>
            </w:rPr>
            <w:fldChar w:fldCharType="begin"/>
          </w:r>
          <w:r>
            <w:rPr>
              <w:rFonts w:hint="eastAsia"/>
            </w:rPr>
            <w:instrText xml:space="preserve"> </w:instrText>
          </w:r>
          <w:r>
            <w:instrText xml:space="preserve">PAGEREF _Toc241496772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3A8F8954">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"_Toc241496773" </w:instrText>
          </w:r>
          <w:r>
            <w:fldChar w:fldCharType="separate"/>
          </w:r>
          <w:r>
            <w:rPr>
              <w:rStyle w:val="25"/>
              <w:rFonts w:hint="eastAsia"/>
              <w:b/>
              <w:bCs/>
            </w:rPr>
            <w:t>我国四大海域全面开渔</w:t>
          </w:r>
          <w:r>
            <w:rPr>
              <w:rFonts w:hint="eastAsia"/>
            </w:rPr>
            <w:tab/>
          </w:r>
          <w:r>
            <w:rPr>
              <w:rFonts w:hint="eastAsia"/>
            </w:rPr>
            <w:fldChar w:fldCharType="begin"/>
          </w:r>
          <w:r>
            <w:rPr>
              <w:rFonts w:hint="eastAsia"/>
            </w:rPr>
            <w:instrText xml:space="preserve"> </w:instrText>
          </w:r>
          <w:r>
            <w:instrText xml:space="preserve">PAGEREF _Toc241496773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2F9438E1">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"_Toc241496774" </w:instrText>
          </w:r>
          <w:r>
            <w:fldChar w:fldCharType="separate"/>
          </w:r>
          <w:r>
            <w:rPr>
              <w:rStyle w:val="25"/>
              <w:rFonts w:hint="eastAsia"/>
              <w:b/>
              <w:bCs/>
            </w:rPr>
            <w:t>千帆竞发逐渔汛——东海全面开渔浙江象山现场见闻</w:t>
          </w:r>
          <w:r>
            <w:rPr>
              <w:rFonts w:hint="eastAsia"/>
            </w:rPr>
            <w:tab/>
          </w:r>
          <w:r>
            <w:rPr>
              <w:rFonts w:hint="eastAsia"/>
            </w:rPr>
            <w:fldChar w:fldCharType="begin"/>
          </w:r>
          <w:r>
            <w:rPr>
              <w:rFonts w:hint="eastAsia"/>
            </w:rPr>
            <w:instrText xml:space="preserve"> </w:instrText>
          </w:r>
          <w:r>
            <w:instrText xml:space="preserve">PAGEREF _Toc241496774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456CFA6">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"_Toc241496775" </w:instrText>
          </w:r>
          <w:r>
            <w:fldChar w:fldCharType="separate"/>
          </w:r>
          <w:r>
            <w:rPr>
              <w:rStyle w:val="25"/>
              <w:rFonts w:hint="eastAsia"/>
              <w:b/>
              <w:bCs/>
            </w:rPr>
            <w:t>1—8月水产品产量4305.09万吨</w:t>
          </w:r>
          <w:r>
            <w:rPr>
              <w:rFonts w:hint="eastAsia"/>
            </w:rPr>
            <w:tab/>
          </w:r>
          <w:r>
            <w:rPr>
              <w:rFonts w:hint="eastAsia"/>
            </w:rPr>
            <w:fldChar w:fldCharType="begin"/>
          </w:r>
          <w:r>
            <w:rPr>
              <w:rFonts w:hint="eastAsia"/>
            </w:rPr>
            <w:instrText xml:space="preserve"> </w:instrText>
          </w:r>
          <w:r>
            <w:instrText xml:space="preserve">PAGEREF _Toc241496775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7169112E">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"_Toc241496776" </w:instrText>
          </w:r>
          <w:r>
            <w:fldChar w:fldCharType="separate"/>
          </w:r>
          <w:r>
            <w:rPr>
              <w:rStyle w:val="25"/>
              <w:rFonts w:hint="eastAsia"/>
              <w:b/>
              <w:bCs/>
            </w:rPr>
            <w:t>农业农村部渔业渔政管理局负责人就《全国渔业发展 “十五五” 规划》答记者问</w:t>
          </w:r>
          <w:r>
            <w:rPr>
              <w:rFonts w:hint="eastAsia"/>
            </w:rPr>
            <w:tab/>
          </w:r>
          <w:r>
            <w:rPr>
              <w:rFonts w:hint="eastAsia"/>
            </w:rPr>
            <w:fldChar w:fldCharType="begin"/>
          </w:r>
          <w:r>
            <w:rPr>
              <w:rFonts w:hint="eastAsia"/>
            </w:rPr>
            <w:instrText xml:space="preserve"> </w:instrText>
          </w:r>
          <w:r>
            <w:instrText xml:space="preserve">PAGEREF _Toc241496776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66C517E8">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"_Toc241496777" </w:instrText>
          </w:r>
          <w:r>
            <w:fldChar w:fldCharType="separate"/>
          </w:r>
          <w:r>
            <w:rPr>
              <w:rStyle w:val="25"/>
              <w:rFonts w:hint="eastAsia"/>
              <w:b/>
              <w:bCs/>
            </w:rPr>
            <w:t>2026年10月全国水产养殖病害预测预报</w:t>
          </w:r>
          <w:r>
            <w:rPr>
              <w:rFonts w:hint="eastAsia"/>
            </w:rPr>
            <w:tab/>
          </w:r>
          <w:r>
            <w:rPr>
              <w:rFonts w:hint="eastAsia"/>
            </w:rPr>
            <w:fldChar w:fldCharType="begin"/>
          </w:r>
          <w:r>
            <w:rPr>
              <w:rFonts w:hint="eastAsia"/>
            </w:rPr>
            <w:instrText xml:space="preserve"> </w:instrText>
          </w:r>
          <w:r>
            <w:instrText xml:space="preserve">PAGEREF _Toc241496777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32330569">
          <w:pPr>
            <w:pStyle w:val="15"/>
            <w:tabs>
              <w:tab w:val="right" w:leader="dot" w:pos="9402"/>
            </w:tabs>
            <w:rPr>
              <w:rFonts w:hint="eastAsia" w:asciiTheme="minorHAnsi" w:hAnsiTheme="minorHAnsi" w:eastAsiaTheme="minorEastAsia" w:cstheme="minorBidi"/>
              <w:sz w:val="22"/>
              <w14:ligatures w14:val="standardContextual"/>
            </w:rPr>
          </w:pPr>
          <w:r>
            <w:fldChar w:fldCharType="begin"/>
          </w:r>
          <w:r>
            <w:instrText xml:space="preserve"> HYPERLINK \l "_Toc241496778" </w:instrText>
          </w:r>
          <w:r>
            <w:fldChar w:fldCharType="separate"/>
          </w:r>
          <w:r>
            <w:rPr>
              <w:rStyle w:val="25"/>
              <w:rFonts w:hint="eastAsia" w:eastAsia="黑体"/>
              <w:b/>
              <w:bCs/>
              <w:bdr w:val="single" w:color="auto" w:sz="4" w:space="0"/>
            </w:rPr>
            <w:t>行业资讯</w:t>
          </w:r>
          <w:r>
            <w:rPr>
              <w:rFonts w:hint="eastAsia"/>
            </w:rPr>
            <w:tab/>
          </w:r>
          <w:r>
            <w:rPr>
              <w:rFonts w:hint="eastAsia"/>
            </w:rPr>
            <w:fldChar w:fldCharType="begin"/>
          </w:r>
          <w:r>
            <w:rPr>
              <w:rFonts w:hint="eastAsia"/>
            </w:rPr>
            <w:instrText xml:space="preserve"> </w:instrText>
          </w:r>
          <w:r>
            <w:instrText xml:space="preserve">PAGEREF _Toc241496778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6A6356B9">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"_Toc241496779" </w:instrText>
          </w:r>
          <w:r>
            <w:fldChar w:fldCharType="separate"/>
          </w:r>
          <w:r>
            <w:rPr>
              <w:rStyle w:val="25"/>
              <w:rFonts w:hint="eastAsia"/>
              <w:b/>
              <w:bCs/>
            </w:rPr>
            <w:t>福建省海洋与渔业局召开海洋经济形势分析专题会</w:t>
          </w:r>
          <w:r>
            <w:rPr>
              <w:rFonts w:hint="eastAsia"/>
            </w:rPr>
            <w:tab/>
          </w:r>
          <w:r>
            <w:rPr>
              <w:rFonts w:hint="eastAsia"/>
            </w:rPr>
            <w:fldChar w:fldCharType="begin"/>
          </w:r>
          <w:r>
            <w:rPr>
              <w:rFonts w:hint="eastAsia"/>
            </w:rPr>
            <w:instrText xml:space="preserve"> </w:instrText>
          </w:r>
          <w:r>
            <w:instrText xml:space="preserve">PAGEREF _Toc241496779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0002DF49">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"_Toc241496780" </w:instrText>
          </w:r>
          <w:r>
            <w:fldChar w:fldCharType="separate"/>
          </w:r>
          <w:r>
            <w:rPr>
              <w:rStyle w:val="25"/>
              <w:rFonts w:hint="eastAsia"/>
              <w:b/>
              <w:bCs/>
            </w:rPr>
            <w:t>福建省海洋与渔业局召开“十五五”海洋与渔业工作专题会</w:t>
          </w:r>
          <w:r>
            <w:rPr>
              <w:rFonts w:hint="eastAsia"/>
            </w:rPr>
            <w:tab/>
          </w:r>
          <w:r>
            <w:rPr>
              <w:rFonts w:hint="eastAsia"/>
            </w:rPr>
            <w:fldChar w:fldCharType="begin"/>
          </w:r>
          <w:r>
            <w:rPr>
              <w:rFonts w:hint="eastAsia"/>
            </w:rPr>
            <w:instrText xml:space="preserve"> </w:instrText>
          </w:r>
          <w:r>
            <w:instrText xml:space="preserve">PAGEREF _Toc241496780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093CB277">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"_Toc241496781" </w:instrText>
          </w:r>
          <w:r>
            <w:fldChar w:fldCharType="separate"/>
          </w:r>
          <w:r>
            <w:rPr>
              <w:rStyle w:val="25"/>
              <w:rFonts w:hint="eastAsia"/>
              <w:b/>
              <w:bCs/>
            </w:rPr>
            <w:t>开渔之后 鱼虾满舱</w:t>
          </w:r>
          <w:r>
            <w:rPr>
              <w:rFonts w:hint="eastAsia"/>
            </w:rPr>
            <w:tab/>
          </w:r>
          <w:r>
            <w:rPr>
              <w:rFonts w:hint="eastAsia"/>
            </w:rPr>
            <w:fldChar w:fldCharType="begin"/>
          </w:r>
          <w:r>
            <w:rPr>
              <w:rFonts w:hint="eastAsia"/>
            </w:rPr>
            <w:instrText xml:space="preserve"> </w:instrText>
          </w:r>
          <w:r>
            <w:instrText xml:space="preserve">PAGEREF _Toc241496781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78972285">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"_Toc241496782" </w:instrText>
          </w:r>
          <w:r>
            <w:fldChar w:fldCharType="separate"/>
          </w:r>
          <w:r>
            <w:rPr>
              <w:rStyle w:val="25"/>
              <w:rFonts w:hint="eastAsia"/>
              <w:b/>
              <w:bCs/>
            </w:rPr>
            <w:t>福建省海洋与渔业系统加强中秋、国庆期间水产品质量安全监管执法工作</w:t>
          </w:r>
          <w:r>
            <w:rPr>
              <w:rFonts w:hint="eastAsia"/>
            </w:rPr>
            <w:tab/>
          </w:r>
          <w:r>
            <w:rPr>
              <w:rFonts w:hint="eastAsia"/>
            </w:rPr>
            <w:fldChar w:fldCharType="begin"/>
          </w:r>
          <w:r>
            <w:rPr>
              <w:rFonts w:hint="eastAsia"/>
            </w:rPr>
            <w:instrText xml:space="preserve"> </w:instrText>
          </w:r>
          <w:r>
            <w:instrText xml:space="preserve">PAGEREF _Toc241496782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59144531">
          <w:pPr>
            <w:pStyle w:val="15"/>
            <w:tabs>
              <w:tab w:val="right" w:leader="dot" w:pos="9402"/>
            </w:tabs>
            <w:rPr>
              <w:rFonts w:hint="eastAsia" w:asciiTheme="minorHAnsi" w:hAnsiTheme="minorHAnsi" w:eastAsiaTheme="minorEastAsia" w:cstheme="minorBidi"/>
              <w:sz w:val="22"/>
              <w14:ligatures w14:val="standardContextual"/>
            </w:rPr>
          </w:pPr>
          <w:r>
            <w:fldChar w:fldCharType="begin"/>
          </w:r>
          <w:r>
            <w:instrText xml:space="preserve"> HYPERLINK \l "_Toc241496783" </w:instrText>
          </w:r>
          <w:r>
            <w:fldChar w:fldCharType="separate"/>
          </w:r>
          <w:r>
            <w:rPr>
              <w:rStyle w:val="25"/>
              <w:rFonts w:hint="eastAsia" w:eastAsia="黑体"/>
              <w:b/>
              <w:bCs/>
              <w:bdr w:val="single" w:color="auto" w:sz="4" w:space="0"/>
            </w:rPr>
            <w:t>研究进展</w:t>
          </w:r>
          <w:r>
            <w:rPr>
              <w:rFonts w:hint="eastAsia"/>
            </w:rPr>
            <w:tab/>
          </w:r>
          <w:r>
            <w:rPr>
              <w:rFonts w:hint="eastAsia"/>
            </w:rPr>
            <w:fldChar w:fldCharType="begin"/>
          </w:r>
          <w:r>
            <w:rPr>
              <w:rFonts w:hint="eastAsia"/>
            </w:rPr>
            <w:instrText xml:space="preserve"> </w:instrText>
          </w:r>
          <w:r>
            <w:instrText xml:space="preserve">PAGEREF _Toc241496783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79AF59DD">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"_Toc241496784" </w:instrText>
          </w:r>
          <w:r>
            <w:fldChar w:fldCharType="separate"/>
          </w:r>
          <w:r>
            <w:rPr>
              <w:rStyle w:val="25"/>
              <w:rFonts w:hint="eastAsia"/>
              <w:b/>
              <w:bCs/>
            </w:rPr>
            <w:t>调控水产动物免疫功能的微藻: 活性成分、作用机制及工程化应用</w:t>
          </w:r>
          <w:r>
            <w:rPr>
              <w:rFonts w:hint="eastAsia"/>
            </w:rPr>
            <w:tab/>
          </w:r>
          <w:r>
            <w:rPr>
              <w:rFonts w:hint="eastAsia"/>
            </w:rPr>
            <w:fldChar w:fldCharType="begin"/>
          </w:r>
          <w:r>
            <w:rPr>
              <w:rFonts w:hint="eastAsia"/>
            </w:rPr>
            <w:instrText xml:space="preserve"> </w:instrText>
          </w:r>
          <w:r>
            <w:instrText xml:space="preserve">PAGEREF _Toc241496784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57177728">
          <w:pPr>
            <w:pStyle w:val="15"/>
            <w:tabs>
              <w:tab w:val="right" w:leader="dot" w:pos="9402"/>
            </w:tabs>
            <w:rPr>
              <w:rFonts w:hint="eastAsia" w:asciiTheme="minorHAnsi" w:hAnsiTheme="minorHAnsi" w:eastAsiaTheme="minorEastAsia" w:cstheme="minorBidi"/>
              <w:sz w:val="22"/>
              <w14:ligatures w14:val="standardContextual"/>
            </w:rPr>
          </w:pPr>
          <w:r>
            <w:fldChar w:fldCharType="begin"/>
          </w:r>
          <w:r>
            <w:instrText xml:space="preserve"> HYPERLINK \l "_Toc241496785" </w:instrText>
          </w:r>
          <w:r>
            <w:fldChar w:fldCharType="separate"/>
          </w:r>
          <w:r>
            <w:rPr>
              <w:rStyle w:val="25"/>
              <w:rFonts w:hint="eastAsia" w:eastAsia="黑体"/>
              <w:b/>
              <w:bCs/>
              <w:bdr w:val="single" w:color="auto" w:sz="4" w:space="0"/>
            </w:rPr>
            <w:t>科学研究</w:t>
          </w:r>
          <w:r>
            <w:rPr>
              <w:rFonts w:hint="eastAsia"/>
            </w:rPr>
            <w:tab/>
          </w:r>
          <w:r>
            <w:rPr>
              <w:rFonts w:hint="eastAsia"/>
            </w:rPr>
            <w:fldChar w:fldCharType="begin"/>
          </w:r>
          <w:r>
            <w:rPr>
              <w:rFonts w:hint="eastAsia"/>
            </w:rPr>
            <w:instrText xml:space="preserve"> </w:instrText>
          </w:r>
          <w:r>
            <w:instrText xml:space="preserve">PAGEREF _Toc241496785 \h</w:instrText>
          </w:r>
          <w:r>
            <w:rPr>
              <w:rFonts w:hint="eastAsia"/>
            </w:rPr>
            <w:instrText xml:space="preserve"> </w:instrText>
          </w:r>
          <w:r>
            <w:rPr>
              <w:rFonts w:hint="eastAsia"/>
            </w:rPr>
            <w:fldChar w:fldCharType="separate"/>
          </w:r>
          <w:r>
            <w:t>29</w:t>
          </w:r>
          <w:r>
            <w:rPr>
              <w:rFonts w:hint="eastAsia"/>
            </w:rPr>
            <w:fldChar w:fldCharType="end"/>
          </w:r>
          <w:r>
            <w:rPr>
              <w:rFonts w:hint="eastAsia"/>
            </w:rPr>
            <w:fldChar w:fldCharType="end"/>
          </w:r>
        </w:p>
        <w:p w14:paraId="3A432DBF">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"_Toc241496786" </w:instrText>
          </w:r>
          <w:r>
            <w:fldChar w:fldCharType="separate"/>
          </w:r>
          <w:r>
            <w:rPr>
              <w:rStyle w:val="25"/>
              <w:rFonts w:hint="eastAsia" w:ascii="黑体" w:hAnsi="黑体" w:cs="黑体"/>
              <w:b/>
              <w:bCs/>
            </w:rPr>
            <w:t>高温下蛋白质水平对凡纳对虾生长、饲料利用与能量代谢的影响</w:t>
          </w:r>
          <w:r>
            <w:rPr>
              <w:rFonts w:hint="eastAsia"/>
            </w:rPr>
            <w:tab/>
          </w:r>
          <w:r>
            <w:rPr>
              <w:rFonts w:hint="eastAsia"/>
            </w:rPr>
            <w:fldChar w:fldCharType="begin"/>
          </w:r>
          <w:r>
            <w:rPr>
              <w:rFonts w:hint="eastAsia"/>
            </w:rPr>
            <w:instrText xml:space="preserve"> </w:instrText>
          </w:r>
          <w:r>
            <w:instrText xml:space="preserve">PAGEREF _Toc241496786 \h</w:instrText>
          </w:r>
          <w:r>
            <w:rPr>
              <w:rFonts w:hint="eastAsia"/>
            </w:rPr>
            <w:instrText xml:space="preserve"> </w:instrText>
          </w:r>
          <w:r>
            <w:rPr>
              <w:rFonts w:hint="eastAsia"/>
            </w:rPr>
            <w:fldChar w:fldCharType="separate"/>
          </w:r>
          <w:r>
            <w:t>29</w:t>
          </w:r>
          <w:r>
            <w:rPr>
              <w:rFonts w:hint="eastAsia"/>
            </w:rPr>
            <w:fldChar w:fldCharType="end"/>
          </w:r>
          <w:r>
            <w:rPr>
              <w:rFonts w:hint="eastAsia"/>
            </w:rPr>
            <w:fldChar w:fldCharType="end"/>
          </w:r>
        </w:p>
        <w:p w14:paraId="3E3EC7A9">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"_Toc241496787" </w:instrText>
          </w:r>
          <w:r>
            <w:fldChar w:fldCharType="separate"/>
          </w:r>
          <w:r>
            <w:rPr>
              <w:rStyle w:val="25"/>
              <w:rFonts w:hint="eastAsia" w:ascii="黑体" w:hAnsi="黑体" w:cs="黑体"/>
              <w:b/>
              <w:bCs/>
            </w:rPr>
            <w:t>三种酶解鸡浆替代鱼粉对乌鳢（</w:t>
          </w:r>
          <w:r>
            <w:rPr>
              <w:rStyle w:val="25"/>
              <w:rFonts w:hint="eastAsia" w:ascii="黑体" w:hAnsi="黑体" w:cs="黑体"/>
              <w:b/>
              <w:bCs/>
              <w:i/>
              <w:iCs/>
            </w:rPr>
            <w:t>Channa argus</w:t>
          </w:r>
          <w:r>
            <w:rPr>
              <w:rStyle w:val="25"/>
              <w:rFonts w:hint="eastAsia" w:ascii="黑体" w:hAnsi="黑体" w:cs="黑体"/>
              <w:b/>
              <w:bCs/>
            </w:rPr>
            <w:t>）生长性能、肠道免疫及抗氧化能力的影响</w:t>
          </w:r>
          <w:r>
            <w:rPr>
              <w:rFonts w:hint="eastAsia"/>
            </w:rPr>
            <w:tab/>
          </w:r>
          <w:r>
            <w:rPr>
              <w:rFonts w:hint="eastAsia"/>
            </w:rPr>
            <w:fldChar w:fldCharType="begin"/>
          </w:r>
          <w:r>
            <w:rPr>
              <w:rFonts w:hint="eastAsia"/>
            </w:rPr>
            <w:instrText xml:space="preserve"> </w:instrText>
          </w:r>
          <w:r>
            <w:instrText xml:space="preserve">PAGEREF _Toc241496787 \h</w:instrText>
          </w:r>
          <w:r>
            <w:rPr>
              <w:rFonts w:hint="eastAsia"/>
            </w:rPr>
            <w:instrText xml:space="preserve"> </w:instrText>
          </w:r>
          <w:r>
            <w:rPr>
              <w:rFonts w:hint="eastAsia"/>
            </w:rPr>
            <w:fldChar w:fldCharType="separate"/>
          </w:r>
          <w:r>
            <w:t>49</w:t>
          </w:r>
          <w:r>
            <w:rPr>
              <w:rFonts w:hint="eastAsia"/>
            </w:rPr>
            <w:fldChar w:fldCharType="end"/>
          </w:r>
          <w:r>
            <w:rPr>
              <w:rFonts w:hint="eastAsia"/>
            </w:rPr>
            <w:fldChar w:fldCharType="end"/>
          </w:r>
        </w:p>
        <w:p w14:paraId="097E7EFB">
          <w:pPr>
            <w:pStyle w:val="15"/>
            <w:tabs>
              <w:tab w:val="right" w:leader="dot" w:pos="9402"/>
            </w:tabs>
            <w:rPr>
              <w:rFonts w:hint="eastAsia" w:asciiTheme="minorHAnsi" w:hAnsiTheme="minorHAnsi" w:eastAsiaTheme="minorEastAsia" w:cstheme="minorBidi"/>
              <w:sz w:val="22"/>
              <w14:ligatures w14:val="standardContextual"/>
            </w:rPr>
          </w:pPr>
          <w:r>
            <w:fldChar w:fldCharType="begin"/>
          </w:r>
          <w:r>
            <w:instrText xml:space="preserve"> HYPERLINK \l "_Toc241496788" </w:instrText>
          </w:r>
          <w:r>
            <w:fldChar w:fldCharType="separate"/>
          </w:r>
          <w:r>
            <w:rPr>
              <w:rStyle w:val="25"/>
              <w:rFonts w:hint="eastAsia" w:eastAsia="黑体"/>
              <w:b/>
              <w:bCs/>
              <w:bdr w:val="single" w:color="auto" w:sz="4" w:space="0"/>
            </w:rPr>
            <w:t>饲料研发</w:t>
          </w:r>
          <w:r>
            <w:rPr>
              <w:rFonts w:hint="eastAsia"/>
            </w:rPr>
            <w:tab/>
          </w:r>
          <w:r>
            <w:rPr>
              <w:rFonts w:hint="eastAsia"/>
            </w:rPr>
            <w:fldChar w:fldCharType="begin"/>
          </w:r>
          <w:r>
            <w:rPr>
              <w:rFonts w:hint="eastAsia"/>
            </w:rPr>
            <w:instrText xml:space="preserve"> </w:instrText>
          </w:r>
          <w:r>
            <w:instrText xml:space="preserve">PAGEREF _Toc241496788 \h</w:instrText>
          </w:r>
          <w:r>
            <w:rPr>
              <w:rFonts w:hint="eastAsia"/>
            </w:rPr>
            <w:instrText xml:space="preserve"> </w:instrText>
          </w:r>
          <w:r>
            <w:rPr>
              <w:rFonts w:hint="eastAsia"/>
            </w:rPr>
            <w:fldChar w:fldCharType="separate"/>
          </w:r>
          <w:r>
            <w:t>59</w:t>
          </w:r>
          <w:r>
            <w:rPr>
              <w:rFonts w:hint="eastAsia"/>
            </w:rPr>
            <w:fldChar w:fldCharType="end"/>
          </w:r>
          <w:r>
            <w:rPr>
              <w:rFonts w:hint="eastAsia"/>
            </w:rPr>
            <w:fldChar w:fldCharType="end"/>
          </w:r>
        </w:p>
        <w:p w14:paraId="54DA1BD4">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"_Toc241496789" </w:instrText>
          </w:r>
          <w:r>
            <w:fldChar w:fldCharType="separate"/>
          </w:r>
          <w:r>
            <w:rPr>
              <w:rStyle w:val="25"/>
              <w:rFonts w:hint="eastAsia"/>
              <w:b/>
              <w:bCs/>
            </w:rPr>
            <w:t>饲料添加不同形式裂殖壶菌对凡纳滨对虾肌肉品质的影响</w:t>
          </w:r>
          <w:r>
            <w:rPr>
              <w:rFonts w:hint="eastAsia"/>
            </w:rPr>
            <w:tab/>
          </w:r>
          <w:r>
            <w:rPr>
              <w:rFonts w:hint="eastAsia"/>
            </w:rPr>
            <w:fldChar w:fldCharType="begin"/>
          </w:r>
          <w:r>
            <w:rPr>
              <w:rFonts w:hint="eastAsia"/>
            </w:rPr>
            <w:instrText xml:space="preserve"> </w:instrText>
          </w:r>
          <w:r>
            <w:instrText xml:space="preserve">PAGEREF _Toc241496789 \h</w:instrText>
          </w:r>
          <w:r>
            <w:rPr>
              <w:rFonts w:hint="eastAsia"/>
            </w:rPr>
            <w:instrText xml:space="preserve"> </w:instrText>
          </w:r>
          <w:r>
            <w:rPr>
              <w:rFonts w:hint="eastAsia"/>
            </w:rPr>
            <w:fldChar w:fldCharType="separate"/>
          </w:r>
          <w:r>
            <w:t>59</w:t>
          </w:r>
          <w:r>
            <w:rPr>
              <w:rFonts w:hint="eastAsia"/>
            </w:rPr>
            <w:fldChar w:fldCharType="end"/>
          </w:r>
          <w:r>
            <w:rPr>
              <w:rFonts w:hint="eastAsia"/>
            </w:rPr>
            <w:fldChar w:fldCharType="end"/>
          </w:r>
        </w:p>
        <w:p w14:paraId="4E6A7A24">
          <w:pPr>
            <w:pStyle w:val="16"/>
            <w:rPr>
              <w:rFonts w:hint="eastAsia" w:asciiTheme="minorHAnsi" w:hAnsiTheme="minorHAnsi" w:eastAsiaTheme="minorEastAsia" w:cstheme="minorBidi"/>
              <w:sz w:val="22"/>
              <w14:ligatures w14:val="standardContextual"/>
            </w:rPr>
          </w:pPr>
          <w:r>
            <w:fldChar w:fldCharType="begin"/>
          </w:r>
          <w:r>
            <w:instrText xml:space="preserve"> HYPERLINK \l "_Toc241496790" </w:instrText>
          </w:r>
          <w:r>
            <w:fldChar w:fldCharType="separate"/>
          </w:r>
          <w:r>
            <w:rPr>
              <w:rStyle w:val="25"/>
              <w:rFonts w:hint="eastAsia"/>
              <w:b/>
              <w:bCs/>
            </w:rPr>
            <w:t>油脂黏度对水产膨化饲料后喷涂漏油率的影响及预测模型构建</w:t>
          </w:r>
          <w:r>
            <w:rPr>
              <w:rFonts w:hint="eastAsia"/>
            </w:rPr>
            <w:tab/>
          </w:r>
          <w:r>
            <w:rPr>
              <w:rFonts w:hint="eastAsia"/>
            </w:rPr>
            <w:fldChar w:fldCharType="begin"/>
          </w:r>
          <w:r>
            <w:rPr>
              <w:rFonts w:hint="eastAsia"/>
            </w:rPr>
            <w:instrText xml:space="preserve"> </w:instrText>
          </w:r>
          <w:r>
            <w:instrText xml:space="preserve">PAGEREF _Toc241496790 \h</w:instrText>
          </w:r>
          <w:r>
            <w:rPr>
              <w:rFonts w:hint="eastAsia"/>
            </w:rPr>
            <w:instrText xml:space="preserve"> </w:instrText>
          </w:r>
          <w:r>
            <w:rPr>
              <w:rFonts w:hint="eastAsia"/>
            </w:rPr>
            <w:fldChar w:fldCharType="separate"/>
          </w:r>
          <w:r>
            <w:t>70</w:t>
          </w:r>
          <w:r>
            <w:rPr>
              <w:rFonts w:hint="eastAsia"/>
            </w:rPr>
            <w:fldChar w:fldCharType="end"/>
          </w:r>
          <w:r>
            <w:rPr>
              <w:rFonts w:hint="eastAsia"/>
            </w:rPr>
            <w:fldChar w:fldCharType="end"/>
          </w:r>
        </w:p>
        <w:p w14:paraId="5410D19C">
          <w:r>
            <w:rPr>
              <w:lang w:val="zh-CN"/>
            </w:rPr>
            <w:fldChar w:fldCharType="end"/>
          </w:r>
        </w:p>
      </w:sdtContent>
    </w:sdt>
    <w:p w14:paraId="24463287">
      <w:pPr>
        <w:spacing w:line="360" w:lineRule="auto"/>
        <w:ind w:left="-94" w:leftChars="-45" w:right="-334" w:rightChars="-159"/>
        <w:jc w:val="left"/>
        <w:rPr>
          <w:rStyle w:val="97"/>
          <w:rFonts w:eastAsia="黑体"/>
          <w:b/>
          <w:bCs/>
          <w:sz w:val="32"/>
          <w:szCs w:val="32"/>
          <w:bdr w:val="single" w:color="auto" w:sz="4" w:space="0"/>
        </w:rPr>
      </w:pPr>
    </w:p>
    <w:p w14:paraId="340D2B40">
      <w:pPr>
        <w:spacing w:line="360" w:lineRule="auto"/>
        <w:ind w:left="-94" w:leftChars="-45" w:right="-334" w:rightChars="-159"/>
        <w:jc w:val="left"/>
        <w:rPr>
          <w:rStyle w:val="97"/>
          <w:rFonts w:eastAsia="黑体"/>
          <w:b/>
          <w:bCs/>
          <w:sz w:val="32"/>
          <w:szCs w:val="32"/>
          <w:bdr w:val="single" w:color="auto" w:sz="4" w:space="0"/>
        </w:rPr>
      </w:pPr>
    </w:p>
    <w:p w14:paraId="784117A7">
      <w:pPr>
        <w:spacing w:line="360" w:lineRule="auto"/>
        <w:ind w:right="-334" w:rightChars="-159"/>
        <w:jc w:val="left"/>
        <w:rPr>
          <w:rStyle w:val="97"/>
          <w:rFonts w:eastAsia="黑体"/>
          <w:b/>
          <w:bCs/>
          <w:sz w:val="32"/>
          <w:szCs w:val="32"/>
          <w:bdr w:val="single" w:color="auto" w:sz="4" w:space="0"/>
        </w:rPr>
      </w:pPr>
    </w:p>
    <w:p w14:paraId="743566F6">
      <w:pPr>
        <w:spacing w:line="360" w:lineRule="auto"/>
        <w:ind w:left="-94" w:leftChars="-45" w:right="-334" w:rightChars="-159"/>
        <w:jc w:val="left"/>
        <w:rPr>
          <w:b/>
          <w:bCs/>
          <w:sz w:val="32"/>
          <w:szCs w:val="32"/>
        </w:rPr>
      </w:pPr>
      <w:r>
        <w:rPr>
          <w:b/>
          <w:bCs/>
          <w:sz w:val="32"/>
          <w:szCs w:val="32"/>
        </w:rPr>
        <mc:AlternateContent>
          <mc:Choice Requires="wps">
            <w:drawing>
              <wp:anchor distT="0" distB="0" distL="114300" distR="114300" simplePos="0" relativeHeight="251666432" behindDoc="0" locked="0" layoutInCell="1" allowOverlap="1">
                <wp:simplePos x="0" y="0"/>
                <wp:positionH relativeFrom="column">
                  <wp:posOffset>-113030</wp:posOffset>
                </wp:positionH>
                <wp:positionV relativeFrom="paragraph">
                  <wp:posOffset>1882775</wp:posOffset>
                </wp:positionV>
                <wp:extent cx="6212205" cy="0"/>
                <wp:effectExtent l="0" t="19050" r="55880" b="38100"/>
                <wp:wrapNone/>
                <wp:docPr id="929722742" name="直线 5"/>
                <wp:cNvGraphicFramePr/>
                <a:graphic xmlns:a="http://schemas.openxmlformats.org/drawingml/2006/main">
                  <a:graphicData uri="http://schemas.microsoft.com/office/word/2010/wordprocessingShape">
                    <wps:wsp>
                      <wps:cNvCnPr>
                        <a:cxnSpLocks noChangeShapeType="1"/>
                      </wps:cNvCnPr>
                      <wps:spPr bwMode="auto">
                        <a:xfrm>
                          <a:off x="0" y="0"/>
                          <a:ext cx="6212020" cy="0"/>
                        </a:xfrm>
                        <a:prstGeom prst="line">
                          <a:avLst/>
                        </a:prstGeom>
                        <a:noFill/>
                        <a:ln w="57150" cmpd="thickThin">
                          <a:solidFill>
                            <a:srgbClr val="000000"/>
                          </a:solidFill>
                          <a:round/>
                        </a:ln>
                      </wps:spPr>
                      <wps:bodyPr/>
                    </wps:wsp>
                  </a:graphicData>
                </a:graphic>
              </wp:anchor>
            </w:drawing>
          </mc:Choice>
          <mc:Fallback>
            <w:pict>
              <v:line id="直线 5" o:spid="_x0000_s1026" o:spt="20" style="position:absolute;left:0pt;margin-left:-8.9pt;margin-top:148.25pt;height:0pt;width:489.15pt;z-index:251666432;mso-width-relative:page;mso-height-relative:page;" filled="f" stroked="t" coordsize="21600,21600" o:gfxdata="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NiY//W&#10;AAAACwEAAA8AAAAAAAAAAQAgAAAAIgAAAGRycy9kb3ducmV2LnhtbFBLAQIUABQAAAAIAIdO4kBy&#10;cuhJ6QEAALsDAAAOAAAAAAAAAAEAIAAAACUBAABkcnMvZTJvRG9jLnhtbFBLBQYAAAAABgAGAFkB&#10;AACABQAAAAA=&#10;">
                <v:fill on="f" focussize="0,0"/>
                <v:stroke weight="4.5pt" color="#000000" linestyle="thickThin" joinstyle="round"/>
                <v:imagedata o:title=""/>
                <o:lock v:ext="edit" aspectratio="f"/>
              </v:line>
            </w:pict>
          </mc:Fallback>
        </mc:AlternateContent>
      </w:r>
      <w:r>
        <w:rPr>
          <w:b/>
          <w:bCs/>
          <w:sz w:val="32"/>
          <w:szCs w:val="32"/>
        </w:rPr>
        <w:drawing>
          <wp:anchor distT="0" distB="0" distL="114300" distR="114300" simplePos="0" relativeHeight="251663360" behindDoc="0" locked="0" layoutInCell="1" allowOverlap="1">
            <wp:simplePos x="0" y="0"/>
            <wp:positionH relativeFrom="column">
              <wp:posOffset>0</wp:posOffset>
            </wp:positionH>
            <wp:positionV relativeFrom="paragraph">
              <wp:posOffset>99060</wp:posOffset>
            </wp:positionV>
            <wp:extent cx="1257300" cy="1257300"/>
            <wp:effectExtent l="0" t="0" r="0" b="0"/>
            <wp:wrapTopAndBottom/>
            <wp:docPr id="1025840065" name="图片 1025840065" descr="徽标（白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840065" name="图片 1025840065" descr="徽标（白边）"/>
                    <pic:cNvPicPr>
                      <a:picLocks noChangeAspect="1" noChangeArrowheads="1"/>
                    </pic:cNvPicPr>
                  </pic:nvPicPr>
                  <pic:blipFill>
                    <a:blip r:embed="rId5" cstate="print"/>
                    <a:srcRect/>
                    <a:stretch>
                      <a:fillRect/>
                    </a:stretch>
                  </pic:blipFill>
                  <pic:spPr>
                    <a:xfrm>
                      <a:off x="0" y="0"/>
                      <a:ext cx="1257300" cy="1257300"/>
                    </a:xfrm>
                    <a:prstGeom prst="rect">
                      <a:avLst/>
                    </a:prstGeom>
                    <a:noFill/>
                    <a:ln w="9525">
                      <a:noFill/>
                      <a:miter lim="800000"/>
                      <a:headEnd/>
                      <a:tailEnd/>
                    </a:ln>
                  </pic:spPr>
                </pic:pic>
              </a:graphicData>
            </a:graphic>
          </wp:anchor>
        </w:drawing>
      </w:r>
      <w:r>
        <w:rPr>
          <w:b/>
          <w:bCs/>
          <w:sz w:val="32"/>
          <w:szCs w:val="32"/>
        </w:rPr>
        <w:drawing>
          <wp:anchor distT="0" distB="0" distL="114300" distR="114300" simplePos="0" relativeHeight="251664384" behindDoc="0" locked="0" layoutInCell="1" allowOverlap="1">
            <wp:simplePos x="0" y="0"/>
            <wp:positionH relativeFrom="column">
              <wp:posOffset>1714500</wp:posOffset>
            </wp:positionH>
            <wp:positionV relativeFrom="paragraph">
              <wp:posOffset>693420</wp:posOffset>
            </wp:positionV>
            <wp:extent cx="3200400" cy="805180"/>
            <wp:effectExtent l="0" t="0" r="0" b="0"/>
            <wp:wrapTopAndBottom/>
            <wp:docPr id="2082212569" name="图片 2082212569" descr="信息简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12569" name="图片 2082212569" descr="信息简报"/>
                    <pic:cNvPicPr>
                      <a:picLocks noChangeAspect="1" noChangeArrowheads="1"/>
                    </pic:cNvPicPr>
                  </pic:nvPicPr>
                  <pic:blipFill>
                    <a:blip r:embed="rId6" cstate="print"/>
                    <a:srcRect l="11453" t="15935" r="17537" b="12360"/>
                    <a:stretch>
                      <a:fillRect/>
                    </a:stretch>
                  </pic:blipFill>
                  <pic:spPr>
                    <a:xfrm>
                      <a:off x="0" y="0"/>
                      <a:ext cx="3200400" cy="805180"/>
                    </a:xfrm>
                    <a:prstGeom prst="rect">
                      <a:avLst/>
                    </a:prstGeom>
                    <a:noFill/>
                    <a:ln w="9525">
                      <a:noFill/>
                      <a:miter lim="800000"/>
                      <a:headEnd/>
                      <a:tailEnd/>
                    </a:ln>
                  </pic:spPr>
                </pic:pic>
              </a:graphicData>
            </a:graphic>
          </wp:anchor>
        </w:drawing>
      </w:r>
      <w:r>
        <w:rPr>
          <w:b/>
          <w:bCs/>
          <w:sz w:val="32"/>
          <w:szCs w:val="32"/>
        </w:rPr>
        <w:drawing>
          <wp:anchor distT="0" distB="0" distL="114300" distR="114300" simplePos="0" relativeHeight="251665408" behindDoc="0" locked="0" layoutInCell="1" allowOverlap="1">
            <wp:simplePos x="0" y="0"/>
            <wp:positionH relativeFrom="column">
              <wp:posOffset>914400</wp:posOffset>
            </wp:positionH>
            <wp:positionV relativeFrom="paragraph">
              <wp:posOffset>0</wp:posOffset>
            </wp:positionV>
            <wp:extent cx="5029200" cy="783590"/>
            <wp:effectExtent l="0" t="0" r="0" b="0"/>
            <wp:wrapNone/>
            <wp:docPr id="962329013" name="图片 962329013" descr="福建省水产饲料研究会 - 刘中一题—红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29013" name="图片 962329013" descr="福建省水产饲料研究会 - 刘中一题—红色"/>
                    <pic:cNvPicPr>
                      <a:picLocks noChangeAspect="1" noChangeArrowheads="1"/>
                    </pic:cNvPicPr>
                  </pic:nvPicPr>
                  <pic:blipFill>
                    <a:blip r:embed="rId7" cstate="print"/>
                    <a:srcRect/>
                    <a:stretch>
                      <a:fillRect/>
                    </a:stretch>
                  </pic:blipFill>
                  <pic:spPr>
                    <a:xfrm>
                      <a:off x="0" y="0"/>
                      <a:ext cx="5029200" cy="783590"/>
                    </a:xfrm>
                    <a:prstGeom prst="rect">
                      <a:avLst/>
                    </a:prstGeom>
                    <a:noFill/>
                    <a:ln w="9525">
                      <a:noFill/>
                      <a:miter lim="800000"/>
                      <a:headEnd/>
                      <a:tailEnd/>
                    </a:ln>
                  </pic:spPr>
                </pic:pic>
              </a:graphicData>
            </a:graphic>
          </wp:anchor>
        </w:drawing>
      </w:r>
      <w:r>
        <w:rPr>
          <w:b/>
          <w:bCs/>
          <w:sz w:val="32"/>
          <w:szCs w:val="32"/>
        </w:rPr>
        <w:t>51350000B20881845C</w:t>
      </w:r>
      <w:r>
        <w:rPr>
          <w:rFonts w:hint="eastAsia"/>
          <w:b/>
          <w:bCs/>
          <w:sz w:val="32"/>
          <w:szCs w:val="32"/>
        </w:rPr>
        <w:t xml:space="preserve">   </w:t>
      </w:r>
      <w:r>
        <w:rPr>
          <w:b/>
          <w:bCs/>
          <w:sz w:val="32"/>
          <w:szCs w:val="32"/>
        </w:rPr>
        <w:t>第</w:t>
      </w:r>
      <w:r>
        <w:rPr>
          <w:rFonts w:hint="eastAsia"/>
          <w:b/>
          <w:bCs/>
          <w:sz w:val="32"/>
          <w:szCs w:val="32"/>
        </w:rPr>
        <w:t>18</w:t>
      </w:r>
      <w:r>
        <w:rPr>
          <w:b/>
          <w:bCs/>
          <w:sz w:val="32"/>
          <w:szCs w:val="32"/>
        </w:rPr>
        <w:t>期  (总第</w:t>
      </w:r>
      <w:r>
        <w:rPr>
          <w:rFonts w:hint="eastAsia"/>
          <w:b/>
          <w:bCs/>
          <w:sz w:val="32"/>
          <w:szCs w:val="32"/>
        </w:rPr>
        <w:t>463</w:t>
      </w:r>
      <w:r>
        <w:rPr>
          <w:b/>
          <w:bCs/>
          <w:sz w:val="32"/>
          <w:szCs w:val="32"/>
        </w:rPr>
        <w:t>期)</w:t>
      </w:r>
      <w:r>
        <w:rPr>
          <w:rFonts w:hint="eastAsia"/>
          <w:b/>
          <w:bCs/>
          <w:sz w:val="32"/>
          <w:szCs w:val="32"/>
        </w:rPr>
        <w:t xml:space="preserve">   </w:t>
      </w:r>
      <w:r>
        <w:rPr>
          <w:b/>
          <w:bCs/>
          <w:sz w:val="32"/>
          <w:szCs w:val="32"/>
        </w:rPr>
        <w:t>202</w:t>
      </w:r>
      <w:r>
        <w:rPr>
          <w:rFonts w:hint="eastAsia"/>
          <w:b/>
          <w:bCs/>
          <w:sz w:val="32"/>
          <w:szCs w:val="32"/>
        </w:rPr>
        <w:t>6</w:t>
      </w:r>
      <w:r>
        <w:rPr>
          <w:b/>
          <w:bCs/>
          <w:sz w:val="32"/>
          <w:szCs w:val="32"/>
        </w:rPr>
        <w:t>年</w:t>
      </w:r>
      <w:r>
        <w:rPr>
          <w:rFonts w:hint="eastAsia"/>
          <w:b/>
          <w:bCs/>
          <w:sz w:val="32"/>
          <w:szCs w:val="32"/>
        </w:rPr>
        <w:t>9</w:t>
      </w:r>
      <w:r>
        <w:rPr>
          <w:b/>
          <w:bCs/>
          <w:sz w:val="32"/>
          <w:szCs w:val="32"/>
        </w:rPr>
        <w:t>月</w:t>
      </w:r>
      <w:r>
        <w:rPr>
          <w:rFonts w:hint="eastAsia"/>
          <w:b/>
          <w:bCs/>
          <w:sz w:val="32"/>
          <w:szCs w:val="32"/>
        </w:rPr>
        <w:t>2</w:t>
      </w:r>
      <w:r>
        <w:rPr>
          <w:rFonts w:hint="eastAsia"/>
          <w:b/>
          <w:bCs/>
          <w:sz w:val="32"/>
          <w:szCs w:val="32"/>
          <w:lang w:val="en-US" w:eastAsia="zh-CN"/>
        </w:rPr>
        <w:t>9</w:t>
      </w:r>
      <w:bookmarkStart w:id="31" w:name="_GoBack"/>
      <w:bookmarkEnd w:id="31"/>
      <w:r>
        <w:rPr>
          <w:b/>
          <w:bCs/>
          <w:sz w:val="32"/>
          <w:szCs w:val="32"/>
        </w:rPr>
        <w:t>日</w:t>
      </w:r>
    </w:p>
    <w:p w14:paraId="3FBBF0F7">
      <w:pPr>
        <w:spacing w:line="276" w:lineRule="auto"/>
        <w:jc w:val="left"/>
        <w:outlineLvl w:val="0"/>
        <w:rPr>
          <w:rStyle w:val="97"/>
          <w:rFonts w:eastAsia="黑体"/>
          <w:b/>
          <w:bCs/>
          <w:sz w:val="32"/>
          <w:szCs w:val="32"/>
          <w:bdr w:val="single" w:color="auto" w:sz="4" w:space="0"/>
        </w:rPr>
      </w:pPr>
      <w:bookmarkStart w:id="2" w:name="_Toc241496771"/>
      <w:r>
        <w:rPr>
          <w:rStyle w:val="97"/>
          <w:rFonts w:hint="eastAsia" w:eastAsia="黑体"/>
          <w:b/>
          <w:bCs/>
          <w:sz w:val="32"/>
          <w:szCs w:val="32"/>
          <w:bdr w:val="single" w:color="auto" w:sz="4" w:space="0"/>
        </w:rPr>
        <w:t>重要资讯</w:t>
      </w:r>
      <w:bookmarkEnd w:id="2"/>
    </w:p>
    <w:p w14:paraId="3BE75296">
      <w:pPr>
        <w:spacing w:line="360" w:lineRule="auto"/>
        <w:jc w:val="center"/>
        <w:outlineLvl w:val="1"/>
        <w:rPr>
          <w:rFonts w:hint="eastAsia" w:eastAsia="黑体"/>
          <w:b/>
          <w:bCs/>
          <w:sz w:val="32"/>
          <w:szCs w:val="32"/>
        </w:rPr>
      </w:pPr>
      <w:bookmarkStart w:id="3" w:name="_Toc241496772"/>
      <w:r>
        <w:rPr>
          <w:rFonts w:hint="eastAsia" w:eastAsia="黑体"/>
          <w:b/>
          <w:bCs/>
          <w:sz w:val="32"/>
          <w:szCs w:val="32"/>
        </w:rPr>
        <w:t>农业农村部召开全国海洋渔船安全生产监管工作视频会议</w:t>
      </w:r>
      <w:bookmarkEnd w:id="3"/>
    </w:p>
    <w:p w14:paraId="6F7F0B0F">
      <w:pPr>
        <w:spacing w:line="360" w:lineRule="auto"/>
        <w:ind w:firstLine="426"/>
        <w:rPr>
          <w:rFonts w:eastAsiaTheme="minorEastAsia"/>
          <w:sz w:val="24"/>
        </w:rPr>
      </w:pPr>
      <w:r>
        <w:rPr>
          <w:rFonts w:eastAsiaTheme="minorEastAsia"/>
          <w:sz w:val="24"/>
        </w:rPr>
        <w:t>9月14日，农业农村部召开全国海洋渔船安全生产监管工作视频会议。会议强调，要深入学习贯彻习近平总书记重要指示批示精神，认真落实党中央、国务院决策部署，全面加强海洋渔船安全生产监管，坚决守牢渔船安全生产底线，切实保障人民群众生命财产安全，扎实推进渔业高质量发展。农业农村部党组书记、部长张柱出席会议并讲话。部党组成员、副部长张治礼主持会议并传达习近平总书记关于山东青岛市北海造船厂一货轮火灾事故的重要指示精神、李强总理批示要求和国务院常务会议部署。</w:t>
      </w:r>
    </w:p>
    <w:p w14:paraId="3AEBC0D1">
      <w:pPr>
        <w:spacing w:line="360" w:lineRule="auto"/>
        <w:ind w:firstLine="426"/>
        <w:rPr>
          <w:rFonts w:eastAsiaTheme="minorEastAsia"/>
          <w:sz w:val="24"/>
        </w:rPr>
      </w:pPr>
      <w:r>
        <w:rPr>
          <w:rFonts w:eastAsiaTheme="minorEastAsia"/>
          <w:sz w:val="24"/>
        </w:rPr>
        <w:t>会议指出，习近平总书记高度重视安全生产工作，多次作出重要指示批示，为抓好渔业安全生产提供了根本遵循。国务院常务会议部署开展海洋渔船安全生产专项整治工作以来，各地各部门强力开展风险隐患排查整改，全面加强执法监管，取得阶段性成效。当前海洋渔业风险隐患交织叠加，安全生产形势依然复杂，必须时刻绷紧安全生产这根弦，切实强化政治担当，牢固树立极限思维、底线思维，严格按照“党政同责、一岗双责、齐抓共管、失职追责”和“三管三必须”的要求，抓紧抓实渔船安全监管各项工作，坚决整治违法违规行为，努力遏制渔船安全事故发生，牢牢掌握渔业安全生产主动权。</w:t>
      </w:r>
    </w:p>
    <w:p w14:paraId="16FBE0B1">
      <w:pPr>
        <w:spacing w:line="360" w:lineRule="auto"/>
        <w:ind w:firstLine="426"/>
        <w:rPr>
          <w:rFonts w:eastAsiaTheme="minorEastAsia"/>
          <w:sz w:val="24"/>
        </w:rPr>
      </w:pPr>
      <w:r>
        <w:rPr>
          <w:rFonts w:eastAsiaTheme="minorEastAsia"/>
          <w:sz w:val="24"/>
        </w:rPr>
        <w:t>会议强调，要聚焦“船、港、人、网”重点领域，扎实有力推进海洋渔船安全生产专项整治。要着力推动老旧渔船更新改造和减船转产，严格渔船设计、建造等监管，严格执行渔船出港检查、大风天气召回等制度，全链条严把渔船安全关。要加快智慧渔港建设，建立健全船籍港地和靠泊港地安全协同监管制度，全面提升渔港监管水平。要压实船东主体责任，提高船长船东船员的安全意识和能力水平，切实加强海洋渔业执法监管，严厉打击违法违规行为。要强化网具和作业方式监管，严查网证不符问题，规范网具装载标准，从源头管住因网致险隐患。</w:t>
      </w:r>
    </w:p>
    <w:p w14:paraId="6C8C17EA">
      <w:pPr>
        <w:spacing w:line="360" w:lineRule="auto"/>
        <w:ind w:firstLine="426"/>
        <w:rPr>
          <w:rFonts w:eastAsiaTheme="minorEastAsia"/>
          <w:sz w:val="24"/>
        </w:rPr>
      </w:pPr>
      <w:r>
        <w:rPr>
          <w:rFonts w:eastAsiaTheme="minorEastAsia"/>
          <w:sz w:val="24"/>
        </w:rPr>
        <w:t>会议要求，要突出重点任务，切实抓好秋冬季海洋渔船安全生产。要全面系统排查风险隐患，加大登船检查力度，提升执法人员监管能力，全力做好问题整改，举一反三完善制度机制。要加强防范救援，抓细防大风、防碰撞、防漏水、防侧翻、防火灾、防中毒等措施，强化应急处置和风险化解。要紧紧抓住安全生产责任制，把属地责任、监管责任、主体责任压实压到位，织密织牢安全防护网，最大限度降低海洋渔船事故风险</w:t>
      </w:r>
      <w:r>
        <w:rPr>
          <w:rFonts w:hint="eastAsia" w:eastAsiaTheme="minorEastAsia"/>
          <w:sz w:val="24"/>
        </w:rPr>
        <w:t>。</w:t>
      </w:r>
    </w:p>
    <w:p w14:paraId="341F9D6E">
      <w:pPr>
        <w:spacing w:line="360" w:lineRule="auto"/>
        <w:ind w:firstLine="426"/>
        <w:jc w:val="right"/>
        <w:rPr>
          <w:rFonts w:eastAsiaTheme="minorEastAsia"/>
          <w:szCs w:val="21"/>
        </w:rPr>
      </w:pPr>
      <w:r>
        <w:rPr>
          <w:rStyle w:val="97"/>
          <w:rFonts w:eastAsiaTheme="minorEastAsia"/>
          <w:szCs w:val="21"/>
        </w:rPr>
        <w:t>转摘自</w:t>
      </w:r>
      <w:r>
        <w:rPr>
          <w:rStyle w:val="97"/>
          <w:rFonts w:hint="eastAsia" w:eastAsiaTheme="minorEastAsia"/>
          <w:szCs w:val="21"/>
        </w:rPr>
        <w:t>农业农村部新闻办公室</w:t>
      </w:r>
    </w:p>
    <w:p w14:paraId="2818087A">
      <w:pPr>
        <w:spacing w:line="360" w:lineRule="auto"/>
        <w:jc w:val="center"/>
        <w:outlineLvl w:val="1"/>
        <w:rPr>
          <w:rFonts w:eastAsia="黑体"/>
          <w:b/>
          <w:bCs/>
          <w:sz w:val="32"/>
          <w:szCs w:val="32"/>
        </w:rPr>
      </w:pPr>
      <w:bookmarkStart w:id="4" w:name="_Toc241496773"/>
      <w:r>
        <w:rPr>
          <w:rFonts w:hint="eastAsia" w:eastAsia="黑体"/>
          <w:b/>
          <w:bCs/>
          <w:sz w:val="32"/>
          <w:szCs w:val="32"/>
        </w:rPr>
        <w:t>我国四大海域全面开渔</w:t>
      </w:r>
      <w:bookmarkEnd w:id="4"/>
    </w:p>
    <w:p w14:paraId="1DA684C9">
      <w:pPr>
        <w:spacing w:line="360" w:lineRule="auto"/>
        <w:ind w:firstLine="426"/>
        <w:rPr>
          <w:rFonts w:eastAsiaTheme="minorEastAsia"/>
          <w:sz w:val="24"/>
        </w:rPr>
      </w:pPr>
      <w:r>
        <w:rPr>
          <w:rFonts w:hint="eastAsia" w:eastAsiaTheme="minorEastAsia"/>
          <w:sz w:val="24"/>
        </w:rPr>
        <w:t>9月16日12时，北纬35度至北纬26度30分之间的黄海和东海海域结束伏季休渔，至此，我国渤海、黄海、东海、南海四大海域全面开渔</w:t>
      </w:r>
      <w:r>
        <w:rPr>
          <w:rFonts w:eastAsiaTheme="minorEastAsia"/>
          <w:sz w:val="24"/>
        </w:rPr>
        <w:t>。</w:t>
      </w:r>
    </w:p>
    <w:p w14:paraId="4479B4A3">
      <w:pPr>
        <w:spacing w:line="360" w:lineRule="auto"/>
        <w:ind w:firstLine="480" w:firstLineChars="200"/>
        <w:rPr>
          <w:rFonts w:hint="eastAsia" w:eastAsiaTheme="minorEastAsia"/>
          <w:sz w:val="24"/>
        </w:rPr>
      </w:pPr>
      <w:r>
        <w:rPr>
          <w:rFonts w:hint="eastAsia" w:eastAsiaTheme="minorEastAsia"/>
          <w:sz w:val="24"/>
        </w:rPr>
        <w:t>在福建沿海渔港，700多艘渔船扬帆出海。当地海事、海警、公安等多部门联动，护航渔船驶离港区与航道密集区。</w:t>
      </w:r>
    </w:p>
    <w:p w14:paraId="7C418DE1">
      <w:pPr>
        <w:spacing w:line="360" w:lineRule="auto"/>
        <w:ind w:firstLine="480" w:firstLineChars="200"/>
        <w:rPr>
          <w:rFonts w:eastAsiaTheme="minorEastAsia"/>
          <w:sz w:val="24"/>
        </w:rPr>
      </w:pPr>
      <w:r>
        <w:rPr>
          <w:rFonts w:hint="eastAsia" w:eastAsiaTheme="minorEastAsia"/>
          <w:sz w:val="24"/>
        </w:rPr>
        <w:t>在浙江象山县石浦渔港，1000多艘渔船直奔浩瀚东海。带鱼、鲳鱼等优质海鲜很快就会大批量上市，丰富百姓的秋日餐桌。</w:t>
      </w:r>
    </w:p>
    <w:p w14:paraId="180A648F">
      <w:pPr>
        <w:spacing w:line="360" w:lineRule="auto"/>
        <w:ind w:firstLine="480" w:firstLineChars="200"/>
        <w:rPr>
          <w:rFonts w:hint="eastAsia" w:eastAsiaTheme="minorEastAsia"/>
          <w:sz w:val="24"/>
        </w:rPr>
      </w:pPr>
      <w:r>
        <w:rPr>
          <w:rFonts w:hint="eastAsia" w:eastAsiaTheme="minorEastAsia"/>
          <w:sz w:val="24"/>
        </w:rPr>
        <w:t>目前，海洋伏季休渔制度已覆盖我国四大海域，休渔时间3个半月到4个半月。此前开渔的海域，如今已有不少渔船满载而归。</w:t>
      </w:r>
    </w:p>
    <w:p w14:paraId="4A21BE07">
      <w:pPr>
        <w:spacing w:line="360" w:lineRule="auto"/>
        <w:ind w:firstLine="480" w:firstLineChars="200"/>
        <w:rPr>
          <w:rFonts w:hint="eastAsia" w:eastAsiaTheme="minorEastAsia"/>
          <w:sz w:val="24"/>
        </w:rPr>
      </w:pPr>
      <w:r>
        <w:rPr>
          <w:rFonts w:hint="eastAsia" w:eastAsiaTheme="minorEastAsia"/>
          <w:sz w:val="24"/>
        </w:rPr>
        <w:t>农业农村部监测显示，经过伏季休渔，四大海域渔业资源养护效果明显，优势种数量总体增多，渔业资源短期修复效果明显。</w:t>
      </w:r>
    </w:p>
    <w:p w14:paraId="1930E9BD">
      <w:pPr>
        <w:spacing w:line="360" w:lineRule="auto"/>
        <w:ind w:firstLine="426"/>
        <w:jc w:val="right"/>
        <w:rPr>
          <w:rFonts w:eastAsiaTheme="minorEastAsia"/>
          <w:szCs w:val="21"/>
        </w:rPr>
      </w:pPr>
      <w:r>
        <w:rPr>
          <w:rStyle w:val="97"/>
          <w:rFonts w:eastAsiaTheme="minorEastAsia"/>
          <w:szCs w:val="21"/>
        </w:rPr>
        <w:t>转摘自</w:t>
      </w:r>
      <w:r>
        <w:rPr>
          <w:rStyle w:val="97"/>
          <w:rFonts w:hint="eastAsia" w:eastAsiaTheme="minorEastAsia"/>
          <w:szCs w:val="21"/>
        </w:rPr>
        <w:t>央视网（新闻联播）</w:t>
      </w:r>
    </w:p>
    <w:p w14:paraId="0483C045">
      <w:pPr>
        <w:spacing w:line="360" w:lineRule="auto"/>
        <w:jc w:val="center"/>
        <w:outlineLvl w:val="1"/>
        <w:rPr>
          <w:rFonts w:eastAsia="黑体"/>
          <w:b/>
          <w:bCs/>
          <w:sz w:val="32"/>
          <w:szCs w:val="32"/>
        </w:rPr>
      </w:pPr>
      <w:bookmarkStart w:id="5" w:name="_Toc241496774"/>
      <w:r>
        <w:rPr>
          <w:rFonts w:hint="eastAsia" w:eastAsia="黑体"/>
          <w:b/>
          <w:bCs/>
          <w:sz w:val="32"/>
          <w:szCs w:val="32"/>
        </w:rPr>
        <w:t>千帆竞发逐渔汛——东海全面开渔浙江象山现场见闻</w:t>
      </w:r>
      <w:bookmarkEnd w:id="5"/>
    </w:p>
    <w:p w14:paraId="3CEA2100">
      <w:pPr>
        <w:spacing w:line="360" w:lineRule="auto"/>
        <w:ind w:firstLine="480" w:firstLineChars="200"/>
        <w:rPr>
          <w:rFonts w:eastAsiaTheme="minorEastAsia"/>
          <w:sz w:val="24"/>
        </w:rPr>
      </w:pPr>
      <w:r>
        <w:rPr>
          <w:rFonts w:hint="eastAsia" w:eastAsiaTheme="minorEastAsia"/>
          <w:sz w:val="24"/>
        </w:rPr>
        <w:t>汽笛长鸣，声震海天。9月16日12时，浙江省宁波市象山县石浦中心渔港，1500余艘拖网、帆张网渔船先后发动，桅杆上的红旗猎猎作响，船头劈开碧波，浩浩荡荡驶向东海。岸上人群挥手相送，渔家姑娘的锣鼓声与海浪声交织在一起。随着历时4个半月的伏季休渔正式结束，停泊在浙江沿海各个港口的3600多艘拖网、帆张网渔船陆续出海生产，东海进入全面开渔季。</w:t>
      </w:r>
      <w:r>
        <w:rPr>
          <w:rFonts w:eastAsiaTheme="minorEastAsia"/>
          <w:sz w:val="24"/>
        </w:rPr>
        <w:t xml:space="preserve"> </w:t>
      </w:r>
    </w:p>
    <w:p w14:paraId="598D51B5">
      <w:pPr>
        <w:spacing w:line="360" w:lineRule="auto"/>
        <w:ind w:firstLine="480" w:firstLineChars="200"/>
        <w:rPr>
          <w:rFonts w:hint="eastAsia" w:eastAsiaTheme="minorEastAsia"/>
          <w:sz w:val="24"/>
        </w:rPr>
      </w:pPr>
      <w:r>
        <w:rPr>
          <w:rFonts w:hint="eastAsia" w:eastAsiaTheme="minorEastAsia"/>
          <w:sz w:val="24"/>
        </w:rPr>
        <w:t>千帆竞发、百舸争流，这是记者在全国六大中心渔港之一的石浦渔港现场看到的壮观景象。当天上午，浙江省人民政府在此举行第二十九届中国（象山）开渔节开船仪式，升帆、敬酒、鸣锣启航，每一个环节都承载着渔民对大海的敬畏与期盼。今年75岁的当地老渔民吴南清捕了一辈子鱼，每次看到船队出海依然感到激动。“盼着鱼虾满舱，平安归来。”</w:t>
      </w:r>
    </w:p>
    <w:p w14:paraId="1D846FBD">
      <w:pPr>
        <w:spacing w:line="360" w:lineRule="auto"/>
        <w:ind w:firstLine="480" w:firstLineChars="200"/>
        <w:rPr>
          <w:rFonts w:hint="eastAsia" w:eastAsiaTheme="minorEastAsia"/>
          <w:sz w:val="24"/>
        </w:rPr>
      </w:pPr>
      <w:r>
        <w:rPr>
          <w:rFonts w:hint="eastAsia" w:eastAsiaTheme="minorEastAsia"/>
          <w:sz w:val="24"/>
        </w:rPr>
        <w:t>潮起潮落间，大海里的生命生生不息，渔民们的日子也一年比一年丰盈。</w:t>
      </w:r>
    </w:p>
    <w:p w14:paraId="7CBF571C">
      <w:pPr>
        <w:spacing w:line="360" w:lineRule="auto"/>
        <w:ind w:firstLine="480" w:firstLineChars="200"/>
        <w:rPr>
          <w:rFonts w:hint="eastAsia" w:eastAsiaTheme="minorEastAsia"/>
          <w:sz w:val="24"/>
        </w:rPr>
      </w:pPr>
      <w:r>
        <w:rPr>
          <w:rFonts w:hint="eastAsia" w:eastAsiaTheme="minorEastAsia"/>
          <w:sz w:val="24"/>
        </w:rPr>
        <w:t>“我打了二十多年鱼，以前出海总担心，捕不到鱼的话，油钱都赚不回来。”象山石浦渔村渔民万建勇说，实施伏季休渔后，变化是实实在在的，“这几年明显感觉海里鱼多了，去年一网下去，黄鱼、带鱼都比前些年个头大。如今生活也越来越好，家里盖了新房，孩子上了大学”。</w:t>
      </w:r>
    </w:p>
    <w:p w14:paraId="537DC8E1">
      <w:pPr>
        <w:spacing w:line="360" w:lineRule="auto"/>
        <w:ind w:firstLine="480" w:firstLineChars="200"/>
        <w:rPr>
          <w:rFonts w:hint="eastAsia" w:eastAsiaTheme="minorEastAsia"/>
          <w:sz w:val="24"/>
        </w:rPr>
      </w:pPr>
      <w:r>
        <w:rPr>
          <w:rFonts w:hint="eastAsia" w:eastAsiaTheme="minorEastAsia"/>
          <w:sz w:val="24"/>
        </w:rPr>
        <w:t>渔民们的获得感，离不开浙江持续深化渔业资源保护。从象山渔民自发倡议，到浙江开全国先河实施伏季休渔，再到这一举措在全国推行，浙江始终统筹海洋渔业高质量发展和渔业资源高水平保护。</w:t>
      </w:r>
    </w:p>
    <w:p w14:paraId="1B903562">
      <w:pPr>
        <w:spacing w:line="360" w:lineRule="auto"/>
        <w:ind w:firstLine="480" w:firstLineChars="200"/>
        <w:rPr>
          <w:rFonts w:hint="eastAsia" w:eastAsiaTheme="minorEastAsia"/>
          <w:sz w:val="24"/>
        </w:rPr>
      </w:pPr>
      <w:r>
        <w:rPr>
          <w:rFonts w:hint="eastAsia" w:eastAsiaTheme="minorEastAsia"/>
          <w:sz w:val="24"/>
        </w:rPr>
        <w:t>浙江省海洋经济发展厅副厅长徐建兵在致辞中表示，勤劳淳朴的浙江渔民自觉遵守休渔管控要求，用实际行动养护渔业资源、修复海洋生态，在浩瀚的大海上谱写了守护蔚蓝、耕耘希望的奋斗篇章。未来海洋渔业部门要以更高站位守护蓝色家园，以更实举措筑牢安全防线，以更大力度推动转型升级，让现代渔业焕发活力。</w:t>
      </w:r>
    </w:p>
    <w:p w14:paraId="065CBBAF">
      <w:pPr>
        <w:spacing w:line="360" w:lineRule="auto"/>
        <w:ind w:firstLine="480" w:firstLineChars="200"/>
        <w:rPr>
          <w:rFonts w:hint="eastAsia" w:eastAsiaTheme="minorEastAsia"/>
          <w:sz w:val="24"/>
        </w:rPr>
      </w:pPr>
      <w:r>
        <w:rPr>
          <w:rFonts w:hint="eastAsia" w:eastAsiaTheme="minorEastAsia"/>
          <w:sz w:val="24"/>
        </w:rPr>
        <w:t>开渔不仅是渔民的节日，更是一场海洋文化的盛宴。本届开渔节以“千帆竞发向大海 万物开源创未来”为主题，举办祭海仪式、开船仪式、海峡两岸妈祖如意文化交流暨妈祖巡安夜游、开渔民俗巡游、开渔生活季等八大活动。</w:t>
      </w:r>
    </w:p>
    <w:p w14:paraId="2E98DC34">
      <w:pPr>
        <w:spacing w:line="360" w:lineRule="auto"/>
        <w:ind w:firstLine="480" w:firstLineChars="200"/>
        <w:rPr>
          <w:rFonts w:hint="eastAsia" w:eastAsiaTheme="minorEastAsia"/>
          <w:sz w:val="24"/>
        </w:rPr>
      </w:pPr>
      <w:r>
        <w:rPr>
          <w:rFonts w:hint="eastAsia" w:eastAsiaTheme="minorEastAsia"/>
          <w:sz w:val="24"/>
        </w:rPr>
        <w:t>与往届不同，今年象山首次提出“开渔生活季”，将活动从单日仪式延展至覆盖8月至10月的全域海洋生活季，整合非遗民俗、美食体验、潮流文化、体育竞技等多元业态，培育现代渔文旅消费新场景。</w:t>
      </w:r>
    </w:p>
    <w:p w14:paraId="39447023">
      <w:pPr>
        <w:spacing w:line="360" w:lineRule="auto"/>
        <w:ind w:firstLine="480" w:firstLineChars="200"/>
        <w:rPr>
          <w:rFonts w:hint="eastAsia" w:eastAsiaTheme="minorEastAsia"/>
          <w:sz w:val="24"/>
        </w:rPr>
      </w:pPr>
      <w:r>
        <w:rPr>
          <w:rFonts w:hint="eastAsia" w:eastAsiaTheme="minorEastAsia"/>
          <w:sz w:val="24"/>
        </w:rPr>
        <w:t>15日，“万象山海·渔开天下”国家级海洋渔文化（象山）生态保护区交流活动在象山举办。来自全国各地的国家级文化生态保护区代表、非遗保护专家学者120余人齐聚一堂，围绕海洋渔文化保护、非遗活态传承与文化生态保护区高质量发展等展开交流。嘉宾们在象山黄避岙乡高泥村，亲手将鱼苗放入西沪港及象山港海域。高泥村养殖户代表现场宣读“我在东海有条鱼”护海放鱼活动倡议书，向全社会发出护海养海、守护海洋生态的倡议。</w:t>
      </w:r>
    </w:p>
    <w:p w14:paraId="118EBFDE">
      <w:pPr>
        <w:spacing w:line="360" w:lineRule="auto"/>
        <w:ind w:firstLine="480" w:firstLineChars="200"/>
        <w:rPr>
          <w:rFonts w:hint="eastAsia" w:eastAsiaTheme="minorEastAsia"/>
          <w:sz w:val="24"/>
        </w:rPr>
      </w:pPr>
      <w:r>
        <w:rPr>
          <w:rFonts w:hint="eastAsia" w:eastAsiaTheme="minorEastAsia"/>
          <w:sz w:val="24"/>
        </w:rPr>
        <w:t>作为全国唯一以海洋渔文化为主题的国家级文化生态保护区，象山三面环海、两港相拥，保存着完整渔俗文化，孕育了“善待海洋就是善待人类自己”的生态理念。近年来，象山向科技要效益、向深远海进军、向全产业链拓展，正逐步实现“一条鱼激活一片海、带动一条链、富裕一方人”。</w:t>
      </w:r>
    </w:p>
    <w:p w14:paraId="2C635043">
      <w:pPr>
        <w:spacing w:line="360" w:lineRule="auto"/>
        <w:ind w:firstLine="480" w:firstLineChars="200"/>
        <w:rPr>
          <w:rFonts w:hint="eastAsia" w:eastAsiaTheme="minorEastAsia"/>
          <w:sz w:val="24"/>
        </w:rPr>
      </w:pPr>
      <w:r>
        <w:rPr>
          <w:rFonts w:hint="eastAsia" w:eastAsiaTheme="minorEastAsia"/>
          <w:sz w:val="24"/>
        </w:rPr>
        <w:t>安全是开渔的前提。全面开渔前，浙江省海洋经济发展厅印发通知，督促沿海各地抓实出海前准备，组织开展开捕渔船安全检查和船员安全警示教育，派出4个指导服务组赴沿海5市开展安全生产指导服务。开捕期间，浙江省市县三级海洋渔业部门出动30余艘执法船艇巡航护航，确保渔船出港安全畅通。</w:t>
      </w:r>
    </w:p>
    <w:p w14:paraId="62C3277B">
      <w:pPr>
        <w:spacing w:line="360" w:lineRule="auto"/>
        <w:ind w:firstLine="480" w:firstLineChars="200"/>
        <w:rPr>
          <w:rFonts w:eastAsiaTheme="minorEastAsia"/>
          <w:sz w:val="24"/>
        </w:rPr>
      </w:pPr>
      <w:r>
        <w:rPr>
          <w:rFonts w:hint="eastAsia" w:eastAsiaTheme="minorEastAsia"/>
          <w:sz w:val="24"/>
        </w:rPr>
        <w:t>随着东海休渔期结束，多种作业类型渔船出海生产，带鱼、鲳鱼、小黄鱼、虾类等东海优质海鲜批量上市，将进一步丰富广大市民的菜篮子。</w:t>
      </w:r>
    </w:p>
    <w:p w14:paraId="7D00BF29">
      <w:pPr>
        <w:spacing w:line="360" w:lineRule="auto"/>
        <w:ind w:firstLine="426"/>
        <w:jc w:val="right"/>
        <w:rPr>
          <w:rStyle w:val="97"/>
          <w:rFonts w:hint="eastAsia" w:eastAsiaTheme="minorEastAsia"/>
          <w:szCs w:val="21"/>
        </w:rPr>
      </w:pPr>
      <w:r>
        <w:rPr>
          <w:rStyle w:val="97"/>
          <w:rFonts w:eastAsiaTheme="minorEastAsia"/>
          <w:szCs w:val="21"/>
        </w:rPr>
        <w:t>转摘自</w:t>
      </w:r>
      <w:r>
        <w:rPr>
          <w:rStyle w:val="97"/>
          <w:rFonts w:hint="eastAsia" w:eastAsiaTheme="minorEastAsia"/>
          <w:szCs w:val="21"/>
        </w:rPr>
        <w:t>新华社</w:t>
      </w:r>
    </w:p>
    <w:p w14:paraId="20B270A6">
      <w:pPr>
        <w:jc w:val="center"/>
        <w:outlineLvl w:val="1"/>
        <w:rPr>
          <w:rFonts w:eastAsia="黑体"/>
          <w:b/>
          <w:bCs/>
          <w:sz w:val="32"/>
          <w:szCs w:val="32"/>
        </w:rPr>
      </w:pPr>
      <w:bookmarkStart w:id="6" w:name="_Toc241496775"/>
      <w:r>
        <w:rPr>
          <w:rFonts w:hint="eastAsia" w:eastAsia="黑体"/>
          <w:b/>
          <w:bCs/>
          <w:sz w:val="32"/>
          <w:szCs w:val="32"/>
        </w:rPr>
        <w:t>1—8月水产品产量4305.09万吨</w:t>
      </w:r>
      <w:bookmarkEnd w:id="6"/>
    </w:p>
    <w:p w14:paraId="3D6B8D3D">
      <w:pPr>
        <w:spacing w:line="360" w:lineRule="auto"/>
        <w:ind w:firstLine="480" w:firstLineChars="200"/>
        <w:rPr>
          <w:sz w:val="24"/>
        </w:rPr>
      </w:pPr>
      <w:r>
        <w:rPr>
          <w:rFonts w:hint="eastAsia"/>
          <w:sz w:val="24"/>
        </w:rPr>
        <w:t>据对全国20个省（自治区、直辖市）渔业生产统计，2026年1—8月，国内水产品总产量4305.09万吨，同比增长3.93%。其中，海水养殖产量1652.92万吨，同比增长5.16%；海洋捕捞产量433.67万吨，同比增长0.29%；淡水养殖产量2167.87万吨，同比增长3.84%；淡水捕捞产量50.63万吨，同比增长0.40%。</w:t>
      </w:r>
    </w:p>
    <w:p w14:paraId="67F17A28">
      <w:pPr>
        <w:spacing w:line="360" w:lineRule="auto"/>
        <w:ind w:firstLine="426"/>
        <w:jc w:val="right"/>
        <w:rPr>
          <w:rFonts w:eastAsiaTheme="minorEastAsia"/>
          <w:szCs w:val="21"/>
        </w:rPr>
      </w:pPr>
      <w:r>
        <w:rPr>
          <w:rStyle w:val="97"/>
          <w:rFonts w:hint="eastAsia" w:eastAsiaTheme="minorEastAsia"/>
          <w:szCs w:val="21"/>
        </w:rPr>
        <w:t>转摘自农业农村部渔业渔政管理局</w:t>
      </w:r>
    </w:p>
    <w:p w14:paraId="35E83E4D">
      <w:pPr>
        <w:spacing w:line="360" w:lineRule="auto"/>
        <w:jc w:val="center"/>
        <w:outlineLvl w:val="1"/>
        <w:rPr>
          <w:rFonts w:eastAsia="黑体"/>
          <w:b/>
          <w:bCs/>
          <w:sz w:val="32"/>
          <w:szCs w:val="32"/>
        </w:rPr>
      </w:pPr>
      <w:bookmarkStart w:id="7" w:name="_Toc241496776"/>
      <w:r>
        <w:rPr>
          <w:rFonts w:hint="eastAsia" w:eastAsia="黑体"/>
          <w:b/>
          <w:bCs/>
          <w:sz w:val="32"/>
          <w:szCs w:val="32"/>
        </w:rPr>
        <w:t>农业农村部渔业渔政管理局负责人就《全国渔业发展 “十五五” 规划》答记者问</w:t>
      </w:r>
      <w:bookmarkEnd w:id="7"/>
    </w:p>
    <w:p w14:paraId="52C9B6C6">
      <w:pPr>
        <w:spacing w:line="360" w:lineRule="auto"/>
        <w:ind w:firstLine="480" w:firstLineChars="200"/>
        <w:rPr>
          <w:rFonts w:hint="eastAsia" w:eastAsiaTheme="minorEastAsia"/>
          <w:sz w:val="24"/>
        </w:rPr>
      </w:pPr>
      <w:r>
        <w:rPr>
          <w:rFonts w:hint="eastAsia" w:eastAsiaTheme="minorEastAsia"/>
          <w:sz w:val="24"/>
        </w:rPr>
        <w:t>近期，农业农村部印发《全国渔业发展“十五五”规划》（以下简称《规划》）。日前，农业农村部渔业渔政管理局负责人就《规划》有关情况回答了记者提问。</w:t>
      </w:r>
    </w:p>
    <w:p w14:paraId="1F75B382">
      <w:pPr>
        <w:spacing w:line="360" w:lineRule="auto"/>
        <w:ind w:firstLine="482" w:firstLineChars="200"/>
        <w:rPr>
          <w:rFonts w:hint="eastAsia" w:eastAsiaTheme="minorEastAsia"/>
          <w:b/>
          <w:bCs/>
          <w:sz w:val="24"/>
        </w:rPr>
      </w:pPr>
      <w:r>
        <w:rPr>
          <w:rFonts w:hint="eastAsia" w:eastAsiaTheme="minorEastAsia"/>
          <w:b/>
          <w:bCs/>
          <w:sz w:val="24"/>
        </w:rPr>
        <w:t>问：《规划》出台有什么背景和意义？</w:t>
      </w:r>
    </w:p>
    <w:p w14:paraId="01743315">
      <w:pPr>
        <w:spacing w:line="360" w:lineRule="auto"/>
        <w:ind w:firstLine="480" w:firstLineChars="200"/>
        <w:rPr>
          <w:rFonts w:hint="eastAsia" w:eastAsiaTheme="minorEastAsia"/>
          <w:sz w:val="24"/>
        </w:rPr>
      </w:pPr>
      <w:r>
        <w:rPr>
          <w:rFonts w:hint="eastAsia" w:eastAsiaTheme="minorEastAsia"/>
          <w:sz w:val="24"/>
        </w:rPr>
        <w:t>答：渔业是农业农村经济和海洋经济的重要组成部分，在保障国家粮食和重要农产品稳定安全供给、推进生态文明建设、维护国家海洋权益等方面发挥着重要作用。习近平总书记高度重视渔业发展，多次就树立大食物观、向江河湖海要食物、长江十年禁渔、建设海上牧场、“蓝色粮仓”等作出重要指示。</w:t>
      </w:r>
    </w:p>
    <w:p w14:paraId="61D87096">
      <w:pPr>
        <w:spacing w:line="360" w:lineRule="auto"/>
        <w:ind w:firstLine="480" w:firstLineChars="200"/>
        <w:rPr>
          <w:rFonts w:hint="eastAsia" w:eastAsiaTheme="minorEastAsia"/>
          <w:sz w:val="24"/>
        </w:rPr>
      </w:pPr>
      <w:r>
        <w:rPr>
          <w:rFonts w:hint="eastAsia" w:eastAsiaTheme="minorEastAsia"/>
          <w:sz w:val="24"/>
        </w:rPr>
        <w:t>“十四五”，我国水产品供给能力稳步提升，2025年全国水产品总产量7652万吨，较“十三五”末增长近17%；渔民人均纯收入28677元，较“十三五”末增长31%。新品种、新技术、新装备、新模式带动产业升级作用明显，深远海养殖、工厂化养殖、冷水鱼养殖蓬勃发展。渔业资源养护迈出历史性步伐，全面启动实施长江十年禁渔并取得重要阶段性成效，长江水生生物完整性指数提升两个等级。远洋渔业发展显现出充足韧性，水产品国际贸易更加活跃，参与全球渔业治理更加广泛深入。渔政执法监管质效提升，较“十三五”末，渔业安全生产事故起数和死亡人数均大幅下降。与此同时，渔业质量安全、生产安全、资源安全、涉外安全风险依然存在，种业、装备等核心领域仍存在短板，渔民增收、产业提质的任务依然较重。</w:t>
      </w:r>
    </w:p>
    <w:p w14:paraId="47642108">
      <w:pPr>
        <w:spacing w:line="360" w:lineRule="auto"/>
        <w:ind w:firstLine="480" w:firstLineChars="200"/>
        <w:rPr>
          <w:rFonts w:hint="eastAsia" w:eastAsiaTheme="minorEastAsia"/>
          <w:sz w:val="24"/>
        </w:rPr>
      </w:pPr>
      <w:r>
        <w:rPr>
          <w:rFonts w:hint="eastAsia" w:eastAsiaTheme="minorEastAsia"/>
          <w:sz w:val="24"/>
        </w:rPr>
        <w:t>党的二十届四中全会对加快农业农村现代化、扎实推进乡村全面振兴作出战略部署，“十五五”规划纲要、《加快农业农村现代化“十五五”规划》、建设海洋强国相关文件作出了系统安排。贯彻落实党中央、国务院决策部署，农业农村部坚持目标导向、问题导向，坚持统筹渔业高质量发展和高水平安全，对“十五五”形势和目标、水产养殖、捕捞生产、资源养护、涉外渔业、科技创新等领域开展专题研究，广泛听取各方意见后制定《规划》，有利于集聚各方资源力量，为扎实做好“十五五”渔业工作提供行动指南。</w:t>
      </w:r>
    </w:p>
    <w:p w14:paraId="6753FC7B">
      <w:pPr>
        <w:spacing w:line="360" w:lineRule="auto"/>
        <w:ind w:firstLine="482" w:firstLineChars="200"/>
        <w:rPr>
          <w:rFonts w:hint="eastAsia" w:eastAsiaTheme="minorEastAsia"/>
          <w:b/>
          <w:bCs/>
          <w:sz w:val="24"/>
        </w:rPr>
      </w:pPr>
      <w:r>
        <w:rPr>
          <w:rFonts w:hint="eastAsia" w:eastAsiaTheme="minorEastAsia"/>
          <w:b/>
          <w:bCs/>
          <w:sz w:val="24"/>
        </w:rPr>
        <w:t>问：《规划》编制的主要思路是什么？在总体目标设定上有哪些考虑？</w:t>
      </w:r>
    </w:p>
    <w:p w14:paraId="1C09ECF4">
      <w:pPr>
        <w:spacing w:line="360" w:lineRule="auto"/>
        <w:ind w:firstLine="480" w:firstLineChars="200"/>
        <w:rPr>
          <w:rFonts w:hint="eastAsia" w:eastAsiaTheme="minorEastAsia"/>
          <w:sz w:val="24"/>
        </w:rPr>
      </w:pPr>
      <w:r>
        <w:rPr>
          <w:rFonts w:hint="eastAsia" w:eastAsiaTheme="minorEastAsia"/>
          <w:sz w:val="24"/>
        </w:rPr>
        <w:t>答：《规划》坚持以习近平新时代中国特色社会主义思想为指导，深入贯彻党的二十大和二十届历次全会精神，认真落实四中全会部署，全面贯彻习近平总书记关于“三农”工作的重要论述和重要指示精神，完整准确全面贯彻新发展理念，加快构建渔业新发展格局，着力推动渔业高质量发展，统筹高质量发展和高水平安全，统筹国内国际两个大局，坚持量质并重，坚持创新驱动，坚持绿色发展，一体推进养殖业、捕捞业、资源养护、全球渔业治理，充分发挥渔业多功能性，把渔业建成现代化大产业，助力农业强国、海洋强国建设。</w:t>
      </w:r>
    </w:p>
    <w:p w14:paraId="43D40031">
      <w:pPr>
        <w:spacing w:line="360" w:lineRule="auto"/>
        <w:ind w:firstLine="480" w:firstLineChars="200"/>
        <w:rPr>
          <w:rFonts w:hint="eastAsia" w:eastAsiaTheme="minorEastAsia"/>
          <w:sz w:val="24"/>
        </w:rPr>
      </w:pPr>
      <w:r>
        <w:rPr>
          <w:rFonts w:hint="eastAsia" w:eastAsiaTheme="minorEastAsia"/>
          <w:sz w:val="24"/>
        </w:rPr>
        <w:t>立足这一总体思路，明确2030年的发展目标，不再追求产量规模粗放扩张，推动发展、安全、科技、生态、治理多维度协同提升。着眼产业发展，充分激发各类经营主体活力，持续调优渔业产业结构，在扩大优质水产品供给上持续发力，真正实现渔业质的有效提升和量的合理增长，水产品总产量达到8000万吨。瞄准现代化转型，推动设施渔业提档升级，聚力攻坚核心技术装备，推动大数据、人工智能等新技术深度融入渔业生产各环节，水产核心种源自给率提高到90%。保护渔业资源生态，长江水生生物完整性指数较2025年再提高1级，海洋渔业资源衰退趋缓，珍稀物种种群稳中有增。补齐治理短板，巩固海洋渔船安全生产稳定向好局面，提升渔业治理能力，实现产业发展与质量安全、生产安全、资源安全、涉外安全同频共振。2项约束性指标划出底线，明确水产养殖面积不低于1亿亩、国内海洋捕捞产量控制在1000万吨以内，牢牢守住养殖生产基本盘，严格管控海洋捕捞强度，倒逼发展观念、资源利用方式转变，保障渔业可持续发展。</w:t>
      </w:r>
    </w:p>
    <w:p w14:paraId="37183071">
      <w:pPr>
        <w:spacing w:line="360" w:lineRule="auto"/>
        <w:ind w:firstLine="482" w:firstLineChars="200"/>
        <w:rPr>
          <w:rFonts w:hint="eastAsia" w:eastAsiaTheme="minorEastAsia"/>
          <w:b/>
          <w:bCs/>
          <w:sz w:val="24"/>
        </w:rPr>
      </w:pPr>
      <w:r>
        <w:rPr>
          <w:rFonts w:hint="eastAsia" w:eastAsiaTheme="minorEastAsia"/>
          <w:b/>
          <w:bCs/>
          <w:sz w:val="24"/>
        </w:rPr>
        <w:t>问：《规划》部署了哪些重点任务？</w:t>
      </w:r>
    </w:p>
    <w:p w14:paraId="36073452">
      <w:pPr>
        <w:spacing w:line="360" w:lineRule="auto"/>
        <w:ind w:firstLine="480" w:firstLineChars="200"/>
        <w:rPr>
          <w:rFonts w:hint="eastAsia" w:eastAsiaTheme="minorEastAsia"/>
          <w:sz w:val="24"/>
        </w:rPr>
      </w:pPr>
      <w:r>
        <w:rPr>
          <w:rFonts w:hint="eastAsia" w:eastAsiaTheme="minorEastAsia"/>
          <w:sz w:val="24"/>
        </w:rPr>
        <w:t>答：《规划》把统筹好渔业高质量发展和守牢质量安全、生产安全、资源安全、涉外安全等“四个安全”作为逻辑主线，并与强化科技支撑赋能一起作为“十五五”渔业“五大”重点工作。一是发展高质量水产养殖业，守牢质量安全底线和提高品质并重。围绕“质量安全、尾水达标、环境优美、渔民增收”，着眼提升养殖水产品品质，提出稳定和拓展养殖空间、提质淡水养殖、做优海水养殖、强化质量安全与投入品管理等任务。二是打造安全规范可持续捕捞业，守牢生产安全底线和优化产业结构并重。牢固树立人民至上、生命至上理念，着力实现捕捞强度与资源承载力相匹配、提升本质安全水平，提出推进捕捞业可持续发展、实施渔船分类分级管理、全面强化渔船安全生产监管、提升现代化渔港和渔港经济区建设管理水平、强化渔政执法等任务。三是系统性推进水生生物资源养护，守牢资源安全底线和持续利用并重。深入践行绿水青山就是金山银山的理念，聚焦水生生物资源养护与水域生态修复相协同、资源永续利用，提出坚定不移实施好长江十年禁渔、强化渔业资源与水域生态保护、加强水生野生动物保护3项任务。四是履行负责任渔业大国责任，守牢涉外安全底线和稳定发展空间并重。深入践行人类命运共同体理念，着力实现远洋渔业规范管理与安全风险防范相统一、公平国际渔业秩序构建与区域渔业合作深化相协调，提出发展现代化远洋渔业、深度参与全球渔业治理、务实开展涉渔对外合作3项任务。五是发展渔业新质生产力，推动科技创新与产业创新深度融合。坚持技术驱动和需求拉动相结合，瞄准世界渔业科技前沿，聚焦战略领域和产业链供应链薄弱环节，提出振兴水产种业、推进渔业设施装备升级和人工智能应用、实施水产品加工业提升行动、全产业链提质增效4项任务。</w:t>
      </w:r>
    </w:p>
    <w:p w14:paraId="4D6EFC63">
      <w:pPr>
        <w:spacing w:line="360" w:lineRule="auto"/>
        <w:ind w:firstLine="482" w:firstLineChars="200"/>
        <w:rPr>
          <w:rFonts w:hint="eastAsia" w:eastAsiaTheme="minorEastAsia"/>
          <w:b/>
          <w:bCs/>
          <w:sz w:val="24"/>
        </w:rPr>
      </w:pPr>
      <w:r>
        <w:rPr>
          <w:rFonts w:hint="eastAsia" w:eastAsiaTheme="minorEastAsia"/>
          <w:b/>
          <w:bCs/>
          <w:sz w:val="24"/>
        </w:rPr>
        <w:t>问：如何抓好《规划》贯彻落实？</w:t>
      </w:r>
    </w:p>
    <w:p w14:paraId="526AE769">
      <w:pPr>
        <w:spacing w:line="360" w:lineRule="auto"/>
        <w:ind w:firstLine="480" w:firstLineChars="200"/>
        <w:rPr>
          <w:rFonts w:eastAsiaTheme="minorEastAsia"/>
          <w:sz w:val="24"/>
        </w:rPr>
      </w:pPr>
      <w:r>
        <w:rPr>
          <w:rFonts w:hint="eastAsia" w:eastAsiaTheme="minorEastAsia"/>
          <w:sz w:val="24"/>
        </w:rPr>
        <w:t>答：实现“十五五”渔业高质量发展、保障优质水产品供给、确保渔业质量、生产、资源、涉外高水平安全，是系统工程、战略任务，需要多方协同、要素保障。一是实施支持政策。“十五五”将继续实施渔业发展支持政策，着力引导地方将资金投向渔业质量安全、生产安全、资源安全、涉外安全等底线任务；支持建设海上牧场，提升现代渔业装备设施水平，打造“蓝色粮仓”；建设渔港经济区，完善渔业基础公共设施，推动渔业绿色循环发展，开展渔业资源调查养护和国际履约能力提升。二是实施重大工程行动。引导各地聚焦《规划》部署的水产养殖滥用药整治、渔船更新改造、渔港建设、完善种质资源保存网络等21项重大工程行动，加大投入、集中攻关，推动重大工程行动落地。三是加强保障措施。加快制修订渔业法配套法规规章，完善相关制度。强化渔政执法装备与信息化建设，构建“人防、技防、物防”立体化监管网络。建强推广机构，提升新渔技推广、新渔品服务能力。强化用地、用海、用水等要素保障，健全政策资金引导、金融信贷跟进、社会资本参与的多元投入格局。</w:t>
      </w:r>
    </w:p>
    <w:p w14:paraId="326B243B">
      <w:pPr>
        <w:spacing w:line="360" w:lineRule="auto"/>
        <w:ind w:firstLine="426"/>
        <w:jc w:val="right"/>
        <w:rPr>
          <w:rFonts w:eastAsiaTheme="minorEastAsia"/>
          <w:szCs w:val="21"/>
        </w:rPr>
      </w:pPr>
      <w:r>
        <w:rPr>
          <w:rStyle w:val="97"/>
          <w:rFonts w:eastAsiaTheme="minorEastAsia"/>
          <w:szCs w:val="21"/>
        </w:rPr>
        <w:t>转摘自</w:t>
      </w:r>
      <w:bookmarkEnd w:id="1"/>
      <w:r>
        <w:rPr>
          <w:rFonts w:hint="eastAsia" w:eastAsiaTheme="minorEastAsia"/>
          <w:szCs w:val="21"/>
        </w:rPr>
        <w:t>农业农村部新闻办公室</w:t>
      </w:r>
    </w:p>
    <w:p w14:paraId="3845D49A">
      <w:pPr>
        <w:spacing w:line="360" w:lineRule="auto"/>
        <w:jc w:val="center"/>
        <w:outlineLvl w:val="1"/>
        <w:rPr>
          <w:rFonts w:eastAsia="黑体"/>
          <w:b/>
          <w:bCs/>
          <w:sz w:val="32"/>
          <w:szCs w:val="32"/>
        </w:rPr>
      </w:pPr>
      <w:bookmarkStart w:id="8" w:name="_Toc241496777"/>
      <w:r>
        <w:rPr>
          <w:rFonts w:hint="eastAsia" w:eastAsia="黑体"/>
          <w:b/>
          <w:bCs/>
          <w:sz w:val="32"/>
          <w:szCs w:val="32"/>
        </w:rPr>
        <w:t>2026年10月全国水产养殖病害预测预报</w:t>
      </w:r>
      <w:bookmarkEnd w:id="8"/>
    </w:p>
    <w:p w14:paraId="0A4CBBB2">
      <w:pPr>
        <w:spacing w:line="360" w:lineRule="auto"/>
        <w:ind w:firstLine="480" w:firstLineChars="200"/>
        <w:rPr>
          <w:rFonts w:hint="eastAsia" w:eastAsiaTheme="minorEastAsia"/>
          <w:sz w:val="24"/>
        </w:rPr>
      </w:pPr>
      <w:r>
        <w:rPr>
          <w:rFonts w:hint="eastAsia" w:eastAsiaTheme="minorEastAsia"/>
          <w:sz w:val="24"/>
        </w:rPr>
        <w:t>为保障水产品质量安全，抓好水产养殖病害防控工作，从源头降低病害发生风险，减少用药，推动实现“质量安全、尾水达标、环境优美、渔民增收”相统一的高质量水产养殖。全国水产技术推广总站、农业农村部水产养殖病害防治专家委员会根据近年同期全国水产养殖病情测报数据和今年天气情况，对10月易发疾病进行了预测，供参考。</w:t>
      </w:r>
    </w:p>
    <w:p w14:paraId="1A065503">
      <w:pPr>
        <w:spacing w:line="360" w:lineRule="auto"/>
        <w:ind w:firstLine="480" w:firstLineChars="200"/>
        <w:rPr>
          <w:rFonts w:eastAsiaTheme="minorEastAsia"/>
          <w:sz w:val="24"/>
        </w:rPr>
      </w:pPr>
      <w:r>
        <w:rPr>
          <w:rFonts w:hint="eastAsia" w:eastAsiaTheme="minorEastAsia"/>
          <w:sz w:val="24"/>
        </w:rPr>
        <w:t>10月全国气温、水温持续回落，昼夜温差进一步加大，水体理化指标波动频繁。此阶段既是“金九银十”丰收关键期，也是提高水产养殖对象体质、降低越冬损耗的关键期。建议广大养殖场（户）加强日常巡塘、科学调控投喂、适时增氧改底，以精细化管理切实降低水产养殖病害发生风险，为稳产增收和顺利越冬打下坚实基础。</w:t>
      </w:r>
      <w:r>
        <w:rPr>
          <w:rFonts w:eastAsiaTheme="minorEastAsia"/>
          <w:sz w:val="24"/>
        </w:rPr>
        <w:t>“咱们本地养的小龙虾个头饱满、肉质紧实、干净无杂，市场销路十分火爆。”安徽养殖户葛俊随手捞起一尾小龙虾，向记者展示其洁净的鳃部与腹部。深耕本地养殖六年，他潜心选育适配品种，让南方水产成功适配东北水土。</w:t>
      </w:r>
    </w:p>
    <w:p w14:paraId="1615C486">
      <w:pPr>
        <w:spacing w:line="360" w:lineRule="auto"/>
        <w:ind w:firstLine="480" w:firstLineChars="200"/>
        <w:jc w:val="center"/>
        <w:rPr>
          <w:rFonts w:hint="eastAsia" w:eastAsiaTheme="minorEastAsia"/>
          <w:sz w:val="24"/>
        </w:rPr>
      </w:pPr>
      <w:r>
        <w:rPr>
          <w:rFonts w:hint="eastAsia" w:eastAsiaTheme="minorEastAsia"/>
          <w:sz w:val="24"/>
        </w:rPr>
        <w:t>一、易发疾病</w:t>
      </w:r>
    </w:p>
    <w:p w14:paraId="42A1BFF5">
      <w:pPr>
        <w:spacing w:line="360" w:lineRule="auto"/>
        <w:ind w:firstLine="480" w:firstLineChars="200"/>
        <w:rPr>
          <w:rFonts w:hint="eastAsia" w:eastAsiaTheme="minorEastAsia"/>
          <w:sz w:val="24"/>
        </w:rPr>
      </w:pPr>
      <w:r>
        <w:rPr>
          <w:rFonts w:hint="eastAsia" w:eastAsiaTheme="minorEastAsia"/>
          <w:sz w:val="24"/>
        </w:rPr>
        <w:t>10月水产养殖应该重点关注草鱼出血病、病毒性神经坏死病、淡水鱼细菌性败血症、细菌性肠炎病、柱状黄杆菌病、赤皮病、链球菌病、诺卡氏菌病、指环虫病、锚头鳋病、刺激隐核虫病、白斑综合征、十足目虹彩病毒病、急性肝胰腺坏死病、虾肝肠胞虫病等。</w:t>
      </w:r>
    </w:p>
    <w:p w14:paraId="524DFF62">
      <w:pPr>
        <w:spacing w:line="360" w:lineRule="auto"/>
        <w:ind w:firstLine="480" w:firstLineChars="200"/>
        <w:rPr>
          <w:rFonts w:hint="eastAsia" w:eastAsiaTheme="minorEastAsia"/>
          <w:sz w:val="24"/>
        </w:rPr>
      </w:pPr>
      <w:r>
        <w:rPr>
          <w:rFonts w:hint="eastAsia" w:eastAsiaTheme="minorEastAsia"/>
          <w:sz w:val="24"/>
        </w:rPr>
        <w:t>（一）鱼类疾病</w:t>
      </w:r>
    </w:p>
    <w:p w14:paraId="154B233A">
      <w:pPr>
        <w:spacing w:line="360" w:lineRule="auto"/>
        <w:ind w:firstLine="480" w:firstLineChars="200"/>
        <w:rPr>
          <w:rFonts w:hint="eastAsia" w:eastAsiaTheme="minorEastAsia"/>
          <w:sz w:val="24"/>
        </w:rPr>
      </w:pPr>
      <w:r>
        <w:rPr>
          <w:rFonts w:hint="eastAsia" w:eastAsiaTheme="minorEastAsia"/>
          <w:sz w:val="24"/>
        </w:rPr>
        <w:t>1.草鱼出血病：病原为草鱼呼肠孤病毒，主要危害草鱼及青鱼，水温20℃～30℃时易发病。患病鱼鳍基或鳃盖出血，解剖查验可见肌肉出血呈鲜红色、肠壁充血、肝脾充血等症状。广东、湖北、湖南等草鱼主养区应重点予以关注并做好预防。</w:t>
      </w:r>
    </w:p>
    <w:p w14:paraId="7E932CA0">
      <w:pPr>
        <w:spacing w:line="360" w:lineRule="auto"/>
        <w:ind w:firstLine="480" w:firstLineChars="200"/>
        <w:rPr>
          <w:rFonts w:hint="eastAsia" w:eastAsiaTheme="minorEastAsia"/>
          <w:sz w:val="24"/>
        </w:rPr>
      </w:pPr>
      <w:r>
        <w:rPr>
          <w:rFonts w:hint="eastAsia" w:eastAsiaTheme="minorEastAsia"/>
          <w:sz w:val="24"/>
        </w:rPr>
        <w:t>2.病毒性神经坏死病：病原为鱼类神经坏死病毒，主要危害石斑鱼、鲈、牙鲆和大菱鲆等海水鱼类，水温18℃～26℃时易发病。患病鱼食欲减退，体色发黑、鱼体畸形，出现间歇性乱窜打转、旋转式游动等症状。福建、广东、海南等省份应重点防控。</w:t>
      </w:r>
    </w:p>
    <w:p w14:paraId="6F23FE0B">
      <w:pPr>
        <w:spacing w:line="360" w:lineRule="auto"/>
        <w:ind w:firstLine="480" w:firstLineChars="200"/>
        <w:rPr>
          <w:rFonts w:hint="eastAsia" w:eastAsiaTheme="minorEastAsia"/>
          <w:sz w:val="24"/>
        </w:rPr>
      </w:pPr>
      <w:r>
        <w:rPr>
          <w:rFonts w:hint="eastAsia" w:eastAsiaTheme="minorEastAsia"/>
          <w:sz w:val="24"/>
        </w:rPr>
        <w:t>3.淡水鱼细菌性败血症：病原为嗜水气单胞菌、温和气单胞菌等多种细菌，危害鲫、鳊、鲢、鳙、乌鳢、黄鳝等多种淡水鱼类，水温9℃～36℃时易发病。病鱼离群缓慢游动，眼球突出，体表充血，鳃、肝、肾颜色较淡，呈花斑状。病情严重时死亡率达90%以上。全国各淡水鱼类养殖地区需重点防控。</w:t>
      </w:r>
    </w:p>
    <w:p w14:paraId="52D5D904">
      <w:pPr>
        <w:spacing w:line="360" w:lineRule="auto"/>
        <w:ind w:firstLine="480" w:firstLineChars="200"/>
        <w:rPr>
          <w:rFonts w:hint="eastAsia" w:eastAsiaTheme="minorEastAsia"/>
          <w:sz w:val="24"/>
        </w:rPr>
      </w:pPr>
      <w:r>
        <w:rPr>
          <w:rFonts w:hint="eastAsia" w:eastAsiaTheme="minorEastAsia"/>
          <w:sz w:val="24"/>
        </w:rPr>
        <w:t>4.细菌性肠炎病：病原为肠型点状气单胞菌、豚鼠气单胞菌、嗜水气单胞菌等革兰氏阴性短杆菌，主要危害草鱼、青鱼、鲤、大口黑鲈、泥鳅等淡水鱼类，水温在18℃以上开始流行。患病鱼肛门红肿外突，解剖查验可见肠道充血发红，尤以肠后段明显。全国各鱼类养殖地区均应重点防控。</w:t>
      </w:r>
    </w:p>
    <w:p w14:paraId="70F35361">
      <w:pPr>
        <w:spacing w:line="360" w:lineRule="auto"/>
        <w:ind w:firstLine="480" w:firstLineChars="200"/>
        <w:rPr>
          <w:rFonts w:hint="eastAsia" w:eastAsiaTheme="minorEastAsia"/>
          <w:sz w:val="24"/>
        </w:rPr>
      </w:pPr>
      <w:r>
        <w:rPr>
          <w:rFonts w:hint="eastAsia" w:eastAsiaTheme="minorEastAsia"/>
          <w:sz w:val="24"/>
        </w:rPr>
        <w:t>5.柱状黄杆菌病：俗称“烂鳃病”，是一种比较常见的鱼病，传播快，病程长，一经发病便难以控制其蔓延。该病在水温15℃以上开始发病，20℃以上开始流行。危害品种主要有草鱼、青鱼、鲤、鲫、鳊、鲢、大口黑鲈等，应引起全国各淡水鱼类养殖地区的重视。</w:t>
      </w:r>
    </w:p>
    <w:p w14:paraId="41D2A3C7">
      <w:pPr>
        <w:spacing w:line="360" w:lineRule="auto"/>
        <w:ind w:firstLine="480" w:firstLineChars="200"/>
        <w:rPr>
          <w:rFonts w:hint="eastAsia" w:eastAsiaTheme="minorEastAsia"/>
          <w:sz w:val="24"/>
        </w:rPr>
      </w:pPr>
      <w:r>
        <w:rPr>
          <w:rFonts w:hint="eastAsia" w:eastAsiaTheme="minorEastAsia"/>
          <w:sz w:val="24"/>
        </w:rPr>
        <w:t>6.赤皮病：病原为荧光假单胞菌，主要危害草鱼、青鱼、鲤、团头鲂等多种淡水鱼类，在我国一些养殖区域一年四季都有流行，特别是当捕捞、运输、放养使鱼体受到机械性损伤或鱼体表被寄生虫寄生而受损时，病原菌更易侵入，引发疾病，应引起各淡水鱼类养殖地区的重视。</w:t>
      </w:r>
    </w:p>
    <w:p w14:paraId="48E1E6BA">
      <w:pPr>
        <w:spacing w:line="360" w:lineRule="auto"/>
        <w:ind w:firstLine="480" w:firstLineChars="200"/>
        <w:rPr>
          <w:rFonts w:hint="eastAsia" w:eastAsiaTheme="minorEastAsia"/>
          <w:sz w:val="24"/>
        </w:rPr>
      </w:pPr>
      <w:r>
        <w:rPr>
          <w:rFonts w:hint="eastAsia" w:eastAsiaTheme="minorEastAsia"/>
          <w:sz w:val="24"/>
        </w:rPr>
        <w:t>7.链球菌病：病原为海豚链球菌、无乳链球菌等革兰氏阳性菌，主要危害罗非鱼。水温25℃～35℃时流行，高于28℃时易暴发。患病鱼游动异常，眼球突出，鳃盖内侧发红、充血或出血。广东、海南等罗非鱼主养区应重点予以关注并做好预防。</w:t>
      </w:r>
    </w:p>
    <w:p w14:paraId="1D5D5AD1">
      <w:pPr>
        <w:spacing w:line="360" w:lineRule="auto"/>
        <w:ind w:firstLine="480" w:firstLineChars="200"/>
        <w:rPr>
          <w:rFonts w:hint="eastAsia" w:eastAsiaTheme="minorEastAsia"/>
          <w:sz w:val="24"/>
        </w:rPr>
      </w:pPr>
      <w:r>
        <w:rPr>
          <w:rFonts w:hint="eastAsia" w:eastAsiaTheme="minorEastAsia"/>
          <w:sz w:val="24"/>
        </w:rPr>
        <w:t>8.诺卡氏菌病：病原为鰤鱼诺卡氏菌等，主要危害鰤、大口黑鲈、乌鳢等鱼类，水温25℃以上易发病。患病鱼体表隆起大小不一、形状不规则的结节，剖开结节后有白色或稍带红色的脓汁流出；肝、脾、肾等内脏器官也出现白色点状结节。全国各大口黑鲈养殖区和乌鳢养殖区需重点防控。</w:t>
      </w:r>
    </w:p>
    <w:p w14:paraId="2171D753">
      <w:pPr>
        <w:spacing w:line="360" w:lineRule="auto"/>
        <w:ind w:firstLine="480" w:firstLineChars="200"/>
        <w:rPr>
          <w:rFonts w:hint="eastAsia" w:eastAsiaTheme="minorEastAsia"/>
          <w:sz w:val="24"/>
        </w:rPr>
      </w:pPr>
      <w:r>
        <w:rPr>
          <w:rFonts w:hint="eastAsia" w:eastAsiaTheme="minorEastAsia"/>
          <w:sz w:val="24"/>
        </w:rPr>
        <w:t>9.指环虫病：由指环虫寄生引起，主要危害鲢、鳙以及草鱼等，水温20℃～25℃时易发病，全国各地都有流行。大量寄生时病鱼瘦弱发黑，呼吸困难，鳃盖难以闭合，鳃丝黏液增多、肿胀呈花鳃状。寄生数量多且密集时呈白色泡沫状小团。全国各淡水鱼类养殖地区均需重视。</w:t>
      </w:r>
    </w:p>
    <w:p w14:paraId="275E4500">
      <w:pPr>
        <w:spacing w:line="360" w:lineRule="auto"/>
        <w:ind w:firstLine="480" w:firstLineChars="200"/>
        <w:rPr>
          <w:rFonts w:hint="eastAsia" w:eastAsiaTheme="minorEastAsia"/>
          <w:sz w:val="24"/>
        </w:rPr>
      </w:pPr>
      <w:r>
        <w:rPr>
          <w:rFonts w:hint="eastAsia" w:eastAsiaTheme="minorEastAsia"/>
          <w:sz w:val="24"/>
        </w:rPr>
        <w:t>10.锚头鳋病：病原为锚头鳋，主要危害鲤、鲫、鲢、鳙、草鱼等淡水鱼类，繁殖适温为12℃～33℃。锚头鳋一般寄生在鱼类肌肉、鳞下、口腔等部位，患病鱼食欲减退、身体瘦弱、烦躁不安，体表或鳞片腹面可见细针状虫体。全国各淡水鱼类养殖地区均需重视。</w:t>
      </w:r>
    </w:p>
    <w:p w14:paraId="6689CD2A">
      <w:pPr>
        <w:spacing w:line="360" w:lineRule="auto"/>
        <w:ind w:firstLine="480" w:firstLineChars="200"/>
        <w:rPr>
          <w:rFonts w:hint="eastAsia" w:eastAsiaTheme="minorEastAsia"/>
          <w:sz w:val="24"/>
        </w:rPr>
      </w:pPr>
      <w:r>
        <w:rPr>
          <w:rFonts w:hint="eastAsia" w:eastAsiaTheme="minorEastAsia"/>
          <w:sz w:val="24"/>
        </w:rPr>
        <w:t>11.刺激隐核虫病：俗称“海水小瓜虫病”，病原为刺激隐核虫，主要危害大黄鱼、卵形鲳鲹和石斑鱼等海水鱼类，水温10℃～30℃时易发病，22℃～26℃时为流行高峰。患病鱼游动缓慢，鱼体瘦弱，体表、眼角膜、鳃和口腔周围可观察到小白点。沿海各省份应重点予以关注并做好预防。</w:t>
      </w:r>
    </w:p>
    <w:p w14:paraId="4F90BEFD">
      <w:pPr>
        <w:spacing w:line="360" w:lineRule="auto"/>
        <w:ind w:firstLine="480" w:firstLineChars="200"/>
        <w:rPr>
          <w:rFonts w:hint="eastAsia" w:eastAsiaTheme="minorEastAsia"/>
          <w:sz w:val="24"/>
        </w:rPr>
      </w:pPr>
      <w:r>
        <w:rPr>
          <w:rFonts w:hint="eastAsia" w:eastAsiaTheme="minorEastAsia"/>
          <w:sz w:val="24"/>
        </w:rPr>
        <w:t>（二）甲壳类疾病</w:t>
      </w:r>
    </w:p>
    <w:p w14:paraId="7EFBDDFA">
      <w:pPr>
        <w:spacing w:line="360" w:lineRule="auto"/>
        <w:ind w:firstLine="480" w:firstLineChars="200"/>
        <w:rPr>
          <w:rFonts w:hint="eastAsia" w:eastAsiaTheme="minorEastAsia"/>
          <w:sz w:val="24"/>
        </w:rPr>
      </w:pPr>
      <w:r>
        <w:rPr>
          <w:rFonts w:hint="eastAsia" w:eastAsiaTheme="minorEastAsia"/>
          <w:sz w:val="24"/>
        </w:rPr>
        <w:t>1.白斑综合征：病原为白斑综合征病毒，主要危害对虾、克氏原螯虾、中华绒螯蟹等甲壳类动物，水温20℃～30℃易发病。该病发病急，死亡率高。病虾行动异常，甲壳上出现白点，白点直径小于3毫米或连成片。各对虾主养区应重点予以关注并做好预防。</w:t>
      </w:r>
    </w:p>
    <w:p w14:paraId="1F7FB982">
      <w:pPr>
        <w:spacing w:line="360" w:lineRule="auto"/>
        <w:ind w:firstLine="480" w:firstLineChars="200"/>
        <w:rPr>
          <w:rFonts w:hint="eastAsia" w:eastAsiaTheme="minorEastAsia"/>
          <w:sz w:val="24"/>
        </w:rPr>
      </w:pPr>
      <w:r>
        <w:rPr>
          <w:rFonts w:hint="eastAsia" w:eastAsiaTheme="minorEastAsia"/>
          <w:sz w:val="24"/>
        </w:rPr>
        <w:t>2.十足目虹彩病毒病：病原为十足目虹彩病毒1，主要危害南美白对虾、罗氏沼虾、日本沼虾、克氏原螯虾等，水温16℃～32℃易发病。病虾活力下降、停止摄食，额剑基部甲壳下呈现白色三角区域病变，俗称“白头”。各南美白对虾、罗氏沼虾主养区应重点予以关注并做好预防。</w:t>
      </w:r>
    </w:p>
    <w:p w14:paraId="01FC631B">
      <w:pPr>
        <w:spacing w:line="360" w:lineRule="auto"/>
        <w:ind w:firstLine="480" w:firstLineChars="200"/>
        <w:rPr>
          <w:rFonts w:hint="eastAsia" w:eastAsiaTheme="minorEastAsia"/>
          <w:sz w:val="24"/>
        </w:rPr>
      </w:pPr>
      <w:r>
        <w:rPr>
          <w:rFonts w:hint="eastAsia" w:eastAsiaTheme="minorEastAsia"/>
          <w:sz w:val="24"/>
        </w:rPr>
        <w:t>3.急性肝胰腺坏死病：病原为携带特定毒力基因的弧菌，包括副溶血弧菌、哈维氏弧菌等，主要危害对虾。病虾活力下降，肝胰腺变白、萎缩并出现黑色斑点和条纹。各对虾主养区应重点予以关注并做好预防。</w:t>
      </w:r>
    </w:p>
    <w:p w14:paraId="4A72C319">
      <w:pPr>
        <w:spacing w:line="360" w:lineRule="auto"/>
        <w:ind w:firstLine="480" w:firstLineChars="200"/>
        <w:rPr>
          <w:rFonts w:hint="eastAsia" w:eastAsiaTheme="minorEastAsia"/>
          <w:sz w:val="24"/>
        </w:rPr>
      </w:pPr>
      <w:r>
        <w:rPr>
          <w:rFonts w:hint="eastAsia" w:eastAsiaTheme="minorEastAsia"/>
          <w:sz w:val="24"/>
        </w:rPr>
        <w:t>4.虾肝肠胞虫病：病原为虾肝肠胞虫，主要危害对虾，发病水温为24℃～31℃。病虾出现个体瘦小、肝胰腺颜色深、群体中体长差异大等症状。各对虾主养区需重点防控。</w:t>
      </w:r>
    </w:p>
    <w:p w14:paraId="2FB36A15">
      <w:pPr>
        <w:spacing w:line="360" w:lineRule="auto"/>
        <w:ind w:firstLine="480" w:firstLineChars="200"/>
        <w:rPr>
          <w:rFonts w:hint="eastAsia" w:eastAsiaTheme="minorEastAsia"/>
          <w:sz w:val="24"/>
        </w:rPr>
      </w:pPr>
      <w:r>
        <w:rPr>
          <w:rFonts w:hint="eastAsia" w:eastAsiaTheme="minorEastAsia"/>
          <w:sz w:val="24"/>
        </w:rPr>
        <w:t>（三）部分养殖重点品种疾病</w:t>
      </w:r>
    </w:p>
    <w:p w14:paraId="10F96380">
      <w:pPr>
        <w:spacing w:line="360" w:lineRule="auto"/>
        <w:ind w:firstLine="480" w:firstLineChars="200"/>
        <w:rPr>
          <w:rFonts w:hint="eastAsia" w:eastAsiaTheme="minorEastAsia"/>
          <w:sz w:val="24"/>
        </w:rPr>
      </w:pPr>
      <w:r>
        <w:rPr>
          <w:rFonts w:hint="eastAsia" w:eastAsiaTheme="minorEastAsia"/>
          <w:sz w:val="24"/>
        </w:rPr>
        <w:t>1.鳊：10月易发疾病有淡水鱼细菌性败血症、细菌性肠炎病、车轮虫病、指环虫病、锚头鳋病等。</w:t>
      </w:r>
    </w:p>
    <w:p w14:paraId="4A6ADDFF">
      <w:pPr>
        <w:spacing w:line="360" w:lineRule="auto"/>
        <w:ind w:firstLine="480" w:firstLineChars="200"/>
        <w:rPr>
          <w:rFonts w:hint="eastAsia" w:eastAsiaTheme="minorEastAsia"/>
          <w:sz w:val="24"/>
        </w:rPr>
      </w:pPr>
      <w:r>
        <w:rPr>
          <w:rFonts w:hint="eastAsia" w:eastAsiaTheme="minorEastAsia"/>
          <w:sz w:val="24"/>
        </w:rPr>
        <w:t>2.大口黑鲈：10月易发疾病有蛙虹彩病毒病、柱状黄杆菌病、诺卡氏菌病、指环虫病等。</w:t>
      </w:r>
    </w:p>
    <w:p w14:paraId="00D357D5">
      <w:pPr>
        <w:spacing w:line="360" w:lineRule="auto"/>
        <w:ind w:firstLine="480" w:firstLineChars="200"/>
        <w:rPr>
          <w:rFonts w:hint="eastAsia" w:eastAsiaTheme="minorEastAsia"/>
          <w:sz w:val="24"/>
        </w:rPr>
      </w:pPr>
      <w:r>
        <w:rPr>
          <w:rFonts w:hint="eastAsia" w:eastAsiaTheme="minorEastAsia"/>
          <w:sz w:val="24"/>
        </w:rPr>
        <w:t>3.鲫：10月易发疾病有鲫造血器官坏死病、淡水鱼细菌性败血症、黏孢子虫病、指环虫病等。</w:t>
      </w:r>
    </w:p>
    <w:p w14:paraId="46DD31D6">
      <w:pPr>
        <w:spacing w:line="360" w:lineRule="auto"/>
        <w:ind w:firstLine="480" w:firstLineChars="200"/>
        <w:rPr>
          <w:rFonts w:hint="eastAsia" w:eastAsiaTheme="minorEastAsia"/>
          <w:sz w:val="24"/>
        </w:rPr>
      </w:pPr>
      <w:r>
        <w:rPr>
          <w:rFonts w:hint="eastAsia" w:eastAsiaTheme="minorEastAsia"/>
          <w:sz w:val="24"/>
        </w:rPr>
        <w:t>4.乌鳢：10月易发疾病有淡水鱼细菌性败血症、诺卡氏菌病等。</w:t>
      </w:r>
    </w:p>
    <w:p w14:paraId="2ECDC612">
      <w:pPr>
        <w:spacing w:line="360" w:lineRule="auto"/>
        <w:ind w:firstLine="480" w:firstLineChars="200"/>
        <w:rPr>
          <w:rFonts w:hint="eastAsia" w:eastAsiaTheme="minorEastAsia"/>
          <w:sz w:val="24"/>
        </w:rPr>
      </w:pPr>
      <w:r>
        <w:rPr>
          <w:rFonts w:hint="eastAsia" w:eastAsiaTheme="minorEastAsia"/>
          <w:sz w:val="24"/>
        </w:rPr>
        <w:t>5.黄鳝：10月易发疾病有淡水鱼细菌性败血症、细菌性肠炎病、腐皮病等。</w:t>
      </w:r>
    </w:p>
    <w:p w14:paraId="273471FD">
      <w:pPr>
        <w:spacing w:line="360" w:lineRule="auto"/>
        <w:ind w:firstLine="480" w:firstLineChars="200"/>
        <w:rPr>
          <w:rFonts w:hint="eastAsia" w:eastAsiaTheme="minorEastAsia"/>
          <w:sz w:val="24"/>
        </w:rPr>
      </w:pPr>
      <w:r>
        <w:rPr>
          <w:rFonts w:hint="eastAsia" w:eastAsiaTheme="minorEastAsia"/>
          <w:sz w:val="24"/>
        </w:rPr>
        <w:t>6.泥鳅：10月易发疾病有细菌性肠炎病、腐皮病等。</w:t>
      </w:r>
    </w:p>
    <w:p w14:paraId="125F50CA">
      <w:pPr>
        <w:spacing w:line="360" w:lineRule="auto"/>
        <w:ind w:firstLine="480" w:firstLineChars="200"/>
        <w:rPr>
          <w:rFonts w:eastAsiaTheme="minorEastAsia"/>
          <w:sz w:val="24"/>
        </w:rPr>
      </w:pPr>
      <w:r>
        <w:rPr>
          <w:rFonts w:hint="eastAsia" w:eastAsiaTheme="minorEastAsia"/>
          <w:sz w:val="24"/>
        </w:rPr>
        <w:t>7.牛蛙：10月易发疾病有细菌性肠炎病、红腿病等。</w:t>
      </w:r>
    </w:p>
    <w:p w14:paraId="55013748">
      <w:pPr>
        <w:spacing w:line="360" w:lineRule="auto"/>
        <w:ind w:firstLine="480" w:firstLineChars="200"/>
        <w:jc w:val="center"/>
        <w:rPr>
          <w:rFonts w:eastAsiaTheme="minorEastAsia"/>
          <w:sz w:val="24"/>
        </w:rPr>
      </w:pPr>
      <w:r>
        <w:rPr>
          <w:rFonts w:hint="eastAsia" w:eastAsiaTheme="minorEastAsia"/>
          <w:sz w:val="24"/>
        </w:rPr>
        <w:t>二、防控建议</w:t>
      </w:r>
    </w:p>
    <w:p w14:paraId="25DABC2D">
      <w:pPr>
        <w:spacing w:line="360" w:lineRule="auto"/>
        <w:ind w:firstLine="480" w:firstLineChars="200"/>
        <w:rPr>
          <w:rFonts w:hint="eastAsia" w:eastAsiaTheme="minorEastAsia"/>
          <w:sz w:val="24"/>
        </w:rPr>
      </w:pPr>
      <w:r>
        <w:rPr>
          <w:rFonts w:hint="eastAsia" w:eastAsiaTheme="minorEastAsia"/>
          <w:sz w:val="24"/>
        </w:rPr>
        <w:t>（一）做好养殖生产管理</w:t>
      </w:r>
    </w:p>
    <w:p w14:paraId="5371DF64">
      <w:pPr>
        <w:spacing w:line="360" w:lineRule="auto"/>
        <w:ind w:firstLine="480" w:firstLineChars="200"/>
        <w:rPr>
          <w:rFonts w:hint="eastAsia" w:eastAsiaTheme="minorEastAsia"/>
          <w:sz w:val="24"/>
        </w:rPr>
      </w:pPr>
      <w:r>
        <w:rPr>
          <w:rFonts w:hint="eastAsia" w:eastAsiaTheme="minorEastAsia"/>
          <w:sz w:val="24"/>
        </w:rPr>
        <w:t>一是加强日常巡塘。坚持每日巡塘，认真观察水产养殖对象活动、摄食状态及体表状况，发现异常及时处理；经常性检修养殖塘埂、进排水系统和防逃设施等，确保设施完好、运行正常。二是备好应急物资。提前储备增氧剂、消毒剂、发电机等应急物资和设备，确保极端天气来临前能够快速有效应对。三是规范使用药物。10月是水产品集中出塘上市期，一定要严格执行休药期管理规定，坚决不使用禁停用药物，从源头上确保水产品质量安全，避免因兽药残留造成不必要的经济损失。</w:t>
      </w:r>
    </w:p>
    <w:p w14:paraId="5293DF63">
      <w:pPr>
        <w:spacing w:line="360" w:lineRule="auto"/>
        <w:ind w:firstLine="480" w:firstLineChars="200"/>
        <w:rPr>
          <w:rFonts w:hint="eastAsia" w:eastAsiaTheme="minorEastAsia"/>
          <w:sz w:val="24"/>
        </w:rPr>
      </w:pPr>
      <w:r>
        <w:rPr>
          <w:rFonts w:hint="eastAsia" w:eastAsiaTheme="minorEastAsia"/>
          <w:sz w:val="24"/>
        </w:rPr>
        <w:t>（二）做好越冬前准备</w:t>
      </w:r>
    </w:p>
    <w:p w14:paraId="0DEDAD90">
      <w:pPr>
        <w:spacing w:line="360" w:lineRule="auto"/>
        <w:ind w:firstLine="480" w:firstLineChars="200"/>
        <w:rPr>
          <w:rFonts w:hint="eastAsia" w:eastAsiaTheme="minorEastAsia"/>
          <w:sz w:val="24"/>
        </w:rPr>
      </w:pPr>
      <w:r>
        <w:rPr>
          <w:rFonts w:hint="eastAsia" w:eastAsiaTheme="minorEastAsia"/>
          <w:sz w:val="24"/>
        </w:rPr>
        <w:t>一是合理投喂。选用优质全价配合饲料，不投喂发霉、变质饲料，可适当在饲料中添加黄芪多糖粉、维生素C钠粉（水产用）等免疫增强剂，增强水产养殖对象体质和抗应激能力。二是减少机械损伤。并塘或转塘时，宜选择晴天、水温较高时进行操作，注意动作轻柔，防止水产养殖对象擦伤，降低细菌、真菌继发感染风险。三是加强越冬池塘管理。提前做好清塘消毒、水质调控和增氧设备检修等工作，合理控制养殖密度，确保越冬期间溶氧充足、养殖对象平安越冬。</w:t>
      </w:r>
    </w:p>
    <w:p w14:paraId="7228238F">
      <w:pPr>
        <w:spacing w:line="360" w:lineRule="auto"/>
        <w:ind w:firstLine="480" w:firstLineChars="200"/>
        <w:rPr>
          <w:rFonts w:hint="eastAsia" w:eastAsiaTheme="minorEastAsia"/>
          <w:sz w:val="24"/>
        </w:rPr>
      </w:pPr>
      <w:r>
        <w:rPr>
          <w:rFonts w:hint="eastAsia" w:eastAsiaTheme="minorEastAsia"/>
          <w:sz w:val="24"/>
        </w:rPr>
        <w:t>（三）及时报告疫情</w:t>
      </w:r>
    </w:p>
    <w:p w14:paraId="69F9F754">
      <w:pPr>
        <w:spacing w:line="360" w:lineRule="auto"/>
        <w:ind w:firstLine="480" w:firstLineChars="200"/>
        <w:rPr>
          <w:rFonts w:hint="eastAsia" w:eastAsiaTheme="minorEastAsia"/>
          <w:sz w:val="24"/>
        </w:rPr>
      </w:pPr>
      <w:r>
        <w:rPr>
          <w:rFonts w:hint="eastAsia" w:eastAsiaTheme="minorEastAsia"/>
          <w:sz w:val="24"/>
        </w:rPr>
        <w:t>在养殖生产过程中，一旦发现异常情况，应立即按照规定程序上报，做到早发现、早报告、早预警、早处置。相关水生动物疾病防控方法，可登录“全国水生动物疾病远程辅助诊断服务网”（www.adds.org.cn），在“常见疾病”中查询，或通过“自助诊断”及“专家诊室”进行诊断或咨询。</w:t>
      </w:r>
    </w:p>
    <w:p w14:paraId="5BE4DCFF">
      <w:pPr>
        <w:spacing w:line="360" w:lineRule="auto"/>
        <w:ind w:firstLine="426"/>
        <w:jc w:val="right"/>
        <w:rPr>
          <w:rStyle w:val="97"/>
          <w:rFonts w:eastAsiaTheme="minorEastAsia"/>
          <w:szCs w:val="21"/>
        </w:rPr>
      </w:pPr>
      <w:r>
        <w:rPr>
          <w:rStyle w:val="97"/>
          <w:rFonts w:eastAsiaTheme="minorEastAsia"/>
          <w:szCs w:val="21"/>
        </w:rPr>
        <w:t>转摘自</w:t>
      </w:r>
      <w:r>
        <w:rPr>
          <w:rStyle w:val="97"/>
          <w:rFonts w:hint="eastAsia" w:eastAsiaTheme="minorEastAsia"/>
          <w:szCs w:val="21"/>
        </w:rPr>
        <w:t>全国水产技术推广总站、农业农村部水产养殖病害防治专家委员会</w:t>
      </w:r>
    </w:p>
    <w:p w14:paraId="5359B0F7">
      <w:pPr>
        <w:spacing w:line="276" w:lineRule="auto"/>
        <w:jc w:val="left"/>
        <w:outlineLvl w:val="0"/>
        <w:rPr>
          <w:rStyle w:val="97"/>
          <w:rFonts w:eastAsia="黑体"/>
          <w:b/>
          <w:bCs/>
          <w:sz w:val="32"/>
          <w:szCs w:val="32"/>
          <w:bdr w:val="single" w:color="auto" w:sz="4" w:space="0"/>
        </w:rPr>
      </w:pPr>
      <w:bookmarkStart w:id="9" w:name="_Toc241496778"/>
      <w:r>
        <w:rPr>
          <w:rStyle w:val="97"/>
          <w:rFonts w:eastAsia="黑体"/>
          <w:b/>
          <w:bCs/>
          <w:sz w:val="32"/>
          <w:szCs w:val="32"/>
          <w:bdr w:val="single" w:color="auto" w:sz="4" w:space="0"/>
        </w:rPr>
        <w:t>行业资讯</w:t>
      </w:r>
      <w:bookmarkEnd w:id="9"/>
    </w:p>
    <w:p w14:paraId="0F29CBE6">
      <w:pPr>
        <w:spacing w:line="360" w:lineRule="auto"/>
        <w:jc w:val="center"/>
        <w:outlineLvl w:val="1"/>
        <w:rPr>
          <w:rFonts w:hint="eastAsia" w:eastAsia="黑体"/>
          <w:b/>
          <w:bCs/>
          <w:sz w:val="32"/>
          <w:szCs w:val="32"/>
        </w:rPr>
      </w:pPr>
      <w:bookmarkStart w:id="10" w:name="_Toc241496779"/>
      <w:r>
        <w:rPr>
          <w:rFonts w:hint="eastAsia" w:eastAsia="黑体"/>
          <w:b/>
          <w:bCs/>
          <w:sz w:val="32"/>
          <w:szCs w:val="32"/>
        </w:rPr>
        <w:t>福建省海洋与渔业局召开海洋经济形势分析专题会</w:t>
      </w:r>
      <w:bookmarkEnd w:id="10"/>
    </w:p>
    <w:p w14:paraId="7BF5DF04">
      <w:pPr>
        <w:spacing w:line="360" w:lineRule="auto"/>
        <w:ind w:firstLine="420"/>
        <w:rPr>
          <w:rFonts w:eastAsiaTheme="minorEastAsia"/>
          <w:sz w:val="24"/>
        </w:rPr>
      </w:pPr>
      <w:r>
        <w:rPr>
          <w:rFonts w:hint="eastAsia" w:eastAsiaTheme="minorEastAsia"/>
          <w:sz w:val="24"/>
        </w:rPr>
        <w:t>9月18日下午，福建省海洋与渔业局党组书记郑彧主持召开海洋经济形势分析专题会，分析研判三季度全省海洋经济运行情况，部署推进四季度重点工作，强调要持续夯实基本盘，培育新增长点，确保完成全年目标任务，巩固提升海洋经济高质量发展全国领先优势，奋力实现“十五五”开好局起好步。</w:t>
      </w:r>
    </w:p>
    <w:p w14:paraId="419FFCC1">
      <w:pPr>
        <w:spacing w:line="360" w:lineRule="auto"/>
        <w:ind w:firstLine="420"/>
        <w:rPr>
          <w:rFonts w:eastAsiaTheme="minorEastAsia"/>
          <w:b/>
          <w:bCs/>
          <w:sz w:val="24"/>
        </w:rPr>
      </w:pPr>
      <w:r>
        <w:rPr>
          <w:rFonts w:hint="eastAsia" w:eastAsiaTheme="minorEastAsia"/>
          <w:b/>
          <w:bCs/>
          <w:sz w:val="24"/>
        </w:rPr>
        <w:t>会议指出——</w:t>
      </w:r>
    </w:p>
    <w:p w14:paraId="25FAE7E9">
      <w:pPr>
        <w:spacing w:line="360" w:lineRule="auto"/>
        <w:ind w:firstLine="420"/>
        <w:rPr>
          <w:rFonts w:eastAsiaTheme="minorEastAsia"/>
          <w:sz w:val="24"/>
        </w:rPr>
      </w:pPr>
      <w:r>
        <w:rPr>
          <w:rFonts w:hint="eastAsia" w:eastAsiaTheme="minorEastAsia"/>
          <w:sz w:val="24"/>
        </w:rPr>
        <w:t>今年以来，全省海洋经济保持稳中蓄势、向新向优发展态势，海洋发展优势持续夯实。要深入学习贯彻习近平总书记关于海洋强国建设重要论述，认真落实省委十一届十次全会精神，坚定扛牢海洋强省建设政治责任，牢固树立和践行正确政绩观，深入开展“三争”行动，全力推动海洋经济高质量发展提质增效。</w:t>
      </w:r>
    </w:p>
    <w:p w14:paraId="5CA7BC20">
      <w:pPr>
        <w:spacing w:line="360" w:lineRule="auto"/>
        <w:ind w:firstLine="420"/>
        <w:rPr>
          <w:rFonts w:eastAsiaTheme="minorEastAsia"/>
          <w:b/>
          <w:bCs/>
          <w:sz w:val="24"/>
        </w:rPr>
      </w:pPr>
      <w:r>
        <w:rPr>
          <w:rFonts w:hint="eastAsia" w:eastAsiaTheme="minorEastAsia"/>
          <w:b/>
          <w:bCs/>
          <w:sz w:val="24"/>
        </w:rPr>
        <w:t>会议强调——</w:t>
      </w:r>
    </w:p>
    <w:p w14:paraId="614BFDE4">
      <w:pPr>
        <w:spacing w:line="360" w:lineRule="auto"/>
        <w:ind w:firstLine="420"/>
        <w:rPr>
          <w:rFonts w:hint="eastAsia" w:eastAsiaTheme="minorEastAsia"/>
          <w:sz w:val="24"/>
        </w:rPr>
      </w:pPr>
      <w:r>
        <w:rPr>
          <w:rFonts w:hint="eastAsia" w:eastAsiaTheme="minorEastAsia"/>
          <w:sz w:val="24"/>
        </w:rPr>
        <w:t>要发展壮大海洋产业，巩固提质海洋渔业、海洋文旅、绿色化工、船舶制造等传统产业，培育壮大海洋生物医药、海工装备、海洋新能源等新兴产业，加快布局海洋电子信息、海洋空天等未来产业。</w:t>
      </w:r>
    </w:p>
    <w:p w14:paraId="757C7586">
      <w:pPr>
        <w:spacing w:line="360" w:lineRule="auto"/>
        <w:ind w:firstLine="420"/>
        <w:rPr>
          <w:rFonts w:hint="eastAsia" w:eastAsiaTheme="minorEastAsia"/>
          <w:sz w:val="24"/>
        </w:rPr>
      </w:pPr>
      <w:r>
        <w:rPr>
          <w:rFonts w:hint="eastAsia" w:eastAsiaTheme="minorEastAsia"/>
          <w:sz w:val="24"/>
        </w:rPr>
        <w:t>要强化海洋创新驱动，组建海洋创新联盟体，建立健全海洋科技创新体系。吸引更多海洋领域院士团队来闽创新创业，促进海洋科技创新与产业创新深度融合。深化“五链”融合，加快建设一体化大融合“海上福建”总平台。</w:t>
      </w:r>
    </w:p>
    <w:p w14:paraId="14A58711">
      <w:pPr>
        <w:spacing w:line="360" w:lineRule="auto"/>
        <w:ind w:firstLine="420"/>
        <w:rPr>
          <w:rFonts w:hint="eastAsia" w:eastAsiaTheme="minorEastAsia"/>
          <w:sz w:val="24"/>
        </w:rPr>
      </w:pPr>
      <w:r>
        <w:rPr>
          <w:rFonts w:hint="eastAsia" w:eastAsiaTheme="minorEastAsia"/>
          <w:sz w:val="24"/>
        </w:rPr>
        <w:t>要加快涉海项目建设，提速福州国家远洋渔业基地、现代化渔港及渔港经济区等重点项目建设，持续做强固投支撑。紧扣“六张网”建设投资导向，积极推动“策划一批、储备一批、申报一批、实施一批”海洋领域重大项目，为加快“海上福建”建设注入强劲蓝色动能。</w:t>
      </w:r>
    </w:p>
    <w:p w14:paraId="4F87824C">
      <w:pPr>
        <w:spacing w:line="360" w:lineRule="auto"/>
        <w:ind w:firstLine="420"/>
        <w:rPr>
          <w:rFonts w:eastAsiaTheme="minorEastAsia"/>
          <w:sz w:val="24"/>
        </w:rPr>
      </w:pPr>
      <w:r>
        <w:rPr>
          <w:rFonts w:hint="eastAsia" w:eastAsiaTheme="minorEastAsia"/>
          <w:sz w:val="24"/>
        </w:rPr>
        <w:t>要放大政策试点效应，精准对接福建海洋发展现实需求，积极争取国家重要政策、重点项目、重大平台、试点示范落地福建。加快推进福州、厦门全国海洋经济发展示范区建设，开展海岛经济试点。</w:t>
      </w:r>
    </w:p>
    <w:p w14:paraId="77EB96E7">
      <w:pPr>
        <w:spacing w:line="360" w:lineRule="auto"/>
        <w:ind w:firstLine="420"/>
        <w:rPr>
          <w:rFonts w:eastAsiaTheme="minorEastAsia"/>
          <w:b/>
          <w:bCs/>
          <w:sz w:val="24"/>
        </w:rPr>
      </w:pPr>
      <w:r>
        <w:rPr>
          <w:rFonts w:hint="eastAsia" w:eastAsiaTheme="minorEastAsia"/>
          <w:b/>
          <w:bCs/>
          <w:sz w:val="24"/>
        </w:rPr>
        <w:t>会议要求——</w:t>
      </w:r>
    </w:p>
    <w:p w14:paraId="1A425442">
      <w:pPr>
        <w:spacing w:line="360" w:lineRule="auto"/>
        <w:ind w:firstLine="420"/>
        <w:rPr>
          <w:rFonts w:hint="eastAsia" w:eastAsiaTheme="minorEastAsia"/>
          <w:sz w:val="24"/>
        </w:rPr>
      </w:pPr>
      <w:r>
        <w:rPr>
          <w:rFonts w:hint="eastAsia" w:eastAsiaTheme="minorEastAsia"/>
          <w:sz w:val="24"/>
        </w:rPr>
        <w:t>要加快出台福建省海洋经济统计监测体系工作方案，强化海洋经济运行监测，深化与省发改委、统计局等部门协同联动，督促指导各地做好监测统计工作，做到应统尽统。加强队伍建设，海经处、评估中心和调查队要牵头抓总，机关各处室、局属各单位要协同配合，形成齐抓共管的海洋经济监测统计格局。</w:t>
      </w:r>
    </w:p>
    <w:p w14:paraId="03CA9789">
      <w:pPr>
        <w:spacing w:line="360" w:lineRule="auto"/>
        <w:ind w:firstLine="420"/>
        <w:rPr>
          <w:rFonts w:hint="eastAsia" w:eastAsiaTheme="minorEastAsia"/>
          <w:sz w:val="24"/>
        </w:rPr>
      </w:pPr>
      <w:r>
        <w:rPr>
          <w:rFonts w:hint="eastAsia" w:eastAsiaTheme="minorEastAsia"/>
          <w:sz w:val="24"/>
        </w:rPr>
        <w:t>要提早谋划明年思路举措，扎实推进政策研究制定、产业项目招引，实行任务式、条目式、清单化管理，加快推动海洋经济高质量发展。</w:t>
      </w:r>
    </w:p>
    <w:p w14:paraId="227989DA">
      <w:pPr>
        <w:spacing w:line="360" w:lineRule="auto"/>
        <w:jc w:val="right"/>
        <w:rPr>
          <w:rFonts w:eastAsia="黑体"/>
          <w:b/>
          <w:bCs/>
          <w:sz w:val="32"/>
          <w:szCs w:val="32"/>
        </w:rPr>
      </w:pPr>
      <w:bookmarkStart w:id="11" w:name="_Toc229603690"/>
      <w:r>
        <w:rPr>
          <w:rStyle w:val="97"/>
          <w:rFonts w:eastAsiaTheme="minorEastAsia"/>
          <w:szCs w:val="21"/>
        </w:rPr>
        <w:t>转摘</w:t>
      </w:r>
      <w:r>
        <w:rPr>
          <w:rStyle w:val="97"/>
          <w:rFonts w:hint="eastAsia" w:eastAsiaTheme="minorEastAsia"/>
          <w:szCs w:val="21"/>
        </w:rPr>
        <w:t>自</w:t>
      </w:r>
      <w:bookmarkEnd w:id="11"/>
      <w:r>
        <w:rPr>
          <w:rStyle w:val="97"/>
          <w:rFonts w:hint="eastAsia" w:eastAsiaTheme="minorEastAsia"/>
          <w:szCs w:val="21"/>
        </w:rPr>
        <w:t>福建省海洋与渔业局</w:t>
      </w:r>
    </w:p>
    <w:p w14:paraId="2BAA2B2A">
      <w:pPr>
        <w:spacing w:line="360" w:lineRule="auto"/>
        <w:jc w:val="center"/>
        <w:outlineLvl w:val="1"/>
        <w:rPr>
          <w:rFonts w:eastAsia="黑体"/>
          <w:b/>
          <w:bCs/>
          <w:sz w:val="32"/>
          <w:szCs w:val="32"/>
        </w:rPr>
      </w:pPr>
      <w:bookmarkStart w:id="12" w:name="_Toc241496780"/>
      <w:r>
        <w:rPr>
          <w:rFonts w:hint="eastAsia" w:eastAsia="黑体"/>
          <w:b/>
          <w:bCs/>
          <w:sz w:val="32"/>
          <w:szCs w:val="32"/>
        </w:rPr>
        <w:t>福建省海洋与渔业局召开“十五五”海洋与渔业工作专题会</w:t>
      </w:r>
      <w:bookmarkEnd w:id="12"/>
    </w:p>
    <w:p w14:paraId="0853718A">
      <w:pPr>
        <w:spacing w:line="360" w:lineRule="auto"/>
        <w:ind w:firstLine="420"/>
        <w:rPr>
          <w:rFonts w:eastAsiaTheme="minorEastAsia"/>
          <w:sz w:val="24"/>
        </w:rPr>
      </w:pPr>
      <w:r>
        <w:rPr>
          <w:rFonts w:hint="eastAsia" w:eastAsiaTheme="minorEastAsia"/>
          <w:sz w:val="24"/>
        </w:rPr>
        <w:t>9月21日下午，福建省海洋与渔业局党组书记、局长郑彧主持召开“十五五”海洋与渔业工作专题会，听取“十五五”时期海洋与渔业有关规划政策、资金项目情况汇报，分析研判当前工作形势，研究部署下一阶段重点任务。</w:t>
      </w:r>
    </w:p>
    <w:p w14:paraId="04376D57">
      <w:pPr>
        <w:spacing w:line="360" w:lineRule="auto"/>
        <w:ind w:firstLine="420"/>
        <w:rPr>
          <w:rFonts w:eastAsiaTheme="minorEastAsia"/>
          <w:b/>
          <w:bCs/>
          <w:sz w:val="24"/>
        </w:rPr>
      </w:pPr>
      <w:r>
        <w:rPr>
          <w:rFonts w:hint="eastAsia" w:eastAsiaTheme="minorEastAsia"/>
          <w:b/>
          <w:bCs/>
          <w:sz w:val="24"/>
        </w:rPr>
        <w:t>会议指出——</w:t>
      </w:r>
    </w:p>
    <w:p w14:paraId="3AE6E4BC">
      <w:pPr>
        <w:spacing w:line="360" w:lineRule="auto"/>
        <w:ind w:firstLine="420"/>
        <w:rPr>
          <w:rFonts w:eastAsiaTheme="minorEastAsia"/>
          <w:sz w:val="24"/>
        </w:rPr>
      </w:pPr>
      <w:r>
        <w:rPr>
          <w:rFonts w:hint="eastAsia" w:eastAsiaTheme="minorEastAsia"/>
          <w:sz w:val="24"/>
        </w:rPr>
        <w:t>“十五五”时期是奋勇争先加快“海上福建”建设的重要时期。要深入学习贯彻习近平总书记关于海洋强国建设重要论述，认真落实省委、省政府部署要求，强化规划引领、政策导向、资金保障、项目支撑，扎实推动“十五五”全省海洋与渔业高质量发展。</w:t>
      </w:r>
    </w:p>
    <w:p w14:paraId="51BA8937">
      <w:pPr>
        <w:spacing w:line="360" w:lineRule="auto"/>
        <w:ind w:firstLine="420"/>
        <w:rPr>
          <w:rFonts w:eastAsiaTheme="minorEastAsia"/>
          <w:b/>
          <w:bCs/>
          <w:sz w:val="24"/>
        </w:rPr>
      </w:pPr>
      <w:r>
        <w:rPr>
          <w:rFonts w:hint="eastAsia" w:eastAsiaTheme="minorEastAsia"/>
          <w:b/>
          <w:bCs/>
          <w:sz w:val="24"/>
        </w:rPr>
        <w:t>会议要求——</w:t>
      </w:r>
    </w:p>
    <w:p w14:paraId="39CC9299">
      <w:pPr>
        <w:spacing w:line="360" w:lineRule="auto"/>
        <w:ind w:firstLine="420"/>
        <w:rPr>
          <w:rFonts w:eastAsiaTheme="minorEastAsia"/>
          <w:sz w:val="24"/>
        </w:rPr>
      </w:pPr>
      <w:r>
        <w:rPr>
          <w:rFonts w:hint="eastAsia" w:eastAsiaTheme="minorEastAsia"/>
          <w:sz w:val="24"/>
        </w:rPr>
        <w:t>要强化规划引领，坚持目标导向、问题导向、结果导向相统一，紧扣“十五五”发展目标任务，细化分解各年度目标任务措施项目，倒排时序、压茬推进，加快塑造海洋经济发展新优势。</w:t>
      </w:r>
    </w:p>
    <w:p w14:paraId="7820BC70">
      <w:pPr>
        <w:spacing w:line="360" w:lineRule="auto"/>
        <w:ind w:firstLine="420"/>
        <w:rPr>
          <w:rFonts w:eastAsiaTheme="minorEastAsia"/>
          <w:b/>
          <w:bCs/>
          <w:sz w:val="24"/>
        </w:rPr>
      </w:pPr>
      <w:r>
        <w:rPr>
          <w:rFonts w:hint="eastAsia" w:eastAsiaTheme="minorEastAsia"/>
          <w:b/>
          <w:bCs/>
          <w:sz w:val="24"/>
        </w:rPr>
        <w:t>会议强调——</w:t>
      </w:r>
    </w:p>
    <w:p w14:paraId="1AEA121F">
      <w:pPr>
        <w:spacing w:line="360" w:lineRule="auto"/>
        <w:ind w:firstLine="420"/>
        <w:rPr>
          <w:rFonts w:hint="eastAsia" w:eastAsiaTheme="minorEastAsia"/>
          <w:sz w:val="24"/>
        </w:rPr>
      </w:pPr>
      <w:r>
        <w:rPr>
          <w:rFonts w:hint="eastAsia" w:eastAsiaTheme="minorEastAsia"/>
          <w:sz w:val="24"/>
        </w:rPr>
        <w:t>要突出政策方向，围绕“解决什么问题、实现什么目标、取得什么成效”制定政策、配置资金、建设项目。</w:t>
      </w:r>
    </w:p>
    <w:p w14:paraId="4DBF4578">
      <w:pPr>
        <w:spacing w:line="360" w:lineRule="auto"/>
        <w:ind w:firstLine="420"/>
        <w:rPr>
          <w:rFonts w:hint="eastAsia" w:eastAsiaTheme="minorEastAsia"/>
          <w:sz w:val="24"/>
        </w:rPr>
      </w:pPr>
      <w:r>
        <w:rPr>
          <w:rFonts w:hint="eastAsia" w:eastAsiaTheme="minorEastAsia"/>
          <w:sz w:val="24"/>
        </w:rPr>
        <w:t>要突出安全保障，着力补齐渔业安全、水产品质量安全、执法监管、防灾减灾等短板，扎牢高质量发展安全根基。</w:t>
      </w:r>
    </w:p>
    <w:p w14:paraId="2B9DD4F3">
      <w:pPr>
        <w:spacing w:line="360" w:lineRule="auto"/>
        <w:ind w:firstLine="420"/>
        <w:rPr>
          <w:rFonts w:hint="eastAsia" w:eastAsiaTheme="minorEastAsia"/>
          <w:sz w:val="24"/>
        </w:rPr>
      </w:pPr>
      <w:r>
        <w:rPr>
          <w:rFonts w:hint="eastAsia" w:eastAsiaTheme="minorEastAsia"/>
          <w:sz w:val="24"/>
        </w:rPr>
        <w:t>要突出发展导向，聚焦海洋产业升级、现代渔业建设、海洋科技创新、生态价值转化等重点领域，以财政资金带动社会资本参与，更好撬动海洋经济发展。</w:t>
      </w:r>
    </w:p>
    <w:p w14:paraId="4908A933">
      <w:pPr>
        <w:spacing w:line="360" w:lineRule="auto"/>
        <w:ind w:firstLine="420"/>
        <w:rPr>
          <w:rFonts w:hint="eastAsia" w:eastAsiaTheme="minorEastAsia"/>
          <w:sz w:val="24"/>
        </w:rPr>
      </w:pPr>
      <w:r>
        <w:rPr>
          <w:rFonts w:hint="eastAsia" w:eastAsiaTheme="minorEastAsia"/>
          <w:sz w:val="24"/>
        </w:rPr>
        <w:t>要突出统筹兼顾，统筹当前与长远、发展与安全、发展与民生、发展与生态，统筹渔民、渔业、渔港、渔村、渔船保障，抢抓“六张网”建设机遇，提升财政资源配置效益。</w:t>
      </w:r>
    </w:p>
    <w:p w14:paraId="4A2CE5E9">
      <w:pPr>
        <w:spacing w:line="360" w:lineRule="auto"/>
        <w:ind w:firstLine="420"/>
        <w:rPr>
          <w:rFonts w:hint="eastAsia" w:eastAsiaTheme="minorEastAsia"/>
          <w:sz w:val="24"/>
        </w:rPr>
      </w:pPr>
      <w:r>
        <w:rPr>
          <w:rFonts w:hint="eastAsia" w:eastAsiaTheme="minorEastAsia"/>
          <w:sz w:val="24"/>
        </w:rPr>
        <w:t>要突出重点领域，聚焦县域重点产业链，抓重点区域、重点行业、重点龙头企业，推动一二三产深度融合，提升海洋与渔业全产业链水平，拓展产业链生态圈。</w:t>
      </w:r>
    </w:p>
    <w:p w14:paraId="6EEB6DE1">
      <w:pPr>
        <w:spacing w:line="360" w:lineRule="auto"/>
        <w:ind w:firstLine="420"/>
        <w:rPr>
          <w:rFonts w:eastAsiaTheme="minorEastAsia"/>
          <w:sz w:val="24"/>
        </w:rPr>
      </w:pPr>
      <w:r>
        <w:rPr>
          <w:rFonts w:hint="eastAsia" w:eastAsiaTheme="minorEastAsia"/>
          <w:sz w:val="24"/>
        </w:rPr>
        <w:t>要突出能力支撑，加强基础设施、装备、技术、平台和人才等方面投入，提升全省海洋与渔业系统履职尽责和服务发展的能力。</w:t>
      </w:r>
    </w:p>
    <w:p w14:paraId="3AE02103">
      <w:pPr>
        <w:spacing w:line="360" w:lineRule="auto"/>
        <w:ind w:firstLine="420"/>
        <w:rPr>
          <w:rFonts w:eastAsiaTheme="minorEastAsia"/>
          <w:b/>
          <w:bCs/>
          <w:sz w:val="24"/>
        </w:rPr>
      </w:pPr>
      <w:r>
        <w:rPr>
          <w:rFonts w:hint="eastAsia" w:eastAsiaTheme="minorEastAsia"/>
          <w:b/>
          <w:bCs/>
          <w:sz w:val="24"/>
        </w:rPr>
        <w:t>会议要求——</w:t>
      </w:r>
    </w:p>
    <w:p w14:paraId="26AEDBE0">
      <w:pPr>
        <w:spacing w:line="360" w:lineRule="auto"/>
        <w:ind w:firstLine="420"/>
        <w:rPr>
          <w:rFonts w:hint="eastAsia" w:eastAsiaTheme="minorEastAsia"/>
          <w:sz w:val="24"/>
        </w:rPr>
      </w:pPr>
      <w:r>
        <w:rPr>
          <w:rFonts w:hint="eastAsia" w:eastAsiaTheme="minorEastAsia"/>
          <w:sz w:val="24"/>
        </w:rPr>
        <w:t>要重实干求实效，坚决克服“等政策、等资金、等项目”的惯性思维，实行台账式管理、项目化推进，明确谋政策、配资金、抓项目责任主体、进度时限和工作措施，逐条逐项推进落实。优化实施机制，减少中间环节，推动政策红利、财政资金直达经营主体和基层一线。</w:t>
      </w:r>
    </w:p>
    <w:p w14:paraId="4E5736F8">
      <w:pPr>
        <w:spacing w:line="360" w:lineRule="auto"/>
        <w:ind w:firstLine="420"/>
        <w:rPr>
          <w:rFonts w:hint="eastAsia" w:eastAsiaTheme="minorEastAsia"/>
          <w:sz w:val="24"/>
        </w:rPr>
      </w:pPr>
      <w:r>
        <w:rPr>
          <w:rFonts w:hint="eastAsia" w:eastAsiaTheme="minorEastAsia"/>
          <w:sz w:val="24"/>
        </w:rPr>
        <w:t>要强化联动协作，加强与发改、自然资源、财政、农业农村、工信、金融等部门协作，推动合力集聚、资源整合、优势互补，构建上下贯通、协同推进的工作格局。</w:t>
      </w:r>
    </w:p>
    <w:p w14:paraId="6D2DF037">
      <w:pPr>
        <w:spacing w:line="360" w:lineRule="auto"/>
        <w:ind w:firstLine="420"/>
        <w:rPr>
          <w:rFonts w:hint="eastAsia" w:eastAsiaTheme="minorEastAsia"/>
          <w:sz w:val="24"/>
        </w:rPr>
      </w:pPr>
      <w:r>
        <w:rPr>
          <w:rFonts w:hint="eastAsia" w:eastAsiaTheme="minorEastAsia"/>
          <w:sz w:val="24"/>
        </w:rPr>
        <w:t>要落实节俭要求，更加注重精打细算、精准滴灌，把财政资金用在刀刃上、花在紧要处，让有限财力发挥出更大的经济效益、社会效益和民生效益。</w:t>
      </w:r>
    </w:p>
    <w:p w14:paraId="7A9AC5C4">
      <w:pPr>
        <w:spacing w:line="360" w:lineRule="auto"/>
        <w:ind w:firstLine="420"/>
        <w:rPr>
          <w:rFonts w:hint="eastAsia" w:eastAsiaTheme="minorEastAsia"/>
          <w:sz w:val="24"/>
        </w:rPr>
      </w:pPr>
      <w:r>
        <w:rPr>
          <w:rFonts w:hint="eastAsia" w:eastAsiaTheme="minorEastAsia"/>
          <w:sz w:val="24"/>
        </w:rPr>
        <w:t>要强化绩效管理，加强绩效结果应用，落实激励约束举措，一体捆绑推动业务处室、属地部门、重点企业、重点项目责任落实，推动形成更多实物量增长量。</w:t>
      </w:r>
    </w:p>
    <w:p w14:paraId="58E3537D">
      <w:pPr>
        <w:spacing w:line="360" w:lineRule="auto"/>
        <w:ind w:firstLine="420"/>
        <w:jc w:val="right"/>
        <w:rPr>
          <w:rFonts w:eastAsiaTheme="minorEastAsia"/>
          <w:szCs w:val="21"/>
        </w:rPr>
      </w:pPr>
      <w:r>
        <w:rPr>
          <w:rStyle w:val="97"/>
          <w:rFonts w:eastAsiaTheme="minorEastAsia"/>
          <w:szCs w:val="21"/>
        </w:rPr>
        <w:t>转摘</w:t>
      </w:r>
      <w:r>
        <w:rPr>
          <w:rStyle w:val="97"/>
          <w:rFonts w:hint="eastAsia" w:eastAsiaTheme="minorEastAsia"/>
          <w:szCs w:val="21"/>
        </w:rPr>
        <w:t>自福建省海洋与渔业局</w:t>
      </w:r>
    </w:p>
    <w:p w14:paraId="2406BAE7">
      <w:pPr>
        <w:spacing w:line="360" w:lineRule="auto"/>
        <w:jc w:val="center"/>
        <w:outlineLvl w:val="1"/>
        <w:rPr>
          <w:rFonts w:eastAsia="黑体"/>
          <w:b/>
          <w:bCs/>
          <w:sz w:val="32"/>
          <w:szCs w:val="32"/>
        </w:rPr>
      </w:pPr>
      <w:bookmarkStart w:id="13" w:name="_Toc241496781"/>
      <w:r>
        <w:rPr>
          <w:rFonts w:hint="eastAsia" w:eastAsia="黑体"/>
          <w:b/>
          <w:bCs/>
          <w:sz w:val="32"/>
          <w:szCs w:val="32"/>
        </w:rPr>
        <w:t>开渔之后 鱼虾满舱</w:t>
      </w:r>
      <w:bookmarkEnd w:id="13"/>
    </w:p>
    <w:p w14:paraId="23B5C589">
      <w:pPr>
        <w:spacing w:line="360" w:lineRule="auto"/>
        <w:ind w:firstLine="420"/>
        <w:rPr>
          <w:rFonts w:hint="eastAsia" w:eastAsiaTheme="minorEastAsia"/>
          <w:sz w:val="24"/>
        </w:rPr>
      </w:pPr>
      <w:r>
        <w:rPr>
          <w:rFonts w:hint="eastAsia" w:eastAsiaTheme="minorEastAsia"/>
          <w:sz w:val="24"/>
        </w:rPr>
        <w:t>9月16日12时，随着东海、黄海海域休渔禁令正式解除，我国渤海、黄海、东海、南海四大海域全部结束休渔，实现2026年全国全面开渔。</w:t>
      </w:r>
    </w:p>
    <w:p w14:paraId="1EA2C113">
      <w:pPr>
        <w:spacing w:line="360" w:lineRule="auto"/>
        <w:ind w:firstLine="420"/>
        <w:rPr>
          <w:rFonts w:eastAsiaTheme="minorEastAsia"/>
          <w:sz w:val="24"/>
        </w:rPr>
      </w:pPr>
      <w:r>
        <w:rPr>
          <w:rFonts w:hint="eastAsia" w:eastAsiaTheme="minorEastAsia"/>
          <w:sz w:val="24"/>
        </w:rPr>
        <w:t>历时4个半月伏季休养，闽浙苏沪鲁沿海渔港千帆竞发，各类合规作业渔船奔赴深海，开启新一轮“耕海牧渔”。</w:t>
      </w:r>
    </w:p>
    <w:p w14:paraId="76A9DF0F">
      <w:pPr>
        <w:spacing w:line="360" w:lineRule="auto"/>
        <w:ind w:firstLine="420"/>
        <w:rPr>
          <w:rFonts w:eastAsiaTheme="minorEastAsia"/>
          <w:sz w:val="24"/>
        </w:rPr>
      </w:pPr>
      <w:r>
        <w:rPr>
          <w:rFonts w:hint="eastAsia" w:eastAsiaTheme="minorEastAsia"/>
          <w:sz w:val="24"/>
        </w:rPr>
        <w:t>全国休渔海域覆盖渤海、黄海、东海及北纬12度以北的南海，按纬度划为3个区域。</w:t>
      </w:r>
    </w:p>
    <w:p w14:paraId="2757E613">
      <w:pPr>
        <w:spacing w:line="360" w:lineRule="auto"/>
        <w:ind w:firstLine="420"/>
        <w:rPr>
          <w:rFonts w:hint="eastAsia" w:eastAsiaTheme="minorEastAsia"/>
          <w:sz w:val="24"/>
        </w:rPr>
      </w:pPr>
      <w:r>
        <w:rPr>
          <w:rFonts w:hint="eastAsia" w:eastAsiaTheme="minorEastAsia"/>
          <w:sz w:val="24"/>
        </w:rPr>
        <w:t>为什么要休渔？中国海洋大学法学院教授王金鹏介绍，夏季是海洋鱼类、虾蟹繁育和幼体生长关键期。暂停大规模捕捞，既让海洋休养生息，也让鱼虾满舱更有底气，百姓餐桌上那口“鲜”更有保障。</w:t>
      </w:r>
    </w:p>
    <w:p w14:paraId="243AABCE">
      <w:pPr>
        <w:spacing w:line="360" w:lineRule="auto"/>
        <w:ind w:firstLine="420"/>
        <w:rPr>
          <w:rFonts w:hint="eastAsia" w:eastAsiaTheme="minorEastAsia"/>
          <w:sz w:val="24"/>
        </w:rPr>
      </w:pPr>
      <w:r>
        <w:rPr>
          <w:rFonts w:hint="eastAsia" w:eastAsiaTheme="minorEastAsia"/>
          <w:sz w:val="24"/>
        </w:rPr>
        <w:t>开渔时间为何不同？中国水产科学研究院南海水产研究所研究员陈作志说，各海域纬度不同，海水温度节律不同，主要经济鱼类的繁殖期和幼鱼生长周期也各不相同。南海水温高，鱼类繁殖早、生长快，8月16日开渔；黄渤海主要保护梭子蟹、对虾等，9月1日开渔；东海主要保护带鱼、大黄鱼、小黄鱼等，幼鱼长成时间更晚，9月16日开渔。而在福建，开渔以“北纬26度30分”为界，闽南8月16日开渔，闽东9月16日全面开渔。原因是闽南靠近南海渔场，鱼汛早；闽东面向东海，主要经济鱼类生长周期更长。</w:t>
      </w:r>
    </w:p>
    <w:p w14:paraId="4BBC7B25">
      <w:pPr>
        <w:spacing w:line="360" w:lineRule="auto"/>
        <w:ind w:firstLine="420"/>
        <w:rPr>
          <w:rFonts w:hint="eastAsia" w:eastAsiaTheme="minorEastAsia"/>
          <w:sz w:val="24"/>
        </w:rPr>
      </w:pPr>
      <w:r>
        <w:rPr>
          <w:rFonts w:hint="eastAsia" w:eastAsiaTheme="minorEastAsia"/>
          <w:sz w:val="24"/>
        </w:rPr>
        <w:t>休渔带来哪些好处？农业农村部监测显示，经过4个半月休养生息，东海北部休渔后期总资源密度比休渔前期增长约9.8倍，黄海南部增长4.7倍。而且，休渔也不是“一刀切”禁止所有捕捞。据介绍，伏渔期间可申请专项捕捞许可，兼顾资源保护与群众生产生活需求。</w:t>
      </w:r>
    </w:p>
    <w:p w14:paraId="0E1CE501">
      <w:pPr>
        <w:spacing w:line="360" w:lineRule="auto"/>
        <w:ind w:firstLine="420"/>
        <w:rPr>
          <w:rFonts w:hint="eastAsia" w:eastAsiaTheme="minorEastAsia"/>
          <w:sz w:val="24"/>
        </w:rPr>
      </w:pPr>
      <w:r>
        <w:rPr>
          <w:rFonts w:hint="eastAsia" w:eastAsiaTheme="minorEastAsia"/>
          <w:sz w:val="24"/>
        </w:rPr>
        <w:t>东海沿岸，带鱼、大黄鱼、小黄鱼、梭子蟹等陆续上市。在浙江，象山海鲜面常搭配梭子蟹、小黄鱼；梭子蟹可清蒸、葱姜爆炒，也可炒年糕。在福建，人们喜爱将膏蟹铺在糯米饭上蒸。</w:t>
      </w:r>
    </w:p>
    <w:p w14:paraId="1D7258E6">
      <w:pPr>
        <w:spacing w:line="360" w:lineRule="auto"/>
        <w:ind w:firstLine="420"/>
        <w:rPr>
          <w:rFonts w:hint="eastAsia" w:eastAsiaTheme="minorEastAsia"/>
          <w:sz w:val="24"/>
        </w:rPr>
      </w:pPr>
      <w:r>
        <w:rPr>
          <w:rFonts w:hint="eastAsia" w:eastAsiaTheme="minorEastAsia"/>
          <w:sz w:val="24"/>
        </w:rPr>
        <w:t>在黄渤海边，山东的刀鱼、鲅鱼、鲳鱼肥美，辽宁、河北等地的梭子蟹、皮皮虾肉质紧实清甜。9月以来，辽宁已邮递海产品82万件，带动产值2.7亿元。</w:t>
      </w:r>
    </w:p>
    <w:p w14:paraId="2F122768">
      <w:pPr>
        <w:spacing w:line="360" w:lineRule="auto"/>
        <w:ind w:firstLine="420"/>
        <w:rPr>
          <w:rFonts w:eastAsiaTheme="minorEastAsia"/>
          <w:sz w:val="24"/>
        </w:rPr>
      </w:pPr>
      <w:r>
        <w:rPr>
          <w:rFonts w:hint="eastAsia" w:eastAsiaTheme="minorEastAsia"/>
          <w:sz w:val="24"/>
        </w:rPr>
        <w:t>南海结束休渔后，石斑、马鲛鱼等渔获接力上岸，装进运输车发往各地。</w:t>
      </w:r>
    </w:p>
    <w:p w14:paraId="70429A4E">
      <w:pPr>
        <w:spacing w:line="360" w:lineRule="auto"/>
        <w:ind w:firstLine="420"/>
        <w:rPr>
          <w:rFonts w:eastAsiaTheme="minorEastAsia"/>
          <w:sz w:val="24"/>
        </w:rPr>
      </w:pPr>
      <w:r>
        <w:rPr>
          <w:rFonts w:hint="eastAsia" w:eastAsiaTheme="minorEastAsia"/>
          <w:sz w:val="24"/>
        </w:rPr>
        <w:t>开渔后，从直播间到冷链，这口“鲜”正变成看得见、买得到、带得走的服务链。</w:t>
      </w:r>
    </w:p>
    <w:p w14:paraId="462687F0">
      <w:pPr>
        <w:spacing w:line="360" w:lineRule="auto"/>
        <w:ind w:firstLine="420"/>
        <w:jc w:val="right"/>
        <w:rPr>
          <w:rStyle w:val="97"/>
          <w:rFonts w:eastAsiaTheme="minorEastAsia"/>
          <w:szCs w:val="21"/>
        </w:rPr>
      </w:pPr>
      <w:r>
        <w:rPr>
          <w:rStyle w:val="97"/>
          <w:rFonts w:eastAsiaTheme="minorEastAsia"/>
          <w:szCs w:val="21"/>
        </w:rPr>
        <w:t>转摘</w:t>
      </w:r>
      <w:r>
        <w:rPr>
          <w:rStyle w:val="97"/>
          <w:rFonts w:hint="eastAsia" w:eastAsiaTheme="minorEastAsia"/>
          <w:szCs w:val="21"/>
        </w:rPr>
        <w:t>自新华社</w:t>
      </w:r>
    </w:p>
    <w:p w14:paraId="3684DA66">
      <w:pPr>
        <w:spacing w:line="360" w:lineRule="auto"/>
        <w:jc w:val="center"/>
        <w:outlineLvl w:val="1"/>
        <w:rPr>
          <w:rFonts w:eastAsia="黑体"/>
          <w:b/>
          <w:bCs/>
          <w:sz w:val="32"/>
          <w:szCs w:val="32"/>
        </w:rPr>
      </w:pPr>
      <w:bookmarkStart w:id="14" w:name="_Toc241496782"/>
      <w:r>
        <w:rPr>
          <w:rFonts w:hint="eastAsia" w:eastAsia="黑体"/>
          <w:b/>
          <w:bCs/>
          <w:sz w:val="32"/>
          <w:szCs w:val="32"/>
        </w:rPr>
        <w:t>福建省海洋与渔业系统加强中秋、国庆期间水产品质量安全监管执法工作</w:t>
      </w:r>
      <w:bookmarkEnd w:id="14"/>
    </w:p>
    <w:p w14:paraId="2E6F1A39">
      <w:pPr>
        <w:spacing w:line="360" w:lineRule="auto"/>
        <w:ind w:firstLine="420"/>
        <w:rPr>
          <w:rFonts w:eastAsiaTheme="minorEastAsia"/>
          <w:sz w:val="24"/>
        </w:rPr>
      </w:pPr>
      <w:r>
        <w:rPr>
          <w:rFonts w:hint="eastAsia" w:eastAsiaTheme="minorEastAsia"/>
          <w:sz w:val="24"/>
        </w:rPr>
        <w:t>中秋佳节、国庆假期是水产品秋季集中上市的消费高峰。福建省海洋与渔业局深入贯彻习近平总书记关于农产品质量安全“产出来”“管出来”和“四个最严”等重要指示精神，认真落实农业农村部和省委、省政府部署要求，抢抓节日关键窗口期，加强工作前瞻安排。相继召开视频会议、下发工作通知，要求各级渔业行政主管部门增强责任意识、树牢底线思维，加密风险监测，从严监管执法，压紧压实养殖户主体责任、属地监管责任，全力以赴保障节日期间水产品质量安全。</w:t>
      </w:r>
    </w:p>
    <w:p w14:paraId="774DCD07">
      <w:pPr>
        <w:spacing w:line="360" w:lineRule="auto"/>
        <w:ind w:firstLine="420"/>
        <w:rPr>
          <w:rFonts w:eastAsiaTheme="minorEastAsia"/>
          <w:sz w:val="24"/>
        </w:rPr>
      </w:pPr>
      <w:r>
        <w:rPr>
          <w:rFonts w:hint="eastAsia" w:eastAsiaTheme="minorEastAsia"/>
          <w:sz w:val="24"/>
        </w:rPr>
        <w:t>连日来，全省海洋与渔业系统加强上下联动，派出6个省级和19个市级工作组，在“九市一区”40余个县（区、市）开展水产品质量安全指导帮扶，深入落实“五查五帮”机制，促进养殖生产、用药、销售“三项记录”和承诺达标合格证、溯源管理规范实施，进一步完善源头防控、过程严管、风险严控监管体系。同步下沉457个乡镇开展规范养殖科普下乡活动，发放水产养殖规范生产告知书、水产养殖用药明白纸等宣传资料5000多份，有力引导养殖户规范养殖、生态养殖。注重将监测链条从养殖端延伸至流通端，持续加密风险监测，截至目前，全省已完成各类监测近1200余批次，覆盖大黄鱼、牛蛙、对虾等30余个节日热销品种。</w:t>
      </w:r>
    </w:p>
    <w:p w14:paraId="3DFE2D1B">
      <w:pPr>
        <w:spacing w:line="360" w:lineRule="auto"/>
        <w:ind w:firstLine="420"/>
        <w:rPr>
          <w:rFonts w:hint="eastAsia" w:eastAsiaTheme="minorEastAsia"/>
          <w:sz w:val="24"/>
        </w:rPr>
      </w:pPr>
      <w:r>
        <w:rPr>
          <w:rFonts w:hint="eastAsia" w:eastAsiaTheme="minorEastAsia"/>
          <w:sz w:val="24"/>
        </w:rPr>
        <w:t>省海洋与渔业执法总队严格落实工作部署，统筹推进全省水产品质量安全专项执法行动，加强日常巡查，推动执法力量下沉一线。综合运用数字化手段精准赋能，依托无人机开展水域巡查，重点排查隐蔽养殖、闲散水域养殖等监管盲区，运用农业农村部兽药查询小程序核验兽药真伪，借助福建水产追溯APP核查追溯赋码落实情况，提高执法质效。对现场排查发现的问题，督促养殖主体立行立改，依法查处，从源头封堵漏洞、消除安全隐患。截至目前，全省累计开展专项执法178次，出动执法人员503人次，检查水产养殖主体394家次。</w:t>
      </w:r>
    </w:p>
    <w:p w14:paraId="1AA43BB0">
      <w:pPr>
        <w:spacing w:line="360" w:lineRule="auto"/>
        <w:ind w:firstLine="420"/>
        <w:rPr>
          <w:rFonts w:eastAsiaTheme="minorEastAsia"/>
          <w:sz w:val="24"/>
        </w:rPr>
      </w:pPr>
      <w:r>
        <w:rPr>
          <w:rFonts w:hint="eastAsia" w:eastAsiaTheme="minorEastAsia"/>
          <w:sz w:val="24"/>
        </w:rPr>
        <w:t>下一步，全省海洋与渔业系统将坚决落实“最严谨的标准、最严格的监管、最严厉的处罚、最严肃的问责”要求，持续紧盯中秋、国庆关键节点，深入开展技术指导，加大抽检力度，强化风险监测，会同市场监管、公安等部门加强全链条联合监管，严守水产品质量安全底线，全力守护“舌尖上的安全”。</w:t>
      </w:r>
    </w:p>
    <w:p w14:paraId="690C2A12">
      <w:pPr>
        <w:spacing w:line="360" w:lineRule="auto"/>
        <w:ind w:firstLine="420"/>
        <w:jc w:val="right"/>
        <w:rPr>
          <w:rStyle w:val="97"/>
          <w:rFonts w:eastAsiaTheme="minorEastAsia"/>
          <w:szCs w:val="21"/>
        </w:rPr>
      </w:pPr>
      <w:r>
        <w:rPr>
          <w:rStyle w:val="97"/>
          <w:rFonts w:eastAsiaTheme="minorEastAsia"/>
          <w:szCs w:val="21"/>
        </w:rPr>
        <w:t>转摘</w:t>
      </w:r>
      <w:r>
        <w:rPr>
          <w:rStyle w:val="97"/>
          <w:rFonts w:hint="eastAsia" w:eastAsiaTheme="minorEastAsia"/>
          <w:szCs w:val="21"/>
        </w:rPr>
        <w:t>自福建省海洋与渔业局</w:t>
      </w:r>
      <w:bookmarkStart w:id="15" w:name="_Toc208688089"/>
      <w:bookmarkStart w:id="16" w:name="_Toc225807399"/>
      <w:bookmarkStart w:id="17" w:name="_Toc206748070"/>
      <w:bookmarkStart w:id="18" w:name="_Toc221758906"/>
    </w:p>
    <w:p w14:paraId="725DAF7E">
      <w:pPr>
        <w:spacing w:line="276" w:lineRule="auto"/>
        <w:jc w:val="left"/>
        <w:outlineLvl w:val="0"/>
        <w:rPr>
          <w:rFonts w:eastAsia="黑体"/>
          <w:b/>
          <w:bCs/>
          <w:sz w:val="32"/>
          <w:szCs w:val="32"/>
          <w:bdr w:val="single" w:color="auto" w:sz="4" w:space="0"/>
        </w:rPr>
      </w:pPr>
      <w:bookmarkStart w:id="19" w:name="_Toc241496783"/>
      <w:r>
        <w:rPr>
          <w:rFonts w:eastAsia="黑体"/>
          <w:b/>
          <w:bCs/>
          <w:sz w:val="32"/>
          <w:szCs w:val="32"/>
          <w:bdr w:val="single" w:color="auto" w:sz="4" w:space="0"/>
        </w:rPr>
        <w:t>研究进展</w:t>
      </w:r>
      <w:bookmarkEnd w:id="15"/>
      <w:bookmarkEnd w:id="16"/>
      <w:bookmarkEnd w:id="17"/>
      <w:bookmarkEnd w:id="18"/>
      <w:bookmarkEnd w:id="19"/>
    </w:p>
    <w:p w14:paraId="0F227AD3">
      <w:pPr>
        <w:spacing w:line="360" w:lineRule="auto"/>
        <w:jc w:val="center"/>
        <w:outlineLvl w:val="1"/>
        <w:rPr>
          <w:rFonts w:eastAsia="黑体"/>
          <w:b/>
          <w:bCs/>
          <w:sz w:val="32"/>
          <w:szCs w:val="32"/>
        </w:rPr>
      </w:pPr>
      <w:bookmarkStart w:id="20" w:name="_Toc241496784"/>
      <w:r>
        <w:rPr>
          <w:rFonts w:hint="eastAsia" w:eastAsia="黑体"/>
          <w:b/>
          <w:bCs/>
          <w:sz w:val="32"/>
          <w:szCs w:val="32"/>
        </w:rPr>
        <w:t>调控水产动物免疫功能的微藻: 活性成分、作用机制及工程化应用</w:t>
      </w:r>
      <w:bookmarkEnd w:id="20"/>
    </w:p>
    <w:p w14:paraId="1E108DA2">
      <w:pPr>
        <w:jc w:val="center"/>
        <w:rPr>
          <w:szCs w:val="21"/>
        </w:rPr>
      </w:pPr>
      <w:r>
        <w:rPr>
          <w:szCs w:val="21"/>
        </w:rPr>
        <w:t>周琪</w:t>
      </w:r>
      <w:r>
        <w:rPr>
          <w:szCs w:val="21"/>
          <w:vertAlign w:val="superscript"/>
        </w:rPr>
        <w:t>1</w:t>
      </w:r>
      <w:r>
        <w:rPr>
          <w:rFonts w:hint="eastAsia"/>
          <w:szCs w:val="21"/>
          <w:vertAlign w:val="superscript"/>
        </w:rPr>
        <w:t>,</w:t>
      </w:r>
      <w:r>
        <w:rPr>
          <w:szCs w:val="21"/>
          <w:vertAlign w:val="superscript"/>
        </w:rPr>
        <w:t>2</w:t>
      </w:r>
      <w:r>
        <w:rPr>
          <w:rFonts w:hint="eastAsia"/>
          <w:szCs w:val="21"/>
        </w:rPr>
        <w:t xml:space="preserve">  </w:t>
      </w:r>
      <w:r>
        <w:rPr>
          <w:szCs w:val="21"/>
        </w:rPr>
        <w:t>丹成</w:t>
      </w:r>
      <w:r>
        <w:rPr>
          <w:szCs w:val="21"/>
          <w:vertAlign w:val="superscript"/>
        </w:rPr>
        <w:t>1</w:t>
      </w:r>
      <w:r>
        <w:rPr>
          <w:rFonts w:hint="eastAsia"/>
          <w:szCs w:val="21"/>
        </w:rPr>
        <w:t xml:space="preserve">  </w:t>
      </w:r>
      <w:r>
        <w:rPr>
          <w:szCs w:val="21"/>
        </w:rPr>
        <w:t>张洋</w:t>
      </w:r>
      <w:r>
        <w:rPr>
          <w:szCs w:val="21"/>
          <w:vertAlign w:val="superscript"/>
        </w:rPr>
        <w:t>1</w:t>
      </w:r>
      <w:r>
        <w:rPr>
          <w:rFonts w:hint="eastAsia"/>
          <w:szCs w:val="21"/>
          <w:vertAlign w:val="superscript"/>
        </w:rPr>
        <w:t>,</w:t>
      </w:r>
      <w:r>
        <w:rPr>
          <w:szCs w:val="21"/>
          <w:vertAlign w:val="superscript"/>
        </w:rPr>
        <w:t>2</w:t>
      </w:r>
      <w:r>
        <w:rPr>
          <w:rFonts w:hint="eastAsia"/>
          <w:szCs w:val="21"/>
        </w:rPr>
        <w:t xml:space="preserve">  </w:t>
      </w:r>
      <w:r>
        <w:rPr>
          <w:szCs w:val="21"/>
        </w:rPr>
        <w:t>张健</w:t>
      </w:r>
      <w:r>
        <w:rPr>
          <w:szCs w:val="21"/>
          <w:vertAlign w:val="superscript"/>
        </w:rPr>
        <w:t>3</w:t>
      </w:r>
      <w:r>
        <w:rPr>
          <w:rFonts w:hint="eastAsia"/>
          <w:szCs w:val="21"/>
        </w:rPr>
        <w:t xml:space="preserve">  </w:t>
      </w:r>
      <w:r>
        <w:rPr>
          <w:szCs w:val="21"/>
        </w:rPr>
        <w:t>贾云璐</w:t>
      </w:r>
      <w:r>
        <w:rPr>
          <w:szCs w:val="21"/>
          <w:vertAlign w:val="superscript"/>
        </w:rPr>
        <w:t>1</w:t>
      </w:r>
      <w:r>
        <w:rPr>
          <w:rFonts w:hint="eastAsia"/>
          <w:szCs w:val="21"/>
        </w:rPr>
        <w:t xml:space="preserve">  </w:t>
      </w:r>
      <w:r>
        <w:rPr>
          <w:szCs w:val="21"/>
        </w:rPr>
        <w:t>宋立荣</w:t>
      </w:r>
      <w:r>
        <w:rPr>
          <w:szCs w:val="21"/>
          <w:vertAlign w:val="superscript"/>
        </w:rPr>
        <w:t>1</w:t>
      </w:r>
    </w:p>
    <w:p w14:paraId="794FB8E4">
      <w:pPr>
        <w:jc w:val="center"/>
        <w:rPr>
          <w:szCs w:val="21"/>
        </w:rPr>
      </w:pPr>
      <w:r>
        <w:rPr>
          <w:szCs w:val="21"/>
        </w:rPr>
        <w:t>（1. 中国科学院水生生物研究所，武汉430072；2. 中国科学院大学，北京100049；3. 安徽建筑大学，安徽230601）</w:t>
      </w:r>
    </w:p>
    <w:p w14:paraId="1ED1AE31">
      <w:pPr>
        <w:rPr>
          <w:szCs w:val="21"/>
        </w:rPr>
      </w:pPr>
      <w:r>
        <w:rPr>
          <w:b/>
          <w:bCs/>
          <w:szCs w:val="21"/>
        </w:rPr>
        <w:t>摘要</w:t>
      </w:r>
      <w:r>
        <w:rPr>
          <w:szCs w:val="21"/>
        </w:rPr>
        <w:t>：微藻分布广泛，富含多糖、蛋白质、脂质及色素等生物活性物质，在水产养殖中作为免疫增强剂具有很大潜力。尽管已有研究关注其免疫调节功能，但缺乏对其免疫机制和产业化路径的系统总结。本文综述了微藻活性成分、作用机制和工程化应用的最新进展，深入分析了其应用前景。研究表明，微藻通过多糖、蛋白质等成分，从细胞免疫和体液免疫两个层面调节虾、鱼类、贝类等水产动物的免疫功能。为推动微藻的应用，提出需构建完善的工程化应用体系: 上游通过定向选育优质藻株，中游通过微藻生物精炼厂模式实现低成本大规模生产，下游根据养殖场景精准应用并严格控制剂量和使用周期，为水产养殖疾病防控提供创新、可持续的技术方案。</w:t>
      </w:r>
    </w:p>
    <w:p w14:paraId="6D1453C8">
      <w:pPr>
        <w:rPr>
          <w:rFonts w:hint="eastAsia"/>
          <w:szCs w:val="21"/>
        </w:rPr>
      </w:pPr>
      <w:r>
        <w:rPr>
          <w:b/>
          <w:bCs/>
          <w:szCs w:val="21"/>
        </w:rPr>
        <w:t>关键词：</w:t>
      </w:r>
      <w:r>
        <w:rPr>
          <w:szCs w:val="21"/>
        </w:rPr>
        <w:t>微藻；水产养殖；免疫调节；活性成分；工程化应用</w:t>
      </w:r>
    </w:p>
    <w:p w14:paraId="3BF3AEDB">
      <w:pPr>
        <w:jc w:val="center"/>
        <w:rPr>
          <w:b/>
          <w:bCs/>
          <w:sz w:val="24"/>
        </w:rPr>
      </w:pPr>
      <w:r>
        <w:rPr>
          <w:b/>
          <w:bCs/>
          <w:sz w:val="24"/>
        </w:rPr>
        <w:t>MICROALGAE MODULATING AQUATIC ANIMAL IMMUNE FUNCTION: ACTIVE COMPONENTS, MECHANISMS OF ACTION, AND ENGINEERED APPLICATIONS</w:t>
      </w:r>
    </w:p>
    <w:p w14:paraId="6D422731">
      <w:pPr>
        <w:jc w:val="center"/>
        <w:rPr>
          <w:szCs w:val="21"/>
        </w:rPr>
      </w:pPr>
      <w:r>
        <w:rPr>
          <w:szCs w:val="21"/>
        </w:rPr>
        <w:t>ZHOU Qi</w:t>
      </w:r>
      <w:r>
        <w:rPr>
          <w:szCs w:val="21"/>
          <w:vertAlign w:val="superscript"/>
        </w:rPr>
        <w:t>1,2</w:t>
      </w:r>
      <w:r>
        <w:rPr>
          <w:szCs w:val="21"/>
        </w:rPr>
        <w:t xml:space="preserve">  DAN Cheng</w:t>
      </w:r>
      <w:r>
        <w:rPr>
          <w:szCs w:val="21"/>
          <w:vertAlign w:val="superscript"/>
        </w:rPr>
        <w:t>1</w:t>
      </w:r>
      <w:r>
        <w:rPr>
          <w:szCs w:val="21"/>
        </w:rPr>
        <w:t xml:space="preserve">  ZHANG Yang</w:t>
      </w:r>
      <w:r>
        <w:rPr>
          <w:szCs w:val="21"/>
          <w:vertAlign w:val="superscript"/>
        </w:rPr>
        <w:t>1,2</w:t>
      </w:r>
      <w:r>
        <w:rPr>
          <w:szCs w:val="21"/>
        </w:rPr>
        <w:t xml:space="preserve"> </w:t>
      </w:r>
      <w:r>
        <w:rPr>
          <w:rFonts w:hint="eastAsia"/>
          <w:szCs w:val="21"/>
        </w:rPr>
        <w:t xml:space="preserve"> </w:t>
      </w:r>
      <w:r>
        <w:rPr>
          <w:szCs w:val="21"/>
        </w:rPr>
        <w:t>ZHANG Jian</w:t>
      </w:r>
      <w:r>
        <w:rPr>
          <w:szCs w:val="21"/>
          <w:vertAlign w:val="superscript"/>
        </w:rPr>
        <w:t>3</w:t>
      </w:r>
      <w:r>
        <w:rPr>
          <w:szCs w:val="21"/>
        </w:rPr>
        <w:t xml:space="preserve"> </w:t>
      </w:r>
      <w:r>
        <w:rPr>
          <w:rFonts w:hint="eastAsia"/>
          <w:szCs w:val="21"/>
        </w:rPr>
        <w:t xml:space="preserve"> </w:t>
      </w:r>
      <w:r>
        <w:rPr>
          <w:szCs w:val="21"/>
        </w:rPr>
        <w:t>JIA Yun-Lu</w:t>
      </w:r>
      <w:r>
        <w:rPr>
          <w:szCs w:val="21"/>
          <w:vertAlign w:val="superscript"/>
        </w:rPr>
        <w:t>1</w:t>
      </w:r>
      <w:r>
        <w:rPr>
          <w:szCs w:val="21"/>
        </w:rPr>
        <w:t xml:space="preserve"> </w:t>
      </w:r>
      <w:r>
        <w:rPr>
          <w:rFonts w:hint="eastAsia"/>
          <w:szCs w:val="21"/>
        </w:rPr>
        <w:t xml:space="preserve"> </w:t>
      </w:r>
      <w:r>
        <w:rPr>
          <w:szCs w:val="21"/>
        </w:rPr>
        <w:t>SONG Li-Rong</w:t>
      </w:r>
      <w:r>
        <w:rPr>
          <w:szCs w:val="21"/>
          <w:vertAlign w:val="superscript"/>
        </w:rPr>
        <w:t>1</w:t>
      </w:r>
    </w:p>
    <w:p w14:paraId="1ABB3BF2">
      <w:pPr>
        <w:jc w:val="center"/>
        <w:rPr>
          <w:szCs w:val="21"/>
        </w:rPr>
      </w:pPr>
      <w:r>
        <w:rPr>
          <w:szCs w:val="21"/>
        </w:rPr>
        <w:t>(</w:t>
      </w:r>
      <w:r>
        <w:rPr>
          <w:i/>
          <w:iCs/>
          <w:szCs w:val="21"/>
        </w:rPr>
        <w:t>1. Institute of Hydrobiology, Chinese Academy of Sciences, Wuhan 430072, China; 2. University of Chinese Academy of Sciences, Beijing 100049, China; 3. Anhui Jianzhu University, Hefei 230601, China</w:t>
      </w:r>
      <w:r>
        <w:rPr>
          <w:szCs w:val="21"/>
        </w:rPr>
        <w:t>)</w:t>
      </w:r>
    </w:p>
    <w:p w14:paraId="1BF760B3">
      <w:pPr>
        <w:rPr>
          <w:szCs w:val="21"/>
        </w:rPr>
      </w:pPr>
      <w:r>
        <w:rPr>
          <w:b/>
          <w:bCs/>
          <w:szCs w:val="21"/>
        </w:rPr>
        <w:t>Abstract</w:t>
      </w:r>
      <w:r>
        <w:rPr>
          <w:szCs w:val="21"/>
        </w:rPr>
        <w:t>: Microalgae are widely sourced and rich in bioactive compounds such as polysaccharides, proteins, lipids, and pigments, demonstrating significant potential as immune enhancers in aquaculture. Although previous studies have examined their immunomodulatory functions, systematic reviews addressing their immune mechanisms and industrialization pathways remain scarce. This paper therefore systematically reviews advances in microalgal bioactive components, action mechanisms, and engineered applications, providing an in-depth analysis of future application prospects. It reveals that microalgae can regulate the immune performance of aquatic animals including shrimp, fish, and shellfish through dual cellular and humoral immunity pathways via bioactive components such as polysaccharides and proteins. Concurrently, this paper proposes the need to establish a comprehensive engineered application system: upstream, obtaining high-quality algal strains through targeted breeding; midstream, achieving low-cost, large-scale production based on the “microalgae biorefinery” model; and downstream, integrating precise application with aquaculture scenarios while strictly controlling dosage and usage cycles. Ultimately, this approach provides innovative and sustainable technical solutions for disease prevention and control in aquaculture</w:t>
      </w:r>
      <w:r>
        <w:rPr>
          <w:rFonts w:hint="eastAsia"/>
          <w:szCs w:val="21"/>
        </w:rPr>
        <w:t>.</w:t>
      </w:r>
    </w:p>
    <w:p w14:paraId="0D6055B4">
      <w:pPr>
        <w:rPr>
          <w:szCs w:val="21"/>
        </w:rPr>
      </w:pPr>
      <w:r>
        <w:rPr>
          <w:b/>
          <w:bCs/>
          <w:szCs w:val="21"/>
        </w:rPr>
        <w:t>Key words</w:t>
      </w:r>
      <w:r>
        <w:rPr>
          <w:szCs w:val="21"/>
        </w:rPr>
        <w:t>: Microalgae; Aquaculture; Immunity; Bioactive compounds; Engineering applications</w:t>
      </w:r>
    </w:p>
    <w:p w14:paraId="67391B91">
      <w:pPr>
        <w:spacing w:line="360" w:lineRule="auto"/>
        <w:ind w:firstLine="420"/>
        <w:rPr>
          <w:sz w:val="24"/>
        </w:rPr>
      </w:pPr>
      <w:bookmarkStart w:id="21" w:name="_Toc225807401"/>
    </w:p>
    <w:p w14:paraId="566A3276">
      <w:pPr>
        <w:widowControl/>
        <w:spacing w:after="60" w:line="360" w:lineRule="auto"/>
        <w:ind w:firstLine="420"/>
        <w:rPr>
          <w:kern w:val="0"/>
          <w:sz w:val="24"/>
          <w:szCs w:val="22"/>
        </w:rPr>
      </w:pPr>
      <w:r>
        <w:rPr>
          <w:kern w:val="0"/>
          <w:sz w:val="24"/>
          <w:szCs w:val="22"/>
        </w:rPr>
        <w:t>随着全球人口的增加和生活水平的提高，对高品质蛋白质需求急剧增加。预计到2050年，全球人口将达98亿，粮食需求将比2005年增加60%—100%，而富裕程度的提高将使高品质蛋白质需求增长110%</w:t>
      </w:r>
      <w:r>
        <w:rPr>
          <w:kern w:val="0"/>
          <w:sz w:val="24"/>
          <w:szCs w:val="22"/>
          <w:vertAlign w:val="superscript"/>
        </w:rPr>
        <w:t>[1]</w:t>
      </w:r>
      <w:r>
        <w:rPr>
          <w:kern w:val="0"/>
          <w:sz w:val="24"/>
          <w:szCs w:val="22"/>
        </w:rPr>
        <w:t>。在此背景下，水产养殖作为重要的蛋白质来源，其地位愈加突出。根据2024年联合国粮农组织报告，2022年全球水产养殖产量首次超过捕捞渔业，达到1.309亿吨，占全球水生动物总产量的51%</w:t>
      </w:r>
      <w:r>
        <w:rPr>
          <w:kern w:val="0"/>
          <w:sz w:val="24"/>
          <w:szCs w:val="22"/>
          <w:vertAlign w:val="superscript"/>
        </w:rPr>
        <w:t>[2]</w:t>
      </w:r>
      <w:r>
        <w:rPr>
          <w:kern w:val="0"/>
          <w:sz w:val="24"/>
          <w:szCs w:val="22"/>
        </w:rPr>
        <w:t>。然而，水产养殖的快速发展也面临诸多挑战，水域环境质量的持续恶化和高密度养殖模式等因素导致水产养殖生物的生理机能下降、免疫力减弱，疾病频发</w:t>
      </w:r>
      <w:r>
        <w:rPr>
          <w:kern w:val="0"/>
          <w:sz w:val="24"/>
          <w:szCs w:val="22"/>
          <w:vertAlign w:val="superscript"/>
        </w:rPr>
        <w:t>[3]</w:t>
      </w:r>
      <w:r>
        <w:rPr>
          <w:kern w:val="0"/>
          <w:sz w:val="24"/>
          <w:szCs w:val="22"/>
        </w:rPr>
        <w:t>。传统抗生素治疗不仅带来药物残留和耐药性问题，还威胁食品安全和生态环境</w:t>
      </w:r>
      <w:r>
        <w:rPr>
          <w:kern w:val="0"/>
          <w:sz w:val="24"/>
          <w:szCs w:val="22"/>
          <w:vertAlign w:val="superscript"/>
        </w:rPr>
        <w:t>[4]</w:t>
      </w:r>
      <w:r>
        <w:rPr>
          <w:kern w:val="0"/>
          <w:sz w:val="24"/>
          <w:szCs w:val="22"/>
        </w:rPr>
        <w:t>。因此，开发安全、高效、环保的免疫增强技术已成为水产养殖业可持续发展的迫切需求。</w:t>
      </w:r>
    </w:p>
    <w:p w14:paraId="431EB780">
      <w:pPr>
        <w:widowControl/>
        <w:spacing w:after="60" w:line="360" w:lineRule="auto"/>
        <w:ind w:firstLine="420"/>
        <w:rPr>
          <w:kern w:val="0"/>
          <w:sz w:val="24"/>
          <w:szCs w:val="22"/>
        </w:rPr>
      </w:pPr>
      <w:r>
        <w:rPr>
          <w:kern w:val="0"/>
          <w:sz w:val="24"/>
          <w:szCs w:val="22"/>
        </w:rPr>
        <w:t>微藻作为古老且微小的光合生物，包括绿藻科、硅藻科、金藻科等真核生物及原核生物（蓝藻）</w:t>
      </w:r>
      <w:r>
        <w:rPr>
          <w:kern w:val="0"/>
          <w:sz w:val="24"/>
          <w:szCs w:val="22"/>
          <w:vertAlign w:val="superscript"/>
        </w:rPr>
        <w:t>[5]</w:t>
      </w:r>
      <w:r>
        <w:rPr>
          <w:kern w:val="0"/>
          <w:sz w:val="24"/>
          <w:szCs w:val="22"/>
        </w:rPr>
        <w:t>，其形态从单细胞到简单的多细胞结构不等</w:t>
      </w:r>
      <w:r>
        <w:rPr>
          <w:kern w:val="0"/>
          <w:sz w:val="24"/>
          <w:szCs w:val="22"/>
          <w:vertAlign w:val="superscript"/>
        </w:rPr>
        <w:t>[6]</w:t>
      </w:r>
      <w:r>
        <w:rPr>
          <w:kern w:val="0"/>
          <w:sz w:val="24"/>
          <w:szCs w:val="22"/>
        </w:rPr>
        <w:t>。它们以阳光为能源，以二氧化碳为碳源，以无机盐为营养，通过光合作用产生生物质和氧气。作为广适性生物，微藻几乎能在各类生态系统中生长，包括陆地、海水和淡水环境。微藻虽个体微小，却蕴藏着巨大的能量与价值</w:t>
      </w:r>
      <w:r>
        <w:rPr>
          <w:kern w:val="0"/>
          <w:sz w:val="24"/>
          <w:szCs w:val="22"/>
          <w:vertAlign w:val="superscript"/>
        </w:rPr>
        <w:t>[7]</w:t>
      </w:r>
      <w:r>
        <w:rPr>
          <w:kern w:val="0"/>
          <w:sz w:val="24"/>
          <w:szCs w:val="22"/>
        </w:rPr>
        <w:t>。微藻是地球上初级生产力的关键贡献者，具备卓越的碳固定效率，是其他陆生植物的10—50倍</w:t>
      </w:r>
      <w:r>
        <w:rPr>
          <w:kern w:val="0"/>
          <w:sz w:val="24"/>
          <w:szCs w:val="22"/>
          <w:vertAlign w:val="superscript"/>
        </w:rPr>
        <w:t>[8]</w:t>
      </w:r>
      <w:r>
        <w:rPr>
          <w:kern w:val="0"/>
          <w:sz w:val="24"/>
          <w:szCs w:val="22"/>
        </w:rPr>
        <w:t>。此外，微藻能够有效利用氮、磷等富营养化元素及某些重金属离子，这一特性使其在废水深度处理和生态修复方面具有显著的应用潜力</w:t>
      </w:r>
      <w:r>
        <w:rPr>
          <w:kern w:val="0"/>
          <w:sz w:val="24"/>
          <w:szCs w:val="22"/>
          <w:vertAlign w:val="superscript"/>
        </w:rPr>
        <w:t>[9]</w:t>
      </w:r>
      <w:r>
        <w:rPr>
          <w:kern w:val="0"/>
          <w:sz w:val="24"/>
          <w:szCs w:val="22"/>
        </w:rPr>
        <w:t>。同时因其富含的多糖、色素和活性物质能有效调节水产养殖生物的免疫功能，作为一种天然的免疫增强剂，为应对水产养殖疾病挑战提供了极具潜力的解决方案</w:t>
      </w:r>
      <w:r>
        <w:rPr>
          <w:kern w:val="0"/>
          <w:sz w:val="24"/>
          <w:szCs w:val="22"/>
          <w:vertAlign w:val="superscript"/>
        </w:rPr>
        <w:t>[10]</w:t>
      </w:r>
      <w:r>
        <w:rPr>
          <w:kern w:val="0"/>
          <w:sz w:val="24"/>
          <w:szCs w:val="22"/>
        </w:rPr>
        <w:t>。然而，迄今为止已知的微藻有6万余种，目前得到利用的仅寥寥数种，因此对具有潜在水产动物免疫调节特性的微藻研究仍不足</w:t>
      </w:r>
      <w:r>
        <w:rPr>
          <w:kern w:val="0"/>
          <w:sz w:val="24"/>
          <w:szCs w:val="22"/>
          <w:vertAlign w:val="superscript"/>
        </w:rPr>
        <w:t>[11]</w:t>
      </w:r>
      <w:r>
        <w:rPr>
          <w:kern w:val="0"/>
          <w:sz w:val="24"/>
          <w:szCs w:val="22"/>
        </w:rPr>
        <w:t>，关于微藻在水产养殖方面的免疫调节作用亟待深入研究。</w:t>
      </w:r>
    </w:p>
    <w:p w14:paraId="0C729327">
      <w:pPr>
        <w:widowControl/>
        <w:spacing w:after="60" w:line="360" w:lineRule="auto"/>
        <w:ind w:firstLine="420"/>
        <w:rPr>
          <w:kern w:val="0"/>
          <w:sz w:val="24"/>
          <w:szCs w:val="22"/>
        </w:rPr>
      </w:pPr>
      <w:r>
        <w:rPr>
          <w:kern w:val="0"/>
          <w:sz w:val="24"/>
          <w:szCs w:val="22"/>
        </w:rPr>
        <w:t>目前关于利用微藻或其活性物质调控水产养殖生物的免疫功能及其涉及的具体免疫调节机制，尚缺乏系统研究。同时，针对微藻调控水产养殖生物免疫作用的工程化应用路径，仍缺乏清晰的技术方案。因此，本文拟通过梳理微藻对水产养殖生物免疫相关的研究进展，厘清其工程化应用的关键技术与流程，在此基础上，系统分析该领域面临的技术瓶颈和研究趋势，为水产养殖疾病防控提供新的研究思路与技术方案。</w:t>
      </w:r>
    </w:p>
    <w:p w14:paraId="2283F6FE">
      <w:pPr>
        <w:widowControl/>
        <w:spacing w:after="60" w:line="360" w:lineRule="auto"/>
        <w:rPr>
          <w:kern w:val="0"/>
          <w:sz w:val="24"/>
          <w:szCs w:val="22"/>
        </w:rPr>
      </w:pPr>
      <w:r>
        <w:rPr>
          <w:kern w:val="0"/>
          <w:sz w:val="24"/>
          <w:szCs w:val="22"/>
        </w:rPr>
        <w:t>1</w:t>
      </w:r>
      <w:r>
        <w:rPr>
          <w:rFonts w:hint="eastAsia"/>
          <w:kern w:val="0"/>
          <w:sz w:val="24"/>
          <w:szCs w:val="22"/>
        </w:rPr>
        <w:t xml:space="preserve"> </w:t>
      </w:r>
      <w:r>
        <w:rPr>
          <w:kern w:val="0"/>
          <w:sz w:val="24"/>
          <w:szCs w:val="22"/>
        </w:rPr>
        <w:t>调控水产动物免疫功能的微藻</w:t>
      </w:r>
    </w:p>
    <w:p w14:paraId="3BA72E1D">
      <w:pPr>
        <w:widowControl/>
        <w:spacing w:after="60" w:line="360" w:lineRule="auto"/>
        <w:rPr>
          <w:kern w:val="0"/>
          <w:sz w:val="24"/>
          <w:szCs w:val="22"/>
        </w:rPr>
      </w:pPr>
      <w:r>
        <w:rPr>
          <w:kern w:val="0"/>
          <w:sz w:val="24"/>
          <w:szCs w:val="22"/>
        </w:rPr>
        <w:t>1.1</w:t>
      </w:r>
      <w:r>
        <w:rPr>
          <w:rFonts w:hint="eastAsia"/>
          <w:kern w:val="0"/>
          <w:sz w:val="24"/>
          <w:szCs w:val="22"/>
        </w:rPr>
        <w:t xml:space="preserve"> </w:t>
      </w:r>
      <w:r>
        <w:rPr>
          <w:kern w:val="0"/>
          <w:sz w:val="24"/>
          <w:szCs w:val="22"/>
        </w:rPr>
        <w:t>具有免疫活性的微藻种类</w:t>
      </w:r>
    </w:p>
    <w:p w14:paraId="17A0DF16">
      <w:pPr>
        <w:widowControl/>
        <w:spacing w:after="60" w:line="360" w:lineRule="auto"/>
        <w:ind w:firstLine="420"/>
        <w:rPr>
          <w:kern w:val="0"/>
          <w:sz w:val="24"/>
          <w:szCs w:val="22"/>
        </w:rPr>
      </w:pPr>
      <w:r>
        <w:rPr>
          <w:kern w:val="0"/>
          <w:sz w:val="24"/>
          <w:szCs w:val="22"/>
        </w:rPr>
        <w:t>在水产养殖领域，随着生物技术的发展，微藻调控水产动物免疫功能的应用不断升级，逐步从早期的直接应用转向精准化、高效化阶段。最初，通常采用直接投喂新鲜藻细胞或藻粉的方式，通过提供营养实现免疫调节。例如，将索氏小球藻（</w:t>
      </w:r>
      <w:r>
        <w:rPr>
          <w:i/>
          <w:kern w:val="0"/>
          <w:sz w:val="24"/>
          <w:szCs w:val="22"/>
        </w:rPr>
        <w:t>Chlorella  sorokiniana</w:t>
      </w:r>
      <w:r>
        <w:rPr>
          <w:kern w:val="0"/>
          <w:sz w:val="24"/>
          <w:szCs w:val="22"/>
        </w:rPr>
        <w:t>）直接添加到虹鳟（</w:t>
      </w:r>
      <w:r>
        <w:rPr>
          <w:i/>
          <w:kern w:val="0"/>
          <w:sz w:val="24"/>
          <w:szCs w:val="22"/>
        </w:rPr>
        <w:t>Oncorhynchus mykiss</w:t>
      </w:r>
      <w:r>
        <w:rPr>
          <w:kern w:val="0"/>
          <w:sz w:val="24"/>
          <w:szCs w:val="22"/>
        </w:rPr>
        <w:t>）的饲料中，通过藻细胞中的天然活性成分增强鱼类的抵抗力</w:t>
      </w:r>
      <w:r>
        <w:rPr>
          <w:kern w:val="0"/>
          <w:sz w:val="24"/>
          <w:szCs w:val="22"/>
          <w:vertAlign w:val="superscript"/>
        </w:rPr>
        <w:t>[12]</w:t>
      </w:r>
      <w:r>
        <w:rPr>
          <w:kern w:val="0"/>
          <w:sz w:val="24"/>
          <w:szCs w:val="22"/>
        </w:rPr>
        <w:t>。随着对微藻免疫活性成分认知的深入，应用逐渐向高纯度成分提取和多途径递送转型。科研人员通过定向提取技术从微藻中分离出</w:t>
      </w:r>
      <w:r>
        <w:rPr>
          <w:i/>
          <w:iCs/>
          <w:kern w:val="0"/>
          <w:sz w:val="24"/>
          <w:szCs w:val="22"/>
          <w:lang w:eastAsia="en-US"/>
        </w:rPr>
        <w:t>β</w:t>
      </w:r>
      <w:r>
        <w:rPr>
          <w:kern w:val="0"/>
          <w:sz w:val="24"/>
          <w:szCs w:val="22"/>
        </w:rPr>
        <w:t>-葡聚糖、藻蓝蛋白、</w:t>
      </w:r>
      <w:r>
        <w:rPr>
          <w:i/>
          <w:iCs/>
          <w:kern w:val="0"/>
          <w:sz w:val="24"/>
          <w:szCs w:val="22"/>
          <w:lang w:eastAsia="en-US"/>
        </w:rPr>
        <w:t>β</w:t>
      </w:r>
      <w:r>
        <w:rPr>
          <w:kern w:val="0"/>
          <w:sz w:val="24"/>
          <w:szCs w:val="22"/>
        </w:rPr>
        <w:t>-胡萝卜素等免疫活性成分，并根据水产动物的生理特性和养殖环境采用口服、注射等精准递送方式提升调控效果。例如，将从钝顶螺旋藻（</w:t>
      </w:r>
      <w:r>
        <w:rPr>
          <w:i/>
          <w:kern w:val="0"/>
          <w:sz w:val="24"/>
          <w:szCs w:val="22"/>
        </w:rPr>
        <w:t>Spirulina platensis</w:t>
      </w:r>
      <w:r>
        <w:rPr>
          <w:kern w:val="0"/>
          <w:sz w:val="24"/>
          <w:szCs w:val="22"/>
        </w:rPr>
        <w:t>）中提取的藻蓝蛋白和</w:t>
      </w:r>
      <w:r>
        <w:rPr>
          <w:i/>
          <w:iCs/>
          <w:kern w:val="0"/>
          <w:sz w:val="24"/>
          <w:szCs w:val="22"/>
          <w:lang w:eastAsia="en-US"/>
        </w:rPr>
        <w:t>β</w:t>
      </w:r>
      <w:r>
        <w:rPr>
          <w:kern w:val="0"/>
          <w:sz w:val="24"/>
          <w:szCs w:val="22"/>
        </w:rPr>
        <w:t>-胡萝卜素添加到饲料中投喂尼罗罗非鱼（</w:t>
      </w:r>
      <w:r>
        <w:rPr>
          <w:i/>
          <w:kern w:val="0"/>
          <w:sz w:val="24"/>
          <w:szCs w:val="22"/>
        </w:rPr>
        <w:t>Oreochromis niloticus</w:t>
      </w:r>
      <w:r>
        <w:rPr>
          <w:kern w:val="0"/>
          <w:sz w:val="24"/>
          <w:szCs w:val="22"/>
        </w:rPr>
        <w:t>），显著提升其非特异性免疫应答</w:t>
      </w:r>
      <w:r>
        <w:rPr>
          <w:kern w:val="0"/>
          <w:sz w:val="24"/>
          <w:szCs w:val="22"/>
          <w:vertAlign w:val="superscript"/>
        </w:rPr>
        <w:t>[13，14]</w:t>
      </w:r>
      <w:r>
        <w:rPr>
          <w:kern w:val="0"/>
          <w:sz w:val="24"/>
          <w:szCs w:val="22"/>
        </w:rPr>
        <w:t>；而从裸藻（</w:t>
      </w:r>
      <w:r>
        <w:rPr>
          <w:i/>
          <w:kern w:val="0"/>
          <w:sz w:val="24"/>
          <w:szCs w:val="22"/>
        </w:rPr>
        <w:t>Euglena gracilis</w:t>
      </w:r>
      <w:r>
        <w:rPr>
          <w:kern w:val="0"/>
          <w:sz w:val="24"/>
          <w:szCs w:val="22"/>
        </w:rPr>
        <w:t>）提取的</w:t>
      </w:r>
      <w:r>
        <w:rPr>
          <w:i/>
          <w:iCs/>
          <w:kern w:val="0"/>
          <w:sz w:val="24"/>
          <w:szCs w:val="22"/>
          <w:lang w:eastAsia="en-US"/>
        </w:rPr>
        <w:t>β</w:t>
      </w:r>
      <w:r>
        <w:rPr>
          <w:kern w:val="0"/>
          <w:sz w:val="24"/>
          <w:szCs w:val="22"/>
        </w:rPr>
        <w:t>-葡聚糖通过注射方式应用于杂交条纹鲈（</w:t>
      </w:r>
      <w:r>
        <w:rPr>
          <w:i/>
          <w:kern w:val="0"/>
          <w:sz w:val="24"/>
          <w:szCs w:val="22"/>
        </w:rPr>
        <w:t>Morone chrysops</w:t>
      </w:r>
      <w:r>
        <w:rPr>
          <w:kern w:val="0"/>
          <w:sz w:val="24"/>
          <w:szCs w:val="22"/>
        </w:rPr>
        <w:t xml:space="preserve"> × </w:t>
      </w:r>
      <w:r>
        <w:rPr>
          <w:i/>
          <w:kern w:val="0"/>
          <w:sz w:val="24"/>
          <w:szCs w:val="22"/>
        </w:rPr>
        <w:t>Morone saxatilis</w:t>
      </w:r>
      <w:r>
        <w:rPr>
          <w:kern w:val="0"/>
          <w:sz w:val="24"/>
          <w:szCs w:val="22"/>
        </w:rPr>
        <w:t>），能有效增强其抗病能力和存活率</w:t>
      </w:r>
      <w:r>
        <w:rPr>
          <w:kern w:val="0"/>
          <w:sz w:val="24"/>
          <w:szCs w:val="22"/>
          <w:vertAlign w:val="superscript"/>
        </w:rPr>
        <w:t>[24]</w:t>
      </w:r>
      <w:r>
        <w:rPr>
          <w:kern w:val="0"/>
          <w:sz w:val="24"/>
          <w:szCs w:val="22"/>
        </w:rPr>
        <w:t>。近年来，纳米脂质体包裹技术的应用进一步推动了微藻免疫调控技术的进步，解决了成分稳定性差和靶向性不足的问题，能够延长成分的半衰期并提高肠道吸收效率。例如，将从雨生红球藻（</w:t>
      </w:r>
      <w:r>
        <w:rPr>
          <w:i/>
          <w:kern w:val="0"/>
          <w:sz w:val="24"/>
          <w:szCs w:val="22"/>
        </w:rPr>
        <w:t>Haematococcus pluvialis</w:t>
      </w:r>
      <w:r>
        <w:rPr>
          <w:kern w:val="0"/>
          <w:sz w:val="24"/>
          <w:szCs w:val="22"/>
        </w:rPr>
        <w:t>）提取的虾青素包裹在纳米脂质体中投喂虹鳟</w:t>
      </w:r>
      <w:r>
        <w:rPr>
          <w:kern w:val="0"/>
          <w:sz w:val="24"/>
          <w:szCs w:val="22"/>
          <w:vertAlign w:val="superscript"/>
        </w:rPr>
        <w:t>[27]</w:t>
      </w:r>
      <w:r>
        <w:rPr>
          <w:kern w:val="0"/>
          <w:sz w:val="24"/>
          <w:szCs w:val="22"/>
        </w:rPr>
        <w:t>。同时，转基因技术的引入催生了具有抗菌肽等功能基因的工程藻细胞，如亚心形四爿藻（</w:t>
      </w:r>
      <w:r>
        <w:rPr>
          <w:i/>
          <w:kern w:val="0"/>
          <w:sz w:val="24"/>
          <w:szCs w:val="22"/>
        </w:rPr>
        <w:t>Tetraselmis subcordiformis</w:t>
      </w:r>
      <w:r>
        <w:rPr>
          <w:kern w:val="0"/>
          <w:sz w:val="24"/>
          <w:szCs w:val="22"/>
        </w:rPr>
        <w:t>）、莱茵衣藻（</w:t>
      </w:r>
      <w:r>
        <w:rPr>
          <w:i/>
          <w:kern w:val="0"/>
          <w:sz w:val="24"/>
          <w:szCs w:val="22"/>
        </w:rPr>
        <w:t>Chlamydomonas reinhardtii</w:t>
      </w:r>
      <w:r>
        <w:rPr>
          <w:kern w:val="0"/>
          <w:sz w:val="24"/>
          <w:szCs w:val="22"/>
        </w:rPr>
        <w:t>）等，这些改性微藻不仅保留了天然营养优势，还具有精准靶向致病菌的免疫增强作用，为水产养殖的绿色健康发展提供了创新方案（表1）。</w:t>
      </w:r>
    </w:p>
    <w:p w14:paraId="119B0C96">
      <w:pPr>
        <w:widowControl/>
        <w:spacing w:after="60" w:line="360" w:lineRule="auto"/>
        <w:jc w:val="center"/>
        <w:rPr>
          <w:kern w:val="0"/>
          <w:sz w:val="24"/>
          <w:szCs w:val="22"/>
          <w:lang w:eastAsia="en-US"/>
        </w:rPr>
      </w:pPr>
      <w:r>
        <w:rPr>
          <w:kern w:val="0"/>
          <w:sz w:val="24"/>
          <w:szCs w:val="22"/>
          <w:lang w:eastAsia="en-US"/>
        </w:rPr>
        <w:drawing>
          <wp:inline distT="0" distB="0" distL="0" distR="0">
            <wp:extent cx="5972175" cy="37782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8"/>
                    <a:stretch>
                      <a:fillRect/>
                    </a:stretch>
                  </pic:blipFill>
                  <pic:spPr>
                    <a:xfrm>
                      <a:off x="0" y="0"/>
                      <a:ext cx="5981316" cy="3783789"/>
                    </a:xfrm>
                    <a:prstGeom prst="rect">
                      <a:avLst/>
                    </a:prstGeom>
                  </pic:spPr>
                </pic:pic>
              </a:graphicData>
            </a:graphic>
          </wp:inline>
        </w:drawing>
      </w:r>
    </w:p>
    <w:p w14:paraId="043E95D0">
      <w:pPr>
        <w:widowControl/>
        <w:spacing w:after="60" w:line="360" w:lineRule="auto"/>
        <w:jc w:val="center"/>
        <w:rPr>
          <w:kern w:val="0"/>
          <w:sz w:val="24"/>
          <w:szCs w:val="22"/>
          <w:lang w:eastAsia="en-US"/>
        </w:rPr>
      </w:pPr>
      <w:r>
        <w:rPr>
          <w:kern w:val="0"/>
          <w:sz w:val="24"/>
          <w:szCs w:val="22"/>
          <w:lang w:eastAsia="en-US"/>
        </w:rPr>
        <w:drawing>
          <wp:inline distT="0" distB="0" distL="0" distR="0">
            <wp:extent cx="5948045" cy="8153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9"/>
                    <a:srcRect b="1756"/>
                    <a:stretch>
                      <a:fillRect/>
                    </a:stretch>
                  </pic:blipFill>
                  <pic:spPr>
                    <a:xfrm>
                      <a:off x="0" y="0"/>
                      <a:ext cx="5960077" cy="8169893"/>
                    </a:xfrm>
                    <a:prstGeom prst="rect">
                      <a:avLst/>
                    </a:prstGeom>
                    <a:ln>
                      <a:noFill/>
                    </a:ln>
                  </pic:spPr>
                </pic:pic>
              </a:graphicData>
            </a:graphic>
          </wp:inline>
        </w:drawing>
      </w:r>
    </w:p>
    <w:p w14:paraId="7005EC54">
      <w:pPr>
        <w:widowControl/>
        <w:spacing w:after="60" w:line="360" w:lineRule="auto"/>
        <w:rPr>
          <w:kern w:val="0"/>
          <w:sz w:val="24"/>
          <w:szCs w:val="22"/>
        </w:rPr>
      </w:pPr>
      <w:r>
        <w:rPr>
          <w:kern w:val="0"/>
          <w:sz w:val="24"/>
          <w:szCs w:val="22"/>
        </w:rPr>
        <w:t>1.2</w:t>
      </w:r>
      <w:r>
        <w:rPr>
          <w:rFonts w:hint="eastAsia"/>
          <w:kern w:val="0"/>
          <w:sz w:val="24"/>
          <w:szCs w:val="22"/>
        </w:rPr>
        <w:t xml:space="preserve"> </w:t>
      </w:r>
      <w:r>
        <w:rPr>
          <w:kern w:val="0"/>
          <w:sz w:val="24"/>
          <w:szCs w:val="22"/>
        </w:rPr>
        <w:t>微藻的免疫活性成分</w:t>
      </w:r>
    </w:p>
    <w:p w14:paraId="2E485352">
      <w:pPr>
        <w:widowControl/>
        <w:spacing w:after="60" w:line="360" w:lineRule="auto"/>
        <w:ind w:firstLine="420"/>
        <w:rPr>
          <w:kern w:val="0"/>
          <w:sz w:val="24"/>
          <w:szCs w:val="22"/>
        </w:rPr>
      </w:pPr>
      <w:r>
        <w:rPr>
          <w:kern w:val="0"/>
          <w:sz w:val="24"/>
          <w:szCs w:val="22"/>
        </w:rPr>
        <w:t>多糖类</w:t>
      </w:r>
      <w:r>
        <w:rPr>
          <w:rFonts w:hint="eastAsia"/>
          <w:kern w:val="0"/>
          <w:sz w:val="24"/>
          <w:szCs w:val="22"/>
        </w:rPr>
        <w:t xml:space="preserve">  </w:t>
      </w:r>
      <w:r>
        <w:rPr>
          <w:kern w:val="0"/>
          <w:sz w:val="24"/>
          <w:szCs w:val="22"/>
        </w:rPr>
        <w:t>在各种微藻多糖中，</w:t>
      </w:r>
      <w:r>
        <w:rPr>
          <w:i/>
          <w:iCs/>
          <w:kern w:val="0"/>
          <w:sz w:val="24"/>
          <w:szCs w:val="22"/>
          <w:lang w:eastAsia="en-US"/>
        </w:rPr>
        <w:t>β</w:t>
      </w:r>
      <w:r>
        <w:rPr>
          <w:kern w:val="0"/>
          <w:sz w:val="24"/>
          <w:szCs w:val="22"/>
        </w:rPr>
        <w:t>-葡聚糖受到广泛关注</w:t>
      </w:r>
      <w:r>
        <w:rPr>
          <w:kern w:val="0"/>
          <w:sz w:val="24"/>
          <w:szCs w:val="22"/>
          <w:vertAlign w:val="superscript"/>
        </w:rPr>
        <w:t>[27]</w:t>
      </w:r>
      <w:r>
        <w:rPr>
          <w:kern w:val="0"/>
          <w:sz w:val="24"/>
          <w:szCs w:val="22"/>
        </w:rPr>
        <w:t>。研究表明，来自海洋硅藻（</w:t>
      </w:r>
      <w:r>
        <w:rPr>
          <w:i/>
          <w:kern w:val="0"/>
          <w:sz w:val="24"/>
          <w:szCs w:val="22"/>
        </w:rPr>
        <w:t>Conticribra weissflogii</w:t>
      </w:r>
      <w:r>
        <w:rPr>
          <w:kern w:val="0"/>
          <w:sz w:val="24"/>
          <w:szCs w:val="22"/>
        </w:rPr>
        <w:t>）的</w:t>
      </w:r>
      <w:r>
        <w:rPr>
          <w:i/>
          <w:iCs/>
          <w:kern w:val="0"/>
          <w:sz w:val="24"/>
          <w:szCs w:val="22"/>
          <w:lang w:eastAsia="en-US"/>
        </w:rPr>
        <w:t>β</w:t>
      </w:r>
      <w:r>
        <w:rPr>
          <w:kern w:val="0"/>
          <w:sz w:val="24"/>
          <w:szCs w:val="22"/>
        </w:rPr>
        <w:t>-D-葡聚糖能显著增强巨噬细胞的吞噬活性，并展现出强大的免疫调节作用</w:t>
      </w:r>
      <w:r>
        <w:rPr>
          <w:kern w:val="0"/>
          <w:sz w:val="24"/>
          <w:szCs w:val="22"/>
          <w:vertAlign w:val="superscript"/>
        </w:rPr>
        <w:t>[28]</w:t>
      </w:r>
      <w:r>
        <w:rPr>
          <w:kern w:val="0"/>
          <w:sz w:val="24"/>
          <w:szCs w:val="22"/>
        </w:rPr>
        <w:t>。此外，微藻还富含硫酸多糖、甘露聚糖等其他活性多糖，例如绿藻总状蕨藻（</w:t>
      </w:r>
      <w:r>
        <w:rPr>
          <w:i/>
          <w:kern w:val="0"/>
          <w:sz w:val="24"/>
          <w:szCs w:val="22"/>
        </w:rPr>
        <w:t>Caulerpa racemosa</w:t>
      </w:r>
      <w:r>
        <w:rPr>
          <w:kern w:val="0"/>
          <w:sz w:val="24"/>
          <w:szCs w:val="22"/>
        </w:rPr>
        <w:t>）的多糖由半乳糖、葡萄糖和甘露糖组成，能有效激活酚氧化酶活性、超氧阴离子的产生、吞噬率和血细胞指数</w:t>
      </w:r>
      <w:r>
        <w:rPr>
          <w:kern w:val="0"/>
          <w:sz w:val="24"/>
          <w:szCs w:val="22"/>
          <w:vertAlign w:val="superscript"/>
        </w:rPr>
        <w:t>[29]</w:t>
      </w:r>
      <w:r>
        <w:rPr>
          <w:kern w:val="0"/>
          <w:sz w:val="24"/>
          <w:szCs w:val="22"/>
        </w:rPr>
        <w:t>。总体而言，微藻多糖通过激活巨噬细胞和中性粒细胞，增强其吞噬能力和呼吸爆发活性，调节如TNF</w:t>
      </w:r>
      <w:r>
        <w:rPr>
          <w:kern w:val="0"/>
          <w:sz w:val="24"/>
          <w:szCs w:val="22"/>
          <w:lang w:eastAsia="en-US"/>
        </w:rPr>
        <w:t>α</w:t>
      </w:r>
      <w:r>
        <w:rPr>
          <w:kern w:val="0"/>
          <w:sz w:val="24"/>
          <w:szCs w:val="22"/>
        </w:rPr>
        <w:t>、IL-1</w:t>
      </w:r>
      <w:r>
        <w:rPr>
          <w:kern w:val="0"/>
          <w:sz w:val="24"/>
          <w:szCs w:val="22"/>
          <w:lang w:eastAsia="en-US"/>
        </w:rPr>
        <w:t>β</w:t>
      </w:r>
      <w:r>
        <w:rPr>
          <w:kern w:val="0"/>
          <w:sz w:val="24"/>
          <w:szCs w:val="22"/>
        </w:rPr>
        <w:t>、IL-6等细胞因子的分泌，激活补体系统提升体液免疫反应，调节肠道微生物群以改善肠道健康等多种免疫调节机制，从而全面提高水产动物的免疫水平</w:t>
      </w:r>
      <w:r>
        <w:rPr>
          <w:kern w:val="0"/>
          <w:sz w:val="24"/>
          <w:szCs w:val="22"/>
          <w:vertAlign w:val="superscript"/>
        </w:rPr>
        <w:t>[30，31]</w:t>
      </w:r>
      <w:r>
        <w:rPr>
          <w:kern w:val="0"/>
          <w:sz w:val="24"/>
          <w:szCs w:val="22"/>
        </w:rPr>
        <w:t>。</w:t>
      </w:r>
    </w:p>
    <w:p w14:paraId="27B12D8F">
      <w:pPr>
        <w:widowControl/>
        <w:spacing w:after="60" w:line="360" w:lineRule="auto"/>
        <w:ind w:firstLine="420"/>
        <w:rPr>
          <w:kern w:val="0"/>
          <w:sz w:val="24"/>
          <w:szCs w:val="22"/>
        </w:rPr>
      </w:pPr>
      <w:r>
        <w:rPr>
          <w:kern w:val="0"/>
          <w:sz w:val="24"/>
          <w:szCs w:val="22"/>
        </w:rPr>
        <w:t>蛋白质类</w:t>
      </w:r>
      <w:r>
        <w:rPr>
          <w:rFonts w:hint="eastAsia"/>
          <w:kern w:val="0"/>
          <w:sz w:val="24"/>
          <w:szCs w:val="22"/>
        </w:rPr>
        <w:t xml:space="preserve">  </w:t>
      </w:r>
      <w:r>
        <w:rPr>
          <w:kern w:val="0"/>
          <w:sz w:val="24"/>
          <w:szCs w:val="22"/>
        </w:rPr>
        <w:t>微藻的蛋白质类活性成分主要包括藻蓝蛋白、免疫调节肽和其他功能性蛋白质，其中藻蓝蛋白具有显著的免疫调节作用。研究表明，藻蓝蛋白能增强生物防御功能，抑制抗原特异性IgE抗体的产生，从而减少过敏性炎症，并通过维持黏膜免疫系统的功能抵抗传染病</w:t>
      </w:r>
      <w:r>
        <w:rPr>
          <w:kern w:val="0"/>
          <w:sz w:val="24"/>
          <w:szCs w:val="22"/>
          <w:vertAlign w:val="superscript"/>
        </w:rPr>
        <w:t>[32]</w:t>
      </w:r>
      <w:r>
        <w:rPr>
          <w:kern w:val="0"/>
          <w:sz w:val="24"/>
          <w:szCs w:val="22"/>
        </w:rPr>
        <w:t>。在Caco-2/U937细胞共培养模型中，藻蓝蛋白能减轻LPS诱导的紧密连接损伤，抑制IL-6和IL-8的产生，同时增强TGF-</w:t>
      </w:r>
      <w:r>
        <w:rPr>
          <w:i/>
          <w:iCs/>
          <w:kern w:val="0"/>
          <w:sz w:val="24"/>
          <w:szCs w:val="22"/>
          <w:lang w:eastAsia="en-US"/>
        </w:rPr>
        <w:t>β</w:t>
      </w:r>
      <w:r>
        <w:rPr>
          <w:kern w:val="0"/>
          <w:sz w:val="24"/>
          <w:szCs w:val="22"/>
        </w:rPr>
        <w:t>1的产生，调节U937细胞的吞噬和杀菌能力</w:t>
      </w:r>
      <w:r>
        <w:rPr>
          <w:kern w:val="0"/>
          <w:sz w:val="24"/>
          <w:szCs w:val="22"/>
          <w:vertAlign w:val="superscript"/>
        </w:rPr>
        <w:t>[33]</w:t>
      </w:r>
      <w:r>
        <w:rPr>
          <w:kern w:val="0"/>
          <w:sz w:val="24"/>
          <w:szCs w:val="22"/>
        </w:rPr>
        <w:t>。藻蓝蛋白还具备抗氧化和抗炎活性，如在肉鸡饲料中添加螺旋藻藻蓝蛋白可调节生长、抗氧化活性及促炎细胞因子和凋亡蛋白的免疫表达</w:t>
      </w:r>
      <w:r>
        <w:rPr>
          <w:kern w:val="0"/>
          <w:sz w:val="24"/>
          <w:szCs w:val="22"/>
          <w:vertAlign w:val="superscript"/>
        </w:rPr>
        <w:t>[34]</w:t>
      </w:r>
      <w:r>
        <w:rPr>
          <w:kern w:val="0"/>
          <w:sz w:val="24"/>
          <w:szCs w:val="22"/>
        </w:rPr>
        <w:t>。除了藻蓝蛋白，微藻还含有其他免疫活性蛋白质，这些蛋白质通过不同机制调节免疫功能，包括调节细胞因子分泌、增强免疫细胞活性和抗氧化应激等</w:t>
      </w:r>
      <w:r>
        <w:rPr>
          <w:kern w:val="0"/>
          <w:sz w:val="24"/>
          <w:szCs w:val="22"/>
          <w:vertAlign w:val="superscript"/>
        </w:rPr>
        <w:t>[35]</w:t>
      </w:r>
      <w:r>
        <w:rPr>
          <w:kern w:val="0"/>
          <w:sz w:val="24"/>
          <w:szCs w:val="22"/>
        </w:rPr>
        <w:t>。</w:t>
      </w:r>
    </w:p>
    <w:p w14:paraId="532D8656">
      <w:pPr>
        <w:widowControl/>
        <w:spacing w:after="60" w:line="360" w:lineRule="auto"/>
        <w:ind w:firstLine="420"/>
        <w:rPr>
          <w:kern w:val="0"/>
          <w:sz w:val="24"/>
          <w:szCs w:val="22"/>
        </w:rPr>
      </w:pPr>
      <w:r>
        <w:rPr>
          <w:kern w:val="0"/>
          <w:sz w:val="24"/>
          <w:szCs w:val="22"/>
        </w:rPr>
        <w:t>脂质类</w:t>
      </w:r>
      <w:r>
        <w:rPr>
          <w:rFonts w:hint="eastAsia"/>
          <w:kern w:val="0"/>
          <w:sz w:val="24"/>
          <w:szCs w:val="22"/>
        </w:rPr>
        <w:t xml:space="preserve">  </w:t>
      </w:r>
      <w:r>
        <w:rPr>
          <w:kern w:val="0"/>
          <w:sz w:val="24"/>
          <w:szCs w:val="22"/>
        </w:rPr>
        <w:t>微藻的脂质类活性成分主要包括多不饱和脂肪酸、甾醇和其他脂溶性化合物，其中</w:t>
      </w:r>
      <w:r>
        <w:rPr>
          <w:kern w:val="0"/>
          <w:sz w:val="24"/>
          <w:szCs w:val="22"/>
          <w:lang w:eastAsia="en-US"/>
        </w:rPr>
        <w:t>ω</w:t>
      </w:r>
      <w:r>
        <w:rPr>
          <w:kern w:val="0"/>
          <w:sz w:val="24"/>
          <w:szCs w:val="22"/>
        </w:rPr>
        <w:t>-3多不饱和脂肪酸，特别是EPA和DHA，是最重要的免疫调节成分。研究表明，DHA在免疫调节中发挥重要作用，通过上调TGF-</w:t>
      </w:r>
      <w:r>
        <w:rPr>
          <w:i/>
          <w:iCs/>
          <w:kern w:val="0"/>
          <w:sz w:val="24"/>
          <w:szCs w:val="22"/>
          <w:lang w:eastAsia="en-US"/>
        </w:rPr>
        <w:t>β</w:t>
      </w:r>
      <w:r>
        <w:rPr>
          <w:kern w:val="0"/>
          <w:sz w:val="24"/>
          <w:szCs w:val="22"/>
        </w:rPr>
        <w:t>依赖性CD4+Foxp3+Tregs的产生，诱导T细胞低反应性，并下调与Th1、Th2和Th17细胞相关的细胞因子，从而缓解特应性反应</w:t>
      </w:r>
      <w:r>
        <w:rPr>
          <w:kern w:val="0"/>
          <w:sz w:val="24"/>
          <w:szCs w:val="22"/>
          <w:vertAlign w:val="superscript"/>
        </w:rPr>
        <w:t>[36]</w:t>
      </w:r>
      <w:r>
        <w:rPr>
          <w:kern w:val="0"/>
          <w:sz w:val="24"/>
          <w:szCs w:val="22"/>
        </w:rPr>
        <w:t>。此外，微藻脂质提取物具有显著的抗炎活性，如来自三种红藻（紫菜</w:t>
      </w:r>
      <w:r>
        <w:rPr>
          <w:i/>
          <w:iCs/>
          <w:kern w:val="0"/>
          <w:sz w:val="24"/>
          <w:szCs w:val="22"/>
        </w:rPr>
        <w:t>Porphyra dioica</w:t>
      </w:r>
      <w:r>
        <w:rPr>
          <w:kern w:val="0"/>
          <w:sz w:val="24"/>
          <w:szCs w:val="22"/>
        </w:rPr>
        <w:t>、棕榈藻</w:t>
      </w:r>
      <w:r>
        <w:rPr>
          <w:i/>
          <w:iCs/>
          <w:kern w:val="0"/>
          <w:sz w:val="24"/>
          <w:szCs w:val="22"/>
        </w:rPr>
        <w:t>Palmaria palmata</w:t>
      </w:r>
      <w:r>
        <w:rPr>
          <w:kern w:val="0"/>
          <w:sz w:val="24"/>
          <w:szCs w:val="22"/>
        </w:rPr>
        <w:t>、角叉菜</w:t>
      </w:r>
      <w:r>
        <w:rPr>
          <w:i/>
          <w:iCs/>
          <w:kern w:val="0"/>
          <w:sz w:val="24"/>
          <w:szCs w:val="22"/>
        </w:rPr>
        <w:t>Chondrus crispus</w:t>
      </w:r>
      <w:r>
        <w:rPr>
          <w:kern w:val="0"/>
          <w:sz w:val="24"/>
          <w:szCs w:val="22"/>
        </w:rPr>
        <w:t>）和一种微藻（巴夫藻</w:t>
      </w:r>
      <w:r>
        <w:rPr>
          <w:i/>
          <w:iCs/>
          <w:kern w:val="0"/>
          <w:sz w:val="24"/>
          <w:szCs w:val="22"/>
        </w:rPr>
        <w:t>Pavlova lutheri</w:t>
      </w:r>
      <w:r>
        <w:rPr>
          <w:kern w:val="0"/>
          <w:sz w:val="24"/>
          <w:szCs w:val="22"/>
        </w:rPr>
        <w:t>）的脂质提取物能抑制LPS诱导的THP-1巨噬细胞促炎信号通路，降低TLR-1、TLR-2等14个促炎基因的表达</w:t>
      </w:r>
      <w:r>
        <w:rPr>
          <w:kern w:val="0"/>
          <w:sz w:val="24"/>
          <w:szCs w:val="22"/>
          <w:vertAlign w:val="superscript"/>
        </w:rPr>
        <w:t>[37]</w:t>
      </w:r>
      <w:r>
        <w:rPr>
          <w:kern w:val="0"/>
          <w:sz w:val="24"/>
          <w:szCs w:val="22"/>
        </w:rPr>
        <w:t>。</w:t>
      </w:r>
    </w:p>
    <w:p w14:paraId="148784B6">
      <w:pPr>
        <w:widowControl/>
        <w:spacing w:after="60" w:line="360" w:lineRule="auto"/>
        <w:ind w:firstLine="420"/>
        <w:rPr>
          <w:kern w:val="0"/>
          <w:sz w:val="24"/>
          <w:szCs w:val="22"/>
        </w:rPr>
      </w:pPr>
      <w:r>
        <w:rPr>
          <w:kern w:val="0"/>
          <w:sz w:val="24"/>
          <w:szCs w:val="22"/>
        </w:rPr>
        <w:t>色素类</w:t>
      </w:r>
      <w:r>
        <w:rPr>
          <w:rFonts w:hint="eastAsia"/>
          <w:kern w:val="0"/>
          <w:sz w:val="24"/>
          <w:szCs w:val="22"/>
        </w:rPr>
        <w:t xml:space="preserve">  </w:t>
      </w:r>
      <w:r>
        <w:rPr>
          <w:kern w:val="0"/>
          <w:sz w:val="24"/>
          <w:szCs w:val="22"/>
        </w:rPr>
        <w:t>微藻色素类活性成分主要包括类胡萝卜素（如虾青素、</w:t>
      </w:r>
      <w:r>
        <w:rPr>
          <w:i/>
          <w:iCs/>
          <w:kern w:val="0"/>
          <w:sz w:val="24"/>
          <w:szCs w:val="22"/>
          <w:lang w:eastAsia="en-US"/>
        </w:rPr>
        <w:t>β</w:t>
      </w:r>
      <w:r>
        <w:rPr>
          <w:kern w:val="0"/>
          <w:sz w:val="24"/>
          <w:szCs w:val="22"/>
        </w:rPr>
        <w:t>-胡萝卜素、叶黄素等）和叶绿素衍生物，这些色素不仅赋予微藻独特的颜色，还具有强大的抗氧化和免疫调节功能</w:t>
      </w:r>
      <w:r>
        <w:rPr>
          <w:kern w:val="0"/>
          <w:sz w:val="24"/>
          <w:szCs w:val="22"/>
          <w:vertAlign w:val="superscript"/>
        </w:rPr>
        <w:t>[39]</w:t>
      </w:r>
      <w:r>
        <w:rPr>
          <w:kern w:val="0"/>
          <w:sz w:val="24"/>
          <w:szCs w:val="22"/>
        </w:rPr>
        <w:t>。虾青素是微藻中一种核心类胡萝卜素，具有极强的抗氧化活性，在水产养殖中应用广泛。研究表明，添加虾青素的饲料能显著改善凡纳滨对虾（</w:t>
      </w:r>
      <w:r>
        <w:rPr>
          <w:i/>
          <w:kern w:val="0"/>
          <w:sz w:val="24"/>
          <w:szCs w:val="22"/>
        </w:rPr>
        <w:t>Litopenaeus vannamei</w:t>
      </w:r>
      <w:r>
        <w:rPr>
          <w:kern w:val="0"/>
          <w:sz w:val="24"/>
          <w:szCs w:val="22"/>
        </w:rPr>
        <w:t>）的体色红度，增强免疫反应及对副溶血弧菌的抵抗力</w:t>
      </w:r>
      <w:r>
        <w:rPr>
          <w:kern w:val="0"/>
          <w:sz w:val="24"/>
          <w:szCs w:val="22"/>
          <w:vertAlign w:val="superscript"/>
        </w:rPr>
        <w:t>[40]</w:t>
      </w:r>
      <w:r>
        <w:rPr>
          <w:kern w:val="0"/>
          <w:sz w:val="24"/>
          <w:szCs w:val="22"/>
        </w:rPr>
        <w:t>。</w:t>
      </w:r>
      <w:r>
        <w:rPr>
          <w:i/>
          <w:iCs/>
          <w:kern w:val="0"/>
          <w:sz w:val="24"/>
          <w:szCs w:val="22"/>
          <w:lang w:eastAsia="en-US"/>
        </w:rPr>
        <w:t>β</w:t>
      </w:r>
      <w:r>
        <w:rPr>
          <w:kern w:val="0"/>
          <w:sz w:val="24"/>
          <w:szCs w:val="22"/>
        </w:rPr>
        <w:t>-胡萝卜素是另一种重要色素，研究发现它能抑制体内氧化应激引起的脂质过氧化、致癌作用和炎症，特别是在中性粒细胞的代谢和抗氧化活性研究中得到了证实</w:t>
      </w:r>
      <w:r>
        <w:rPr>
          <w:kern w:val="0"/>
          <w:sz w:val="24"/>
          <w:szCs w:val="22"/>
          <w:vertAlign w:val="superscript"/>
        </w:rPr>
        <w:t>[41]</w:t>
      </w:r>
      <w:r>
        <w:rPr>
          <w:kern w:val="0"/>
          <w:sz w:val="24"/>
          <w:szCs w:val="22"/>
        </w:rPr>
        <w:t>。在水产动物中，</w:t>
      </w:r>
      <w:r>
        <w:rPr>
          <w:i/>
          <w:iCs/>
          <w:kern w:val="0"/>
          <w:sz w:val="24"/>
          <w:szCs w:val="22"/>
          <w:lang w:eastAsia="en-US"/>
        </w:rPr>
        <w:t>β</w:t>
      </w:r>
      <w:r>
        <w:rPr>
          <w:kern w:val="0"/>
          <w:sz w:val="24"/>
          <w:szCs w:val="22"/>
        </w:rPr>
        <w:t>-胡萝卜素不仅是维生素A的前体，还作为免疫增强剂，促进生长和提高存活率。微藻色素通过强大的抗氧化作用清除自由基，减少氧化应激损伤；调节细胞因子网络，抑制促炎细胞因子的产生；增强免疫细胞活性，提高吞噬能力和细胞毒性；保护细胞膜完整性，维持细胞正常功能等多种免疫机制共同作用，以提高水产动物的抗病能力</w:t>
      </w:r>
      <w:r>
        <w:rPr>
          <w:kern w:val="0"/>
          <w:sz w:val="24"/>
          <w:szCs w:val="22"/>
          <w:vertAlign w:val="superscript"/>
        </w:rPr>
        <w:t>[42，43]</w:t>
      </w:r>
      <w:r>
        <w:rPr>
          <w:kern w:val="0"/>
          <w:sz w:val="24"/>
          <w:szCs w:val="22"/>
        </w:rPr>
        <w:t>。</w:t>
      </w:r>
    </w:p>
    <w:p w14:paraId="2DFAEA13">
      <w:pPr>
        <w:widowControl/>
        <w:spacing w:after="60" w:line="360" w:lineRule="auto"/>
        <w:ind w:firstLine="420"/>
        <w:rPr>
          <w:kern w:val="0"/>
          <w:sz w:val="24"/>
          <w:szCs w:val="22"/>
        </w:rPr>
      </w:pPr>
      <w:r>
        <w:rPr>
          <w:kern w:val="0"/>
          <w:sz w:val="24"/>
          <w:szCs w:val="22"/>
        </w:rPr>
        <w:t>其他生物活性成分</w:t>
      </w:r>
      <w:r>
        <w:rPr>
          <w:rFonts w:hint="eastAsia"/>
          <w:kern w:val="0"/>
          <w:sz w:val="24"/>
          <w:szCs w:val="22"/>
        </w:rPr>
        <w:t xml:space="preserve">  </w:t>
      </w:r>
      <w:r>
        <w:rPr>
          <w:kern w:val="0"/>
          <w:sz w:val="24"/>
          <w:szCs w:val="22"/>
        </w:rPr>
        <w:t>除了上述成分，微藻还含有多种其他生物活性物质，包括维生素、矿物质、生物碱、萜类化合物等，虽然这些成分的含量较少，但在免疫调节中具有重要作用（图1）。微藻是多种维生素的重要来源，如维生素C、维生素E、B族维生素等。研究发现，维生素C在几种微藻种类中的含量较高，Patai Charoonnart等</w:t>
      </w:r>
      <w:r>
        <w:rPr>
          <w:kern w:val="0"/>
          <w:sz w:val="24"/>
          <w:szCs w:val="22"/>
          <w:vertAlign w:val="superscript"/>
        </w:rPr>
        <w:t>[44]</w:t>
      </w:r>
      <w:r>
        <w:rPr>
          <w:kern w:val="0"/>
          <w:sz w:val="24"/>
          <w:szCs w:val="22"/>
        </w:rPr>
        <w:t>的研究表明，以2000 mg/kg的维生素C含量投喂南美白对虾（</w:t>
      </w:r>
      <w:r>
        <w:rPr>
          <w:i/>
          <w:kern w:val="0"/>
          <w:sz w:val="24"/>
          <w:szCs w:val="22"/>
        </w:rPr>
        <w:t>Penaeus vannamei</w:t>
      </w:r>
      <w:r>
        <w:rPr>
          <w:kern w:val="0"/>
          <w:sz w:val="24"/>
          <w:szCs w:val="22"/>
        </w:rPr>
        <w:t>）能增强其免疫力，达到降低弧菌属死亡率的最佳效果。微藻还含有丰富的矿物质，如铁、锌、硒、碘等，这些微量元素对免疫功能至关重要。例如，锌参与多种酶的活性调节，对免疫细胞的发育和功能维持有重要作用</w:t>
      </w:r>
      <w:r>
        <w:rPr>
          <w:kern w:val="0"/>
          <w:sz w:val="24"/>
          <w:szCs w:val="22"/>
          <w:vertAlign w:val="superscript"/>
        </w:rPr>
        <w:t>[45]</w:t>
      </w:r>
      <w:r>
        <w:rPr>
          <w:kern w:val="0"/>
          <w:sz w:val="24"/>
          <w:szCs w:val="22"/>
        </w:rPr>
        <w:t xml:space="preserve">。此外，微藻中还含有一些特殊的生物活性化合物，如螺旋藻中的新型果胶，研究显示它能在斑马鱼模型中增强抗病性和免疫调节作用。在25和50 </w:t>
      </w:r>
      <w:r>
        <w:rPr>
          <w:kern w:val="0"/>
          <w:sz w:val="24"/>
          <w:szCs w:val="22"/>
          <w:lang w:eastAsia="en-US"/>
        </w:rPr>
        <w:t>μ</w:t>
      </w:r>
      <w:r>
        <w:rPr>
          <w:kern w:val="0"/>
          <w:sz w:val="24"/>
          <w:szCs w:val="22"/>
        </w:rPr>
        <w:t>g/mL浓度下，新型果胶处理的斑马鱼幼虫对爱德华氏菌（</w:t>
      </w:r>
      <w:r>
        <w:rPr>
          <w:i/>
          <w:kern w:val="0"/>
          <w:sz w:val="24"/>
          <w:szCs w:val="22"/>
        </w:rPr>
        <w:t>Edwardsiella piscicida</w:t>
      </w:r>
      <w:r>
        <w:rPr>
          <w:kern w:val="0"/>
          <w:sz w:val="24"/>
          <w:szCs w:val="22"/>
        </w:rPr>
        <w:t>）的存活率分别为44.0%和67.0%，显著高于对照组的20.0%</w:t>
      </w:r>
      <w:r>
        <w:rPr>
          <w:kern w:val="0"/>
          <w:sz w:val="24"/>
          <w:szCs w:val="22"/>
          <w:vertAlign w:val="superscript"/>
        </w:rPr>
        <w:t>[46]</w:t>
      </w:r>
      <w:r>
        <w:rPr>
          <w:kern w:val="0"/>
          <w:sz w:val="24"/>
          <w:szCs w:val="22"/>
        </w:rPr>
        <w:t>。</w:t>
      </w:r>
    </w:p>
    <w:p w14:paraId="0DF297F9">
      <w:pPr>
        <w:widowControl/>
        <w:spacing w:after="60" w:line="360" w:lineRule="auto"/>
        <w:jc w:val="center"/>
        <w:rPr>
          <w:kern w:val="0"/>
          <w:sz w:val="24"/>
          <w:szCs w:val="22"/>
          <w:lang w:eastAsia="en-US"/>
        </w:rPr>
      </w:pPr>
      <w:r>
        <w:rPr>
          <w:kern w:val="0"/>
          <w:sz w:val="24"/>
          <w:szCs w:val="22"/>
          <w:lang w:eastAsia="en-US"/>
        </w:rPr>
        <w:drawing>
          <wp:inline distT="0" distB="0" distL="0" distR="0">
            <wp:extent cx="5708650" cy="3308350"/>
            <wp:effectExtent l="0" t="0" r="6350" b="63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0"/>
                    <a:stretch>
                      <a:fillRect/>
                    </a:stretch>
                  </pic:blipFill>
                  <pic:spPr>
                    <a:xfrm>
                      <a:off x="0" y="0"/>
                      <a:ext cx="5708650" cy="3308350"/>
                    </a:xfrm>
                    <a:prstGeom prst="rect">
                      <a:avLst/>
                    </a:prstGeom>
                  </pic:spPr>
                </pic:pic>
              </a:graphicData>
            </a:graphic>
          </wp:inline>
        </w:drawing>
      </w:r>
    </w:p>
    <w:p w14:paraId="2EBCE05C">
      <w:pPr>
        <w:widowControl/>
        <w:spacing w:after="60" w:line="360" w:lineRule="auto"/>
        <w:rPr>
          <w:kern w:val="0"/>
          <w:sz w:val="24"/>
          <w:szCs w:val="22"/>
          <w:lang w:eastAsia="en-US"/>
        </w:rPr>
      </w:pPr>
      <w:r>
        <w:rPr>
          <w:kern w:val="0"/>
          <w:sz w:val="24"/>
          <w:szCs w:val="22"/>
          <w:lang w:eastAsia="en-US"/>
        </w:rPr>
        <w:t>2</w:t>
      </w:r>
      <w:r>
        <w:rPr>
          <w:rFonts w:hint="eastAsia"/>
          <w:kern w:val="0"/>
          <w:sz w:val="24"/>
          <w:szCs w:val="22"/>
        </w:rPr>
        <w:t xml:space="preserve"> </w:t>
      </w:r>
      <w:r>
        <w:rPr>
          <w:kern w:val="0"/>
          <w:sz w:val="24"/>
          <w:szCs w:val="22"/>
          <w:lang w:eastAsia="en-US"/>
        </w:rPr>
        <w:t>免疫活性微藻的作用机制</w:t>
      </w:r>
    </w:p>
    <w:p w14:paraId="1EF7E60B">
      <w:pPr>
        <w:widowControl/>
        <w:spacing w:after="60" w:line="360" w:lineRule="auto"/>
        <w:rPr>
          <w:kern w:val="0"/>
          <w:sz w:val="24"/>
          <w:szCs w:val="22"/>
        </w:rPr>
      </w:pPr>
      <w:r>
        <w:rPr>
          <w:kern w:val="0"/>
          <w:sz w:val="24"/>
          <w:szCs w:val="22"/>
        </w:rPr>
        <w:t>2.1</w:t>
      </w:r>
      <w:r>
        <w:rPr>
          <w:rFonts w:hint="eastAsia"/>
          <w:kern w:val="0"/>
          <w:sz w:val="24"/>
          <w:szCs w:val="22"/>
        </w:rPr>
        <w:t xml:space="preserve"> </w:t>
      </w:r>
      <w:r>
        <w:rPr>
          <w:kern w:val="0"/>
          <w:sz w:val="24"/>
          <w:szCs w:val="22"/>
        </w:rPr>
        <w:t>细胞免疫调节机制</w:t>
      </w:r>
    </w:p>
    <w:p w14:paraId="2740E573">
      <w:pPr>
        <w:widowControl/>
        <w:spacing w:after="60" w:line="360" w:lineRule="auto"/>
        <w:ind w:firstLine="420"/>
        <w:rPr>
          <w:kern w:val="0"/>
          <w:sz w:val="24"/>
          <w:szCs w:val="22"/>
        </w:rPr>
      </w:pPr>
      <w:r>
        <w:rPr>
          <w:kern w:val="0"/>
          <w:sz w:val="24"/>
          <w:szCs w:val="22"/>
        </w:rPr>
        <w:t>具有免疫活性的微藻通过激活和增强免疫细胞活性来实现免疫调节，这一过程涉及巨噬细胞、中性粒细胞、淋巴细胞等多种免疫细胞类型，并依赖复杂的细胞间相互作用和信号转导网络。</w:t>
      </w:r>
    </w:p>
    <w:p w14:paraId="7FAF421E">
      <w:pPr>
        <w:widowControl/>
        <w:spacing w:after="60" w:line="360" w:lineRule="auto"/>
        <w:ind w:firstLine="420"/>
        <w:rPr>
          <w:kern w:val="0"/>
          <w:sz w:val="24"/>
          <w:szCs w:val="22"/>
        </w:rPr>
      </w:pPr>
      <w:r>
        <w:rPr>
          <w:kern w:val="0"/>
          <w:sz w:val="24"/>
          <w:szCs w:val="22"/>
        </w:rPr>
        <w:t>在巨噬细胞调节方面，研究发现，来自海洋硅藻（</w:t>
      </w:r>
      <w:r>
        <w:rPr>
          <w:i/>
          <w:kern w:val="0"/>
          <w:sz w:val="24"/>
          <w:szCs w:val="22"/>
        </w:rPr>
        <w:t>Conticribra weissflogii</w:t>
      </w:r>
      <w:r>
        <w:rPr>
          <w:kern w:val="0"/>
          <w:sz w:val="24"/>
          <w:szCs w:val="22"/>
        </w:rPr>
        <w:t>）的</w:t>
      </w:r>
      <w:r>
        <w:rPr>
          <w:i/>
          <w:iCs/>
          <w:kern w:val="0"/>
          <w:sz w:val="24"/>
          <w:szCs w:val="22"/>
          <w:lang w:eastAsia="en-US"/>
        </w:rPr>
        <w:t>β</w:t>
      </w:r>
      <w:r>
        <w:rPr>
          <w:kern w:val="0"/>
          <w:sz w:val="24"/>
          <w:szCs w:val="22"/>
        </w:rPr>
        <w:t>-D-葡聚糖能够增强巨噬细胞的吞噬活性，具有免疫调节作用</w:t>
      </w:r>
      <w:r>
        <w:rPr>
          <w:kern w:val="0"/>
          <w:sz w:val="24"/>
          <w:szCs w:val="22"/>
          <w:vertAlign w:val="superscript"/>
        </w:rPr>
        <w:t>[27]</w:t>
      </w:r>
      <w:r>
        <w:rPr>
          <w:kern w:val="0"/>
          <w:sz w:val="24"/>
          <w:szCs w:val="22"/>
        </w:rPr>
        <w:t>；来自绿藻总状蕨藻的多糖在体外处理时不改变血细胞的活力，但能显著激活酚氧化酶活性、超氧阴离子的产生、吞噬率和指数。在体内实验中，多糖喂养的虾在整个饲养期间的免疫参数（如总血细胞计数、酚氧化酶活性、吞噬作用和超氧阴离子产生）显著升高</w:t>
      </w:r>
      <w:r>
        <w:rPr>
          <w:kern w:val="0"/>
          <w:sz w:val="24"/>
          <w:szCs w:val="22"/>
          <w:vertAlign w:val="superscript"/>
        </w:rPr>
        <w:t>[30]</w:t>
      </w:r>
      <w:r>
        <w:rPr>
          <w:kern w:val="0"/>
          <w:sz w:val="24"/>
          <w:szCs w:val="22"/>
        </w:rPr>
        <w:t>。微藻提取物还可以调节巨噬细胞的极化状态。研究发现，DHA能够增强M2型巨噬细胞的功能，DHA-M2巨噬细胞直接介导Foxp3+Tregs向CD4+ T细胞的分化，抑制效应巨噬细胞的活性并抑制CD4+ T细胞增殖</w:t>
      </w:r>
      <w:r>
        <w:rPr>
          <w:kern w:val="0"/>
          <w:sz w:val="24"/>
          <w:szCs w:val="22"/>
          <w:vertAlign w:val="superscript"/>
        </w:rPr>
        <w:t>[37]</w:t>
      </w:r>
      <w:r>
        <w:rPr>
          <w:kern w:val="0"/>
          <w:sz w:val="24"/>
          <w:szCs w:val="22"/>
        </w:rPr>
        <w:t>。这种调节作用有助于建立抗炎和免疫耐受的微环境，对维持免疫稳态具有重要作用。</w:t>
      </w:r>
    </w:p>
    <w:p w14:paraId="018874D5">
      <w:pPr>
        <w:widowControl/>
        <w:spacing w:after="60" w:line="360" w:lineRule="auto"/>
        <w:ind w:firstLine="420"/>
        <w:rPr>
          <w:kern w:val="0"/>
          <w:sz w:val="24"/>
          <w:szCs w:val="22"/>
        </w:rPr>
      </w:pPr>
      <w:r>
        <w:rPr>
          <w:kern w:val="0"/>
          <w:sz w:val="24"/>
          <w:szCs w:val="22"/>
        </w:rPr>
        <w:t>在中性粒细胞调节方面，微藻成分可增强其趋化、吞噬和杀菌能力。来自红藻的脂质提取物通过抑制Toll样受体、趋化因子和NF-</w:t>
      </w:r>
      <w:r>
        <w:rPr>
          <w:kern w:val="0"/>
          <w:sz w:val="24"/>
          <w:szCs w:val="22"/>
          <w:lang w:eastAsia="en-US"/>
        </w:rPr>
        <w:t>κ</w:t>
      </w:r>
      <w:r>
        <w:rPr>
          <w:kern w:val="0"/>
          <w:sz w:val="24"/>
          <w:szCs w:val="22"/>
        </w:rPr>
        <w:t>B信号通路，可有效抑制LPS诱导的促炎反应</w:t>
      </w:r>
      <w:r>
        <w:rPr>
          <w:kern w:val="0"/>
          <w:sz w:val="24"/>
          <w:szCs w:val="22"/>
          <w:vertAlign w:val="superscript"/>
        </w:rPr>
        <w:t>[38]</w:t>
      </w:r>
      <w:r>
        <w:rPr>
          <w:kern w:val="0"/>
          <w:sz w:val="24"/>
          <w:szCs w:val="22"/>
        </w:rPr>
        <w:t>，该机制同样适用于水产动物的中性粒细胞，能够减少炎症损伤并提高病原体清除效率。</w:t>
      </w:r>
    </w:p>
    <w:p w14:paraId="6AF6D3A3">
      <w:pPr>
        <w:widowControl/>
        <w:spacing w:after="60" w:line="360" w:lineRule="auto"/>
        <w:ind w:firstLine="420"/>
        <w:rPr>
          <w:kern w:val="0"/>
          <w:sz w:val="24"/>
          <w:szCs w:val="22"/>
        </w:rPr>
      </w:pPr>
      <w:r>
        <w:rPr>
          <w:kern w:val="0"/>
          <w:sz w:val="24"/>
          <w:szCs w:val="22"/>
        </w:rPr>
        <w:t>在淋巴细胞调节方面，微藻成分主要通过调节T细胞亚群的分化和功能来实现免疫调节。研究表明，微藻</w:t>
      </w:r>
      <w:r>
        <w:rPr>
          <w:kern w:val="0"/>
          <w:sz w:val="24"/>
          <w:szCs w:val="22"/>
          <w:lang w:eastAsia="en-US"/>
        </w:rPr>
        <w:t>ω</w:t>
      </w:r>
      <w:r>
        <w:rPr>
          <w:kern w:val="0"/>
          <w:sz w:val="24"/>
          <w:szCs w:val="22"/>
        </w:rPr>
        <w:t>-3脂肪酸能够调节T细胞的细胞因子分泌模式。在小鼠饮食中补充微藻提取的</w:t>
      </w:r>
      <w:r>
        <w:rPr>
          <w:kern w:val="0"/>
          <w:sz w:val="24"/>
          <w:szCs w:val="22"/>
          <w:lang w:eastAsia="en-US"/>
        </w:rPr>
        <w:t>ω</w:t>
      </w:r>
      <w:r>
        <w:rPr>
          <w:kern w:val="0"/>
          <w:sz w:val="24"/>
          <w:szCs w:val="22"/>
        </w:rPr>
        <w:t>-3脂肪酸后，减少了产生IFN-</w:t>
      </w:r>
      <w:r>
        <w:rPr>
          <w:kern w:val="0"/>
          <w:sz w:val="24"/>
          <w:szCs w:val="22"/>
          <w:lang w:eastAsia="en-US"/>
        </w:rPr>
        <w:t>γ</w:t>
      </w:r>
      <w:r>
        <w:rPr>
          <w:kern w:val="0"/>
          <w:sz w:val="24"/>
          <w:szCs w:val="22"/>
        </w:rPr>
        <w:t>和TNF</w:t>
      </w:r>
      <w:r>
        <w:rPr>
          <w:kern w:val="0"/>
          <w:sz w:val="24"/>
          <w:szCs w:val="22"/>
          <w:lang w:eastAsia="en-US"/>
        </w:rPr>
        <w:t>α</w:t>
      </w:r>
      <w:r>
        <w:rPr>
          <w:kern w:val="0"/>
          <w:sz w:val="24"/>
          <w:szCs w:val="22"/>
        </w:rPr>
        <w:t>的CD4+ T细胞比例，增加了产生IL-17A和IL-12的细胞比例，同时减少了产生IL-4的CD4+ T细胞比例，增加了产生TGF-</w:t>
      </w:r>
      <w:r>
        <w:rPr>
          <w:i/>
          <w:iCs/>
          <w:kern w:val="0"/>
          <w:sz w:val="24"/>
          <w:szCs w:val="22"/>
          <w:lang w:eastAsia="en-US"/>
        </w:rPr>
        <w:t>β</w:t>
      </w:r>
      <w:r>
        <w:rPr>
          <w:kern w:val="0"/>
          <w:sz w:val="24"/>
          <w:szCs w:val="22"/>
        </w:rPr>
        <w:t>的细胞比例</w:t>
      </w:r>
      <w:r>
        <w:rPr>
          <w:kern w:val="0"/>
          <w:sz w:val="24"/>
          <w:szCs w:val="22"/>
          <w:vertAlign w:val="superscript"/>
        </w:rPr>
        <w:t>[47]</w:t>
      </w:r>
      <w:r>
        <w:rPr>
          <w:kern w:val="0"/>
          <w:sz w:val="24"/>
          <w:szCs w:val="22"/>
        </w:rPr>
        <w:t>。这种调节作用有助于平衡Th1/Th2/Th17反应，建立适当的免疫反应强度。</w:t>
      </w:r>
    </w:p>
    <w:p w14:paraId="1A220044">
      <w:pPr>
        <w:widowControl/>
        <w:spacing w:after="60" w:line="360" w:lineRule="auto"/>
        <w:ind w:firstLine="420"/>
        <w:rPr>
          <w:kern w:val="0"/>
          <w:sz w:val="24"/>
          <w:szCs w:val="22"/>
        </w:rPr>
      </w:pPr>
      <w:r>
        <w:rPr>
          <w:kern w:val="0"/>
          <w:sz w:val="24"/>
          <w:szCs w:val="22"/>
        </w:rPr>
        <w:t>此外，微藻还能够增强自然杀伤（NK）细胞的活性。研究发现，DHA喂养的小鼠在感染后第7天脾脏中NK细胞的IFN-</w:t>
      </w:r>
      <w:r>
        <w:rPr>
          <w:kern w:val="0"/>
          <w:sz w:val="24"/>
          <w:szCs w:val="22"/>
          <w:lang w:eastAsia="en-US"/>
        </w:rPr>
        <w:t>γ</w:t>
      </w:r>
      <w:r>
        <w:rPr>
          <w:kern w:val="0"/>
          <w:sz w:val="24"/>
          <w:szCs w:val="22"/>
        </w:rPr>
        <w:t>和颗粒酶B表达显著增加，表明DHA补充能够增强NK细胞的效应功能</w:t>
      </w:r>
      <w:r>
        <w:rPr>
          <w:kern w:val="0"/>
          <w:sz w:val="24"/>
          <w:szCs w:val="22"/>
          <w:vertAlign w:val="superscript"/>
        </w:rPr>
        <w:t>[48]</w:t>
      </w:r>
      <w:r>
        <w:rPr>
          <w:kern w:val="0"/>
          <w:sz w:val="24"/>
          <w:szCs w:val="22"/>
        </w:rPr>
        <w:t>。</w:t>
      </w:r>
    </w:p>
    <w:p w14:paraId="2570ECDF">
      <w:pPr>
        <w:widowControl/>
        <w:spacing w:after="60" w:line="360" w:lineRule="auto"/>
        <w:rPr>
          <w:kern w:val="0"/>
          <w:sz w:val="24"/>
          <w:szCs w:val="22"/>
        </w:rPr>
      </w:pPr>
      <w:r>
        <w:rPr>
          <w:kern w:val="0"/>
          <w:sz w:val="24"/>
          <w:szCs w:val="22"/>
        </w:rPr>
        <w:t>2.2</w:t>
      </w:r>
      <w:r>
        <w:rPr>
          <w:rFonts w:hint="eastAsia"/>
          <w:kern w:val="0"/>
          <w:sz w:val="24"/>
          <w:szCs w:val="22"/>
        </w:rPr>
        <w:t xml:space="preserve"> </w:t>
      </w:r>
      <w:r>
        <w:rPr>
          <w:kern w:val="0"/>
          <w:sz w:val="24"/>
          <w:szCs w:val="22"/>
        </w:rPr>
        <w:t>体液免疫调节机制</w:t>
      </w:r>
    </w:p>
    <w:p w14:paraId="783BFB61">
      <w:pPr>
        <w:widowControl/>
        <w:spacing w:after="60" w:line="360" w:lineRule="auto"/>
        <w:ind w:firstLine="420"/>
        <w:rPr>
          <w:kern w:val="0"/>
          <w:sz w:val="24"/>
          <w:szCs w:val="22"/>
        </w:rPr>
      </w:pPr>
      <w:r>
        <w:rPr>
          <w:kern w:val="0"/>
          <w:sz w:val="24"/>
          <w:szCs w:val="22"/>
        </w:rPr>
        <w:t>微藻的免疫调节作用还可以通过调控抗体产生、补体激活、溶菌酶活性等关键环节实现，这些机制相互协同，从而构建起稳固的体液免疫防御网络。</w:t>
      </w:r>
    </w:p>
    <w:p w14:paraId="3027A64F">
      <w:pPr>
        <w:widowControl/>
        <w:spacing w:after="60" w:line="360" w:lineRule="auto"/>
        <w:ind w:firstLine="420"/>
        <w:rPr>
          <w:kern w:val="0"/>
          <w:sz w:val="24"/>
          <w:szCs w:val="22"/>
        </w:rPr>
      </w:pPr>
      <w:r>
        <w:rPr>
          <w:kern w:val="0"/>
          <w:sz w:val="24"/>
          <w:szCs w:val="22"/>
        </w:rPr>
        <w:t>在抗体调节方面，研究表明微藻成分能够影响免疫球蛋白的产生和分泌。例如藻蓝蛋白能够增强生物防御活性，抑制抗原特异性IgE抗体的产生来减少过敏性炎症，并通过维持黏膜免疫系统功能来抵抗传染病</w:t>
      </w:r>
      <w:r>
        <w:rPr>
          <w:kern w:val="0"/>
          <w:sz w:val="24"/>
          <w:szCs w:val="22"/>
          <w:vertAlign w:val="superscript"/>
        </w:rPr>
        <w:t>[28]</w:t>
      </w:r>
      <w:r>
        <w:rPr>
          <w:kern w:val="0"/>
          <w:sz w:val="24"/>
          <w:szCs w:val="22"/>
        </w:rPr>
        <w:t>。在补体系统调节方面，微藻成分能够激活补体经典途径和替代途径。来自海洋硅藻（</w:t>
      </w:r>
      <w:r>
        <w:rPr>
          <w:i/>
          <w:iCs/>
          <w:kern w:val="0"/>
          <w:sz w:val="24"/>
          <w:szCs w:val="22"/>
        </w:rPr>
        <w:t>Pavlova lutheri</w:t>
      </w:r>
      <w:r>
        <w:rPr>
          <w:kern w:val="0"/>
          <w:sz w:val="24"/>
          <w:szCs w:val="22"/>
        </w:rPr>
        <w:t>）的</w:t>
      </w:r>
      <w:r>
        <w:rPr>
          <w:kern w:val="0"/>
          <w:sz w:val="24"/>
          <w:szCs w:val="22"/>
          <w:lang w:eastAsia="en-US"/>
        </w:rPr>
        <w:t>β</w:t>
      </w:r>
      <w:r>
        <w:rPr>
          <w:kern w:val="0"/>
          <w:sz w:val="24"/>
          <w:szCs w:val="22"/>
        </w:rPr>
        <w:t>-葡聚糖表现出与鼠伤寒沙门氏菌的黏附活性，这种黏附作用可能与补体激活相关。补体激活后产生的C3b、C4b等片段能促进病原体的调理作用，增强吞噬细胞的识别和清除能力</w:t>
      </w:r>
      <w:r>
        <w:rPr>
          <w:kern w:val="0"/>
          <w:sz w:val="24"/>
          <w:szCs w:val="22"/>
          <w:vertAlign w:val="superscript"/>
        </w:rPr>
        <w:t>[49]</w:t>
      </w:r>
      <w:r>
        <w:rPr>
          <w:kern w:val="0"/>
          <w:sz w:val="24"/>
          <w:szCs w:val="22"/>
        </w:rPr>
        <w:t>。</w:t>
      </w:r>
    </w:p>
    <w:p w14:paraId="7C23F817">
      <w:pPr>
        <w:widowControl/>
        <w:spacing w:after="60" w:line="360" w:lineRule="auto"/>
        <w:ind w:firstLine="420"/>
        <w:rPr>
          <w:kern w:val="0"/>
          <w:sz w:val="24"/>
          <w:szCs w:val="22"/>
        </w:rPr>
      </w:pPr>
      <w:r>
        <w:rPr>
          <w:kern w:val="0"/>
          <w:sz w:val="24"/>
          <w:szCs w:val="22"/>
        </w:rPr>
        <w:t>在溶菌酶活性调节方面，多项研究表明微藻能够显著提高水产动物血清和组织中的溶菌酶活性</w:t>
      </w:r>
      <w:r>
        <w:rPr>
          <w:kern w:val="0"/>
          <w:sz w:val="24"/>
          <w:szCs w:val="22"/>
          <w:vertAlign w:val="superscript"/>
        </w:rPr>
        <w:t>[50]</w:t>
      </w:r>
      <w:r>
        <w:rPr>
          <w:kern w:val="0"/>
          <w:sz w:val="24"/>
          <w:szCs w:val="22"/>
        </w:rPr>
        <w:t>。在白虾研究中，含螺旋藻干粉的饲料能够显著提高虾的溶菌酶活性和对溶藻弧菌（</w:t>
      </w:r>
      <w:r>
        <w:rPr>
          <w:i/>
          <w:kern w:val="0"/>
          <w:sz w:val="24"/>
          <w:szCs w:val="22"/>
        </w:rPr>
        <w:t>Vibrio alginolyticus</w:t>
      </w:r>
      <w:r>
        <w:rPr>
          <w:kern w:val="0"/>
          <w:sz w:val="24"/>
          <w:szCs w:val="22"/>
        </w:rPr>
        <w:t>）感染的抵抗力。体外实验表明，1 mg/mL的螺旋藻干粉能够显著增加虾血细胞的酚氧化酶活性、丝氨酸蛋白酶活性和呼吸暴发活性</w:t>
      </w:r>
      <w:r>
        <w:rPr>
          <w:kern w:val="0"/>
          <w:sz w:val="24"/>
          <w:szCs w:val="22"/>
          <w:vertAlign w:val="superscript"/>
        </w:rPr>
        <w:t>[51]</w:t>
      </w:r>
      <w:r>
        <w:rPr>
          <w:kern w:val="0"/>
          <w:sz w:val="24"/>
          <w:szCs w:val="22"/>
        </w:rPr>
        <w:t>。</w:t>
      </w:r>
    </w:p>
    <w:p w14:paraId="0AF190EE">
      <w:pPr>
        <w:widowControl/>
        <w:spacing w:after="60" w:line="360" w:lineRule="auto"/>
        <w:ind w:firstLine="420"/>
        <w:rPr>
          <w:kern w:val="0"/>
          <w:sz w:val="24"/>
          <w:szCs w:val="22"/>
        </w:rPr>
      </w:pPr>
      <w:r>
        <w:rPr>
          <w:kern w:val="0"/>
          <w:sz w:val="24"/>
          <w:szCs w:val="22"/>
        </w:rPr>
        <w:t>微藻还能够调节其他体液免疫因子。研究发现，来自红藻（</w:t>
      </w:r>
      <w:r>
        <w:rPr>
          <w:i/>
          <w:kern w:val="0"/>
          <w:sz w:val="24"/>
          <w:szCs w:val="22"/>
        </w:rPr>
        <w:t>Gracilaria birdiae</w:t>
      </w:r>
      <w:r>
        <w:rPr>
          <w:kern w:val="0"/>
          <w:sz w:val="24"/>
          <w:szCs w:val="22"/>
        </w:rPr>
        <w:t>） 的硫酸多糖在32d膳食补充后能够增强凝集能力和酚氧化酶活性，促进延迟免疫刺激，并提高非致死剂量白斑综合征病毒攻击的南美白对虾的存活率</w:t>
      </w:r>
      <w:r>
        <w:rPr>
          <w:kern w:val="0"/>
          <w:sz w:val="24"/>
          <w:szCs w:val="22"/>
          <w:vertAlign w:val="superscript"/>
        </w:rPr>
        <w:t>[52]</w:t>
      </w:r>
      <w:r>
        <w:rPr>
          <w:kern w:val="0"/>
          <w:sz w:val="24"/>
          <w:szCs w:val="22"/>
        </w:rPr>
        <w:t>。这种延迟免疫刺激效应表明微藻成分能够建立持久的免疫记忆，提供长期保护。此外，微藻还能够调节急性期蛋白（包括C反应蛋白、血清淀粉样蛋白A等）的产生。它们在炎症调节、病原体清除和组织修复中发挥重要作用</w:t>
      </w:r>
      <w:r>
        <w:rPr>
          <w:kern w:val="0"/>
          <w:sz w:val="24"/>
          <w:szCs w:val="22"/>
          <w:vertAlign w:val="superscript"/>
        </w:rPr>
        <w:t>[53]</w:t>
      </w:r>
      <w:r>
        <w:rPr>
          <w:kern w:val="0"/>
          <w:sz w:val="24"/>
          <w:szCs w:val="22"/>
        </w:rPr>
        <w:t>。虽然具体的研究数据有限，但基于微藻的抗炎和免疫调节特性，可以推测其对急性期蛋白的调节作用。</w:t>
      </w:r>
    </w:p>
    <w:p w14:paraId="7051B6A0">
      <w:pPr>
        <w:widowControl/>
        <w:spacing w:after="60" w:line="360" w:lineRule="auto"/>
        <w:rPr>
          <w:kern w:val="0"/>
          <w:sz w:val="24"/>
          <w:szCs w:val="22"/>
        </w:rPr>
      </w:pPr>
      <w:r>
        <w:rPr>
          <w:kern w:val="0"/>
          <w:sz w:val="24"/>
          <w:szCs w:val="22"/>
        </w:rPr>
        <w:t>2.3</w:t>
      </w:r>
      <w:r>
        <w:rPr>
          <w:rFonts w:hint="eastAsia"/>
          <w:kern w:val="0"/>
          <w:sz w:val="24"/>
          <w:szCs w:val="22"/>
        </w:rPr>
        <w:t xml:space="preserve"> </w:t>
      </w:r>
      <w:r>
        <w:rPr>
          <w:kern w:val="0"/>
          <w:sz w:val="24"/>
          <w:szCs w:val="22"/>
        </w:rPr>
        <w:t>信号转导通路调控</w:t>
      </w:r>
    </w:p>
    <w:p w14:paraId="09D812DC">
      <w:pPr>
        <w:widowControl/>
        <w:spacing w:after="60" w:line="360" w:lineRule="auto"/>
        <w:ind w:firstLine="420"/>
        <w:rPr>
          <w:kern w:val="0"/>
          <w:sz w:val="24"/>
          <w:szCs w:val="22"/>
        </w:rPr>
      </w:pPr>
      <w:r>
        <w:rPr>
          <w:kern w:val="0"/>
          <w:sz w:val="24"/>
          <w:szCs w:val="22"/>
        </w:rPr>
        <w:t>微藻免疫调节的分子机制涉及多个关键信号转导通路，这些通路交织形成复杂调控网络，深入解析其作用机制对于阐明微藻免疫功能的分子基础至关重要（图2）。</w:t>
      </w:r>
    </w:p>
    <w:p w14:paraId="415849C7">
      <w:pPr>
        <w:widowControl/>
        <w:spacing w:after="60" w:line="360" w:lineRule="auto"/>
        <w:rPr>
          <w:kern w:val="0"/>
          <w:sz w:val="24"/>
          <w:szCs w:val="22"/>
        </w:rPr>
      </w:pPr>
      <w:r>
        <w:rPr>
          <w:kern w:val="0"/>
          <w:sz w:val="24"/>
          <w:szCs w:val="22"/>
        </w:rPr>
        <w:drawing>
          <wp:inline distT="0" distB="0" distL="0" distR="0">
            <wp:extent cx="5945505" cy="483235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1"/>
                    <a:stretch>
                      <a:fillRect/>
                    </a:stretch>
                  </pic:blipFill>
                  <pic:spPr>
                    <a:xfrm>
                      <a:off x="0" y="0"/>
                      <a:ext cx="5950374" cy="4835827"/>
                    </a:xfrm>
                    <a:prstGeom prst="rect">
                      <a:avLst/>
                    </a:prstGeom>
                  </pic:spPr>
                </pic:pic>
              </a:graphicData>
            </a:graphic>
          </wp:inline>
        </w:drawing>
      </w:r>
    </w:p>
    <w:p w14:paraId="7313388C">
      <w:pPr>
        <w:widowControl/>
        <w:spacing w:after="60" w:line="360" w:lineRule="auto"/>
        <w:ind w:firstLine="420"/>
        <w:rPr>
          <w:kern w:val="0"/>
          <w:sz w:val="24"/>
          <w:szCs w:val="22"/>
        </w:rPr>
      </w:pPr>
      <w:r>
        <w:rPr>
          <w:kern w:val="0"/>
          <w:sz w:val="24"/>
          <w:szCs w:val="22"/>
        </w:rPr>
        <w:t>NF-</w:t>
      </w:r>
      <w:r>
        <w:rPr>
          <w:kern w:val="0"/>
          <w:sz w:val="24"/>
          <w:szCs w:val="22"/>
          <w:lang w:eastAsia="en-US"/>
        </w:rPr>
        <w:t>κ</w:t>
      </w:r>
      <w:r>
        <w:rPr>
          <w:kern w:val="0"/>
          <w:sz w:val="24"/>
          <w:szCs w:val="22"/>
        </w:rPr>
        <w:t xml:space="preserve">B信号通路是重要的炎症调节通路之一。研究发现来自裸藻属的 </w:t>
      </w:r>
      <w:r>
        <w:rPr>
          <w:i/>
          <w:iCs/>
          <w:kern w:val="0"/>
          <w:sz w:val="24"/>
          <w:szCs w:val="22"/>
          <w:lang w:eastAsia="en-US"/>
        </w:rPr>
        <w:t>β</w:t>
      </w:r>
      <w:r>
        <w:rPr>
          <w:kern w:val="0"/>
          <w:sz w:val="24"/>
          <w:szCs w:val="22"/>
        </w:rPr>
        <w:t>-1，3-葡聚糖能够通过激活NF-</w:t>
      </w:r>
      <w:r>
        <w:rPr>
          <w:kern w:val="0"/>
          <w:sz w:val="24"/>
          <w:szCs w:val="22"/>
          <w:lang w:eastAsia="en-US"/>
        </w:rPr>
        <w:t>κ</w:t>
      </w:r>
      <w:r>
        <w:rPr>
          <w:kern w:val="0"/>
          <w:sz w:val="24"/>
          <w:szCs w:val="22"/>
        </w:rPr>
        <w:t>B和丝裂原活化蛋白激酶（MAPK）信号通路，诱导NO、TNF-</w:t>
      </w:r>
      <w:r>
        <w:rPr>
          <w:kern w:val="0"/>
          <w:sz w:val="24"/>
          <w:szCs w:val="22"/>
          <w:lang w:eastAsia="en-US"/>
        </w:rPr>
        <w:t>α</w:t>
      </w:r>
      <w:r>
        <w:rPr>
          <w:kern w:val="0"/>
          <w:sz w:val="24"/>
          <w:szCs w:val="22"/>
        </w:rPr>
        <w:t>和IL -6的产生，从而激活免疫系统</w:t>
      </w:r>
      <w:r>
        <w:rPr>
          <w:kern w:val="0"/>
          <w:sz w:val="24"/>
          <w:szCs w:val="22"/>
          <w:vertAlign w:val="superscript"/>
        </w:rPr>
        <w:t>[54]</w:t>
      </w:r>
      <w:r>
        <w:rPr>
          <w:kern w:val="0"/>
          <w:sz w:val="24"/>
          <w:szCs w:val="22"/>
        </w:rPr>
        <w:t>。在人类巨噬细胞中，红藻和微藻的脂质提取物能下调包括TLR1、TLR2、TLR4等在内的14个促炎基因的表达，表明微藻成分能通过抑制NF-</w:t>
      </w:r>
      <w:r>
        <w:rPr>
          <w:kern w:val="0"/>
          <w:sz w:val="24"/>
          <w:szCs w:val="22"/>
          <w:lang w:eastAsia="en-US"/>
        </w:rPr>
        <w:t>κ</w:t>
      </w:r>
      <w:r>
        <w:rPr>
          <w:kern w:val="0"/>
          <w:sz w:val="24"/>
          <w:szCs w:val="22"/>
        </w:rPr>
        <w:t>B通路发挥抗炎作用</w:t>
      </w:r>
      <w:r>
        <w:rPr>
          <w:kern w:val="0"/>
          <w:sz w:val="24"/>
          <w:szCs w:val="22"/>
          <w:vertAlign w:val="superscript"/>
        </w:rPr>
        <w:t>[38]</w:t>
      </w:r>
      <w:r>
        <w:rPr>
          <w:kern w:val="0"/>
          <w:sz w:val="24"/>
          <w:szCs w:val="22"/>
        </w:rPr>
        <w:t>。</w:t>
      </w:r>
    </w:p>
    <w:p w14:paraId="436D4A38">
      <w:pPr>
        <w:widowControl/>
        <w:spacing w:after="60" w:line="360" w:lineRule="auto"/>
        <w:ind w:firstLine="420"/>
        <w:rPr>
          <w:kern w:val="0"/>
          <w:sz w:val="24"/>
          <w:szCs w:val="22"/>
        </w:rPr>
      </w:pPr>
      <w:r>
        <w:rPr>
          <w:kern w:val="0"/>
          <w:sz w:val="24"/>
          <w:szCs w:val="22"/>
        </w:rPr>
        <w:t>MAPK信号通路包括ERK、JNK和p38三条主要途径，参与细胞增殖、分化、凋亡和炎症反应。研究发现，螺旋藻能够调节ERK1/2、JNK、p38和IkB通路</w:t>
      </w:r>
      <w:r>
        <w:rPr>
          <w:kern w:val="0"/>
          <w:sz w:val="24"/>
          <w:szCs w:val="22"/>
          <w:vertAlign w:val="superscript"/>
        </w:rPr>
        <w:t>[55]</w:t>
      </w:r>
      <w:r>
        <w:rPr>
          <w:kern w:val="0"/>
          <w:sz w:val="24"/>
          <w:szCs w:val="22"/>
        </w:rPr>
        <w:t>。JAK-STAT信号通路在细胞因子信号转导中起关键作用。研究显示，</w:t>
      </w:r>
      <w:r>
        <w:rPr>
          <w:kern w:val="0"/>
          <w:sz w:val="24"/>
          <w:szCs w:val="22"/>
          <w:lang w:eastAsia="en-US"/>
        </w:rPr>
        <w:t>β</w:t>
      </w:r>
      <w:r>
        <w:rPr>
          <w:kern w:val="0"/>
          <w:sz w:val="24"/>
          <w:szCs w:val="22"/>
        </w:rPr>
        <w:t>-胡萝卜素和虾青素能够调节由JNK/p38 MAPK和JAK2/STAT3激酶介导的促炎通路</w:t>
      </w:r>
      <w:r>
        <w:rPr>
          <w:kern w:val="0"/>
          <w:sz w:val="24"/>
          <w:szCs w:val="22"/>
          <w:vertAlign w:val="superscript"/>
        </w:rPr>
        <w:t>[56]</w:t>
      </w:r>
      <w:r>
        <w:rPr>
          <w:kern w:val="0"/>
          <w:sz w:val="24"/>
          <w:szCs w:val="22"/>
        </w:rPr>
        <w:t>。</w:t>
      </w:r>
    </w:p>
    <w:p w14:paraId="52C52DD2">
      <w:pPr>
        <w:widowControl/>
        <w:spacing w:after="60" w:line="360" w:lineRule="auto"/>
        <w:ind w:firstLine="420"/>
        <w:rPr>
          <w:kern w:val="0"/>
          <w:sz w:val="24"/>
          <w:szCs w:val="22"/>
        </w:rPr>
      </w:pPr>
      <w:r>
        <w:rPr>
          <w:kern w:val="0"/>
          <w:sz w:val="24"/>
          <w:szCs w:val="22"/>
        </w:rPr>
        <w:t>TGF-</w:t>
      </w:r>
      <w:r>
        <w:rPr>
          <w:i/>
          <w:iCs/>
          <w:kern w:val="0"/>
          <w:sz w:val="24"/>
          <w:szCs w:val="22"/>
          <w:lang w:eastAsia="en-US"/>
        </w:rPr>
        <w:t>β</w:t>
      </w:r>
      <w:r>
        <w:rPr>
          <w:kern w:val="0"/>
          <w:sz w:val="24"/>
          <w:szCs w:val="22"/>
        </w:rPr>
        <w:t>信号通路在免疫耐受和调节性T细胞分化中起关键作用。研究发现，DHA可以通过TGF-</w:t>
      </w:r>
      <w:r>
        <w:rPr>
          <w:i/>
          <w:iCs/>
          <w:kern w:val="0"/>
          <w:sz w:val="24"/>
          <w:szCs w:val="22"/>
          <w:lang w:eastAsia="en-US"/>
        </w:rPr>
        <w:t>β</w:t>
      </w:r>
      <w:r>
        <w:rPr>
          <w:kern w:val="0"/>
          <w:sz w:val="24"/>
          <w:szCs w:val="22"/>
        </w:rPr>
        <w:t>依赖性机制产生调节性T细胞和IL-10/TGF-</w:t>
      </w:r>
      <w:r>
        <w:rPr>
          <w:i/>
          <w:iCs/>
          <w:kern w:val="0"/>
          <w:sz w:val="24"/>
          <w:szCs w:val="22"/>
          <w:lang w:eastAsia="en-US"/>
        </w:rPr>
        <w:t>β</w:t>
      </w:r>
      <w:r>
        <w:rPr>
          <w:kern w:val="0"/>
          <w:sz w:val="24"/>
          <w:szCs w:val="22"/>
        </w:rPr>
        <w:t>修饰的巨噬细胞。同时上调TGF-</w:t>
      </w:r>
      <w:r>
        <w:rPr>
          <w:i/>
          <w:iCs/>
          <w:kern w:val="0"/>
          <w:sz w:val="24"/>
          <w:szCs w:val="22"/>
          <w:lang w:eastAsia="en-US"/>
        </w:rPr>
        <w:t>β</w:t>
      </w:r>
      <w:r>
        <w:rPr>
          <w:kern w:val="0"/>
          <w:sz w:val="24"/>
          <w:szCs w:val="22"/>
        </w:rPr>
        <w:t>依赖性CD4+Foxp3+Tregs的产生</w:t>
      </w:r>
      <w:r>
        <w:rPr>
          <w:kern w:val="0"/>
          <w:sz w:val="24"/>
          <w:szCs w:val="22"/>
          <w:vertAlign w:val="superscript"/>
        </w:rPr>
        <w:t>[37]</w:t>
      </w:r>
      <w:r>
        <w:rPr>
          <w:kern w:val="0"/>
          <w:sz w:val="24"/>
          <w:szCs w:val="22"/>
        </w:rPr>
        <w:t>，这种调节作用对于建立免疫耐受和控制过度炎症反应具有重要意义。</w:t>
      </w:r>
    </w:p>
    <w:p w14:paraId="717BA535">
      <w:pPr>
        <w:widowControl/>
        <w:spacing w:after="60" w:line="360" w:lineRule="auto"/>
        <w:ind w:firstLine="420"/>
        <w:rPr>
          <w:kern w:val="0"/>
          <w:sz w:val="24"/>
          <w:szCs w:val="22"/>
        </w:rPr>
      </w:pPr>
      <w:r>
        <w:rPr>
          <w:kern w:val="0"/>
          <w:sz w:val="24"/>
          <w:szCs w:val="22"/>
        </w:rPr>
        <w:t>此外，微藻还能够调控Nrf2抗氧化通路、mTOR营养感知通路等重要通路: 虾青素可稳定并促进Nrf2核转位，使其与抗氧化反应元件（AREs）结合，增强抗炎及ROS解毒基因表达</w:t>
      </w:r>
      <w:r>
        <w:rPr>
          <w:kern w:val="0"/>
          <w:sz w:val="24"/>
          <w:szCs w:val="22"/>
          <w:vertAlign w:val="superscript"/>
        </w:rPr>
        <w:t>[56]</w:t>
      </w:r>
      <w:r>
        <w:rPr>
          <w:kern w:val="0"/>
          <w:sz w:val="24"/>
          <w:szCs w:val="22"/>
        </w:rPr>
        <w:t>，从而提升细胞抗氧化能力、减轻氧化应激损伤。同时这些信号通路之间又存在复杂的交叉调控:  NF-</w:t>
      </w:r>
      <w:r>
        <w:rPr>
          <w:kern w:val="0"/>
          <w:sz w:val="24"/>
          <w:szCs w:val="22"/>
          <w:lang w:eastAsia="en-US"/>
        </w:rPr>
        <w:t>κ</w:t>
      </w:r>
      <w:r>
        <w:rPr>
          <w:kern w:val="0"/>
          <w:sz w:val="24"/>
          <w:szCs w:val="22"/>
        </w:rPr>
        <w:t>B与MAPK通路常协同调控炎症反应，TGF-</w:t>
      </w:r>
      <w:r>
        <w:rPr>
          <w:kern w:val="0"/>
          <w:sz w:val="24"/>
          <w:szCs w:val="22"/>
          <w:lang w:eastAsia="en-US"/>
        </w:rPr>
        <w:t>β</w:t>
      </w:r>
      <w:r>
        <w:rPr>
          <w:kern w:val="0"/>
          <w:sz w:val="24"/>
          <w:szCs w:val="22"/>
        </w:rPr>
        <w:t>通路可抑制NF-</w:t>
      </w:r>
      <w:r>
        <w:rPr>
          <w:kern w:val="0"/>
          <w:sz w:val="24"/>
          <w:szCs w:val="22"/>
          <w:lang w:eastAsia="en-US"/>
        </w:rPr>
        <w:t>κ</w:t>
      </w:r>
      <w:r>
        <w:rPr>
          <w:kern w:val="0"/>
          <w:sz w:val="24"/>
          <w:szCs w:val="22"/>
        </w:rPr>
        <w:t>B通路激活，Nrf2通路通过抗氧化作用间接影响炎症通路。微藻活性成分通过多通路协同调控，精细调节水产动物免疫系统，既增强免疫防御能力，又避免过度炎症损伤。</w:t>
      </w:r>
    </w:p>
    <w:p w14:paraId="2F7DCCE1">
      <w:pPr>
        <w:widowControl/>
        <w:spacing w:after="60" w:line="360" w:lineRule="auto"/>
        <w:rPr>
          <w:kern w:val="0"/>
          <w:sz w:val="24"/>
          <w:szCs w:val="22"/>
        </w:rPr>
      </w:pPr>
      <w:r>
        <w:rPr>
          <w:kern w:val="0"/>
          <w:sz w:val="24"/>
          <w:szCs w:val="22"/>
        </w:rPr>
        <w:t>2.4</w:t>
      </w:r>
      <w:r>
        <w:rPr>
          <w:rFonts w:hint="eastAsia"/>
          <w:kern w:val="0"/>
          <w:sz w:val="24"/>
          <w:szCs w:val="22"/>
        </w:rPr>
        <w:t xml:space="preserve"> </w:t>
      </w:r>
      <w:r>
        <w:rPr>
          <w:kern w:val="0"/>
          <w:sz w:val="24"/>
          <w:szCs w:val="22"/>
        </w:rPr>
        <w:t>抗氧化系统激活</w:t>
      </w:r>
    </w:p>
    <w:p w14:paraId="08299980">
      <w:pPr>
        <w:widowControl/>
        <w:spacing w:after="60" w:line="360" w:lineRule="auto"/>
        <w:ind w:firstLine="420"/>
        <w:rPr>
          <w:kern w:val="0"/>
          <w:sz w:val="24"/>
          <w:szCs w:val="22"/>
        </w:rPr>
      </w:pPr>
      <w:r>
        <w:rPr>
          <w:kern w:val="0"/>
          <w:sz w:val="24"/>
          <w:szCs w:val="22"/>
        </w:rPr>
        <w:t>氧化应激是影响水产动物健康和免疫功能的关键因素，具有免疫活性的微藻通过激活抗氧化系统、清除自由基并减轻氧化损伤，从而保护免疫细胞功能，增强整体抗病能力。微藻活性成分（如类胡萝卜素、维生素等）不仅能直接清除自由基，还能激活内源性抗氧化酶系统（如提高SOD、CAT、GPx活性），减少脂质过氧化和DNA损伤，同时增强Nrf2-ARE通路等抗氧化基因的表达。在抗氧化酶调节方面，多项研究证实了微藻的积极作用。例如，在虹鳟研究中，饲料中添加2%和4%富含</w:t>
      </w:r>
      <w:r>
        <w:rPr>
          <w:i/>
          <w:iCs/>
          <w:kern w:val="0"/>
          <w:sz w:val="24"/>
          <w:szCs w:val="22"/>
          <w:lang w:eastAsia="en-US"/>
        </w:rPr>
        <w:t>β</w:t>
      </w:r>
      <w:r>
        <w:rPr>
          <w:kern w:val="0"/>
          <w:sz w:val="24"/>
          <w:szCs w:val="22"/>
        </w:rPr>
        <w:t>-葡聚糖的新型金藻能够显著提高虹鳟肝脏的SOD活性，其中2%处理组的CAT和谷胱甘肽过氧化物酶（GPx）活性显著高于对照组。然而，4%和8%处理组虹鳟肝脏的丙二醛含量显著高于对照组，表明过高的添加量可能引起氧化应激</w:t>
      </w:r>
      <w:r>
        <w:rPr>
          <w:kern w:val="0"/>
          <w:sz w:val="24"/>
          <w:szCs w:val="22"/>
          <w:vertAlign w:val="superscript"/>
        </w:rPr>
        <w:t>[57]</w:t>
      </w:r>
      <w:r>
        <w:rPr>
          <w:kern w:val="0"/>
          <w:sz w:val="24"/>
          <w:szCs w:val="22"/>
        </w:rPr>
        <w:t>。此外，微藻还通过调节肠道微生物群间接增强抗氧化能力。例如，在巨型虎虾研究中，低鱼粉饲料增加了有害细菌属的比例，但添加0.75%的裂殖壶藻（</w:t>
      </w:r>
      <w:r>
        <w:rPr>
          <w:i/>
          <w:kern w:val="0"/>
          <w:sz w:val="24"/>
          <w:szCs w:val="22"/>
        </w:rPr>
        <w:t>Schizochytrium limacinum</w:t>
      </w:r>
      <w:r>
        <w:rPr>
          <w:kern w:val="0"/>
          <w:sz w:val="24"/>
          <w:szCs w:val="22"/>
        </w:rPr>
        <w:t>）能够增加肠道微生物多样性，减少病原菌（</w:t>
      </w:r>
      <w:r>
        <w:rPr>
          <w:i/>
          <w:iCs/>
          <w:kern w:val="0"/>
          <w:sz w:val="24"/>
          <w:szCs w:val="22"/>
        </w:rPr>
        <w:t>Thalassotalea</w:t>
      </w:r>
      <w:r>
        <w:rPr>
          <w:kern w:val="0"/>
          <w:sz w:val="24"/>
          <w:szCs w:val="22"/>
        </w:rPr>
        <w:t>和</w:t>
      </w:r>
      <w:r>
        <w:rPr>
          <w:i/>
          <w:iCs/>
          <w:kern w:val="0"/>
          <w:sz w:val="24"/>
          <w:szCs w:val="22"/>
        </w:rPr>
        <w:t>Tenacibaculum</w:t>
      </w:r>
      <w:r>
        <w:rPr>
          <w:kern w:val="0"/>
          <w:sz w:val="24"/>
          <w:szCs w:val="22"/>
        </w:rPr>
        <w:t>）的比例，同时增强抗氧化能力和免疫反应</w:t>
      </w:r>
      <w:r>
        <w:rPr>
          <w:kern w:val="0"/>
          <w:sz w:val="24"/>
          <w:szCs w:val="22"/>
          <w:vertAlign w:val="superscript"/>
        </w:rPr>
        <w:t>[58]</w:t>
      </w:r>
      <w:r>
        <w:rPr>
          <w:kern w:val="0"/>
          <w:sz w:val="24"/>
          <w:szCs w:val="22"/>
        </w:rPr>
        <w:t>。</w:t>
      </w:r>
    </w:p>
    <w:p w14:paraId="3EF27B19">
      <w:pPr>
        <w:widowControl/>
        <w:spacing w:after="60" w:line="360" w:lineRule="auto"/>
        <w:rPr>
          <w:kern w:val="0"/>
          <w:sz w:val="24"/>
          <w:szCs w:val="22"/>
        </w:rPr>
      </w:pPr>
      <w:r>
        <w:rPr>
          <w:kern w:val="0"/>
          <w:sz w:val="24"/>
          <w:szCs w:val="22"/>
        </w:rPr>
        <w:t>3</w:t>
      </w:r>
      <w:r>
        <w:rPr>
          <w:rFonts w:hint="eastAsia"/>
          <w:kern w:val="0"/>
          <w:sz w:val="24"/>
          <w:szCs w:val="22"/>
        </w:rPr>
        <w:t xml:space="preserve"> </w:t>
      </w:r>
      <w:r>
        <w:rPr>
          <w:kern w:val="0"/>
          <w:sz w:val="24"/>
          <w:szCs w:val="22"/>
        </w:rPr>
        <w:t>免疫功能微藻的应用技术研究进展</w:t>
      </w:r>
    </w:p>
    <w:p w14:paraId="77693F60">
      <w:pPr>
        <w:widowControl/>
        <w:spacing w:after="60" w:line="360" w:lineRule="auto"/>
        <w:ind w:firstLine="420"/>
        <w:rPr>
          <w:kern w:val="0"/>
          <w:sz w:val="24"/>
          <w:szCs w:val="22"/>
        </w:rPr>
      </w:pPr>
      <w:r>
        <w:rPr>
          <w:kern w:val="0"/>
          <w:sz w:val="24"/>
          <w:szCs w:val="22"/>
        </w:rPr>
        <w:t>为了更好发挥微藻在水产养殖方面的免疫调节作用，涉及如何将微藻进行工程化应用，包括上游藻种定向选育与保藏；中游规模化扩培与低成本采收加工；下游则高效发挥其免疫调节作用（图3）。</w:t>
      </w:r>
    </w:p>
    <w:p w14:paraId="1BB14927">
      <w:pPr>
        <w:widowControl/>
        <w:spacing w:after="60" w:line="360" w:lineRule="auto"/>
        <w:rPr>
          <w:kern w:val="0"/>
          <w:sz w:val="24"/>
          <w:szCs w:val="22"/>
        </w:rPr>
      </w:pPr>
      <w:r>
        <w:rPr>
          <w:kern w:val="0"/>
          <w:sz w:val="24"/>
          <w:szCs w:val="22"/>
        </w:rPr>
        <w:drawing>
          <wp:inline distT="0" distB="0" distL="0" distR="0">
            <wp:extent cx="5953760" cy="5106035"/>
            <wp:effectExtent l="0" t="0" r="889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12"/>
                    <a:stretch>
                      <a:fillRect/>
                    </a:stretch>
                  </pic:blipFill>
                  <pic:spPr>
                    <a:xfrm>
                      <a:off x="0" y="0"/>
                      <a:ext cx="5969317" cy="5118943"/>
                    </a:xfrm>
                    <a:prstGeom prst="rect">
                      <a:avLst/>
                    </a:prstGeom>
                  </pic:spPr>
                </pic:pic>
              </a:graphicData>
            </a:graphic>
          </wp:inline>
        </w:drawing>
      </w:r>
    </w:p>
    <w:p w14:paraId="7B5019A2">
      <w:pPr>
        <w:widowControl/>
        <w:spacing w:after="60" w:line="360" w:lineRule="auto"/>
        <w:rPr>
          <w:kern w:val="0"/>
          <w:sz w:val="24"/>
          <w:szCs w:val="22"/>
        </w:rPr>
      </w:pPr>
      <w:r>
        <w:rPr>
          <w:kern w:val="0"/>
          <w:sz w:val="24"/>
          <w:szCs w:val="22"/>
        </w:rPr>
        <w:t>3.1</w:t>
      </w:r>
      <w:r>
        <w:rPr>
          <w:rFonts w:hint="eastAsia"/>
          <w:kern w:val="0"/>
          <w:sz w:val="24"/>
          <w:szCs w:val="22"/>
        </w:rPr>
        <w:t xml:space="preserve"> </w:t>
      </w:r>
      <w:r>
        <w:rPr>
          <w:kern w:val="0"/>
          <w:sz w:val="24"/>
          <w:szCs w:val="22"/>
        </w:rPr>
        <w:t>藻种定向选育与保藏</w:t>
      </w:r>
    </w:p>
    <w:p w14:paraId="4AF44C18">
      <w:pPr>
        <w:widowControl/>
        <w:spacing w:after="60" w:line="360" w:lineRule="auto"/>
        <w:ind w:firstLine="420"/>
        <w:rPr>
          <w:kern w:val="0"/>
          <w:sz w:val="24"/>
          <w:szCs w:val="22"/>
        </w:rPr>
      </w:pPr>
      <w:r>
        <w:rPr>
          <w:kern w:val="0"/>
          <w:sz w:val="24"/>
          <w:szCs w:val="22"/>
        </w:rPr>
        <w:t>微藻的定向选育与长期保藏是其工程化应用的核心基础，目标是获得性状稳定、功能优异的藻株。现代选育突破了传统自然筛选的局限，采用代谢工程与物种特异性策略相结合的精准设计过程。</w:t>
      </w:r>
    </w:p>
    <w:p w14:paraId="19181275">
      <w:pPr>
        <w:widowControl/>
        <w:spacing w:after="60" w:line="360" w:lineRule="auto"/>
        <w:ind w:firstLine="420"/>
        <w:rPr>
          <w:kern w:val="0"/>
          <w:sz w:val="24"/>
          <w:szCs w:val="22"/>
        </w:rPr>
      </w:pPr>
      <w:r>
        <w:rPr>
          <w:kern w:val="0"/>
          <w:sz w:val="24"/>
          <w:szCs w:val="22"/>
        </w:rPr>
        <w:t>代谢工程通过适应性实验室进化、基因编辑、化学诱导及共培养等方式提升代谢途径效率，其中适应性实验室进化通过模拟环境压力促使微藻群体发生适应性突变，从而提升抗逆性和目标代谢物（如类胡萝卜素和多不饱和脂肪酸）的积累</w:t>
      </w:r>
      <w:r>
        <w:rPr>
          <w:kern w:val="0"/>
          <w:sz w:val="24"/>
          <w:szCs w:val="22"/>
          <w:vertAlign w:val="superscript"/>
        </w:rPr>
        <w:t>[59，60]</w:t>
      </w:r>
      <w:r>
        <w:rPr>
          <w:kern w:val="0"/>
          <w:sz w:val="24"/>
          <w:szCs w:val="22"/>
        </w:rPr>
        <w:t>；基因编辑通过修饰关键代谢通路基因，直接优化藻株合成效率</w:t>
      </w:r>
      <w:r>
        <w:rPr>
          <w:kern w:val="0"/>
          <w:sz w:val="24"/>
          <w:szCs w:val="22"/>
          <w:vertAlign w:val="superscript"/>
        </w:rPr>
        <w:t>[61]</w:t>
      </w:r>
      <w:r>
        <w:rPr>
          <w:kern w:val="0"/>
          <w:sz w:val="24"/>
          <w:szCs w:val="22"/>
        </w:rPr>
        <w:t>；化学诱导与共培养则提升微藻代谢物产量、生长速率及环境耐受性，并有助于构建有利于目标代谢物合成的微环境</w:t>
      </w:r>
      <w:r>
        <w:rPr>
          <w:kern w:val="0"/>
          <w:sz w:val="24"/>
          <w:szCs w:val="22"/>
          <w:vertAlign w:val="superscript"/>
        </w:rPr>
        <w:t>[62]</w:t>
      </w:r>
      <w:r>
        <w:rPr>
          <w:kern w:val="0"/>
          <w:sz w:val="24"/>
          <w:szCs w:val="22"/>
        </w:rPr>
        <w:t>。现代选育不再仅追求生物量或单一代谢物的高产，而是着眼于微藻品质与水产养殖需求的匹配，通过高通量表型组学和生物信息学技术，推动微藻生物学与水产营养学、生态学深度交叉，最终实现精准设计与高效利用，为不同养殖场景提供最优解决方案</w:t>
      </w:r>
      <w:r>
        <w:rPr>
          <w:kern w:val="0"/>
          <w:sz w:val="24"/>
          <w:szCs w:val="22"/>
          <w:vertAlign w:val="superscript"/>
        </w:rPr>
        <w:t>[63]</w:t>
      </w:r>
      <w:r>
        <w:rPr>
          <w:kern w:val="0"/>
          <w:sz w:val="24"/>
          <w:szCs w:val="22"/>
        </w:rPr>
        <w:t>。</w:t>
      </w:r>
    </w:p>
    <w:p w14:paraId="4B88CEE5">
      <w:pPr>
        <w:widowControl/>
        <w:spacing w:after="60" w:line="360" w:lineRule="auto"/>
        <w:rPr>
          <w:kern w:val="0"/>
          <w:sz w:val="24"/>
          <w:szCs w:val="22"/>
        </w:rPr>
      </w:pPr>
      <w:r>
        <w:rPr>
          <w:kern w:val="0"/>
          <w:sz w:val="24"/>
          <w:szCs w:val="22"/>
        </w:rPr>
        <w:t>3.2</w:t>
      </w:r>
      <w:r>
        <w:rPr>
          <w:rFonts w:hint="eastAsia"/>
          <w:kern w:val="0"/>
          <w:sz w:val="24"/>
          <w:szCs w:val="22"/>
        </w:rPr>
        <w:t xml:space="preserve"> </w:t>
      </w:r>
      <w:r>
        <w:rPr>
          <w:kern w:val="0"/>
          <w:sz w:val="24"/>
          <w:szCs w:val="22"/>
        </w:rPr>
        <w:t>规模化扩培与采收加工</w:t>
      </w:r>
    </w:p>
    <w:p w14:paraId="5A761077">
      <w:pPr>
        <w:widowControl/>
        <w:spacing w:after="60" w:line="360" w:lineRule="auto"/>
        <w:ind w:firstLine="420"/>
        <w:rPr>
          <w:kern w:val="0"/>
          <w:sz w:val="24"/>
          <w:szCs w:val="22"/>
        </w:rPr>
      </w:pPr>
      <w:r>
        <w:rPr>
          <w:kern w:val="0"/>
          <w:sz w:val="24"/>
          <w:szCs w:val="22"/>
        </w:rPr>
        <w:t>微藻工程化应用的另一关键环节是规模化扩培与采收加工，优良藻种的选育仅为起点，其应用价值的实现依赖高效经济的生产体系。该体系贯穿全产业链: 培养阶段需要在低成本开放池与高产率光生物反应器之间做出权衡</w:t>
      </w:r>
      <w:r>
        <w:rPr>
          <w:kern w:val="0"/>
          <w:sz w:val="24"/>
          <w:szCs w:val="22"/>
          <w:vertAlign w:val="superscript"/>
        </w:rPr>
        <w:t>[64，65]</w:t>
      </w:r>
      <w:r>
        <w:rPr>
          <w:kern w:val="0"/>
          <w:sz w:val="24"/>
          <w:szCs w:val="22"/>
        </w:rPr>
        <w:t>；采收阶段要解决微米级细胞分离难题，采用多步分级浓缩提升效率</w:t>
      </w:r>
      <w:r>
        <w:rPr>
          <w:kern w:val="0"/>
          <w:sz w:val="24"/>
          <w:szCs w:val="22"/>
          <w:vertAlign w:val="superscript"/>
        </w:rPr>
        <w:t>[66—68]</w:t>
      </w:r>
      <w:r>
        <w:rPr>
          <w:kern w:val="0"/>
          <w:sz w:val="24"/>
          <w:szCs w:val="22"/>
        </w:rPr>
        <w:t>；加工阶段则通过细胞破碎和成分提取获得目标产物</w:t>
      </w:r>
      <w:r>
        <w:rPr>
          <w:kern w:val="0"/>
          <w:sz w:val="24"/>
          <w:szCs w:val="22"/>
          <w:vertAlign w:val="superscript"/>
        </w:rPr>
        <w:t>[69]</w:t>
      </w:r>
      <w:r>
        <w:rPr>
          <w:kern w:val="0"/>
          <w:sz w:val="24"/>
          <w:szCs w:val="22"/>
        </w:rPr>
        <w:t>。这些环节涉及高能耗设备与复杂工艺，导致生产成本高昂且能耗巨大，成为微藻产业化的瓶颈</w:t>
      </w:r>
      <w:r>
        <w:rPr>
          <w:kern w:val="0"/>
          <w:sz w:val="24"/>
          <w:szCs w:val="22"/>
          <w:vertAlign w:val="superscript"/>
        </w:rPr>
        <w:t>[70]</w:t>
      </w:r>
      <w:r>
        <w:rPr>
          <w:kern w:val="0"/>
          <w:sz w:val="24"/>
          <w:szCs w:val="22"/>
        </w:rPr>
        <w:t>。为应对这一挑战，“微藻生物精炼厂”成为未来产业升级的解决方案，该模式通过结合人工智能与物联网技术，精确调控培养环境，提高生物量与代谢物产量</w:t>
      </w:r>
      <w:r>
        <w:rPr>
          <w:kern w:val="0"/>
          <w:sz w:val="24"/>
          <w:szCs w:val="22"/>
          <w:vertAlign w:val="superscript"/>
        </w:rPr>
        <w:t>[71]</w:t>
      </w:r>
      <w:r>
        <w:rPr>
          <w:kern w:val="0"/>
          <w:sz w:val="24"/>
          <w:szCs w:val="22"/>
        </w:rPr>
        <w:t>，并集成低能耗采收技术和自动化系统，降低传统工艺运营成本。通过耦合废水处理与CO</w:t>
      </w:r>
      <w:r>
        <w:rPr>
          <w:kern w:val="0"/>
          <w:sz w:val="24"/>
          <w:szCs w:val="22"/>
          <w:vertAlign w:val="subscript"/>
        </w:rPr>
        <w:t>2</w:t>
      </w:r>
      <w:r>
        <w:rPr>
          <w:kern w:val="0"/>
          <w:sz w:val="24"/>
          <w:szCs w:val="22"/>
        </w:rPr>
        <w:t>捕获，微藻生物精炼厂能够实现资源高效循环，以经济可行、环境可持续的方式将微藻生物质转化为生物燃料和高值化学品，推动绿色生物经济发展</w:t>
      </w:r>
      <w:r>
        <w:rPr>
          <w:kern w:val="0"/>
          <w:sz w:val="24"/>
          <w:szCs w:val="22"/>
          <w:vertAlign w:val="superscript"/>
        </w:rPr>
        <w:t>[12]</w:t>
      </w:r>
      <w:r>
        <w:rPr>
          <w:kern w:val="0"/>
          <w:sz w:val="24"/>
          <w:szCs w:val="22"/>
        </w:rPr>
        <w:t>。</w:t>
      </w:r>
    </w:p>
    <w:p w14:paraId="7E6286EF">
      <w:pPr>
        <w:widowControl/>
        <w:spacing w:after="60" w:line="360" w:lineRule="auto"/>
        <w:rPr>
          <w:kern w:val="0"/>
          <w:sz w:val="24"/>
          <w:szCs w:val="22"/>
        </w:rPr>
      </w:pPr>
      <w:r>
        <w:rPr>
          <w:kern w:val="0"/>
          <w:sz w:val="24"/>
          <w:szCs w:val="22"/>
        </w:rPr>
        <w:t>3.3</w:t>
      </w:r>
      <w:r>
        <w:rPr>
          <w:rFonts w:hint="eastAsia"/>
          <w:kern w:val="0"/>
          <w:sz w:val="24"/>
          <w:szCs w:val="22"/>
        </w:rPr>
        <w:t xml:space="preserve"> </w:t>
      </w:r>
      <w:r>
        <w:rPr>
          <w:kern w:val="0"/>
          <w:sz w:val="24"/>
          <w:szCs w:val="22"/>
        </w:rPr>
        <w:t>高效发挥其免疫调节作用</w:t>
      </w:r>
    </w:p>
    <w:p w14:paraId="24DF79A2">
      <w:pPr>
        <w:widowControl/>
        <w:spacing w:after="60" w:line="360" w:lineRule="auto"/>
        <w:ind w:firstLine="420"/>
        <w:rPr>
          <w:kern w:val="0"/>
          <w:sz w:val="24"/>
          <w:szCs w:val="22"/>
        </w:rPr>
      </w:pPr>
      <w:r>
        <w:rPr>
          <w:kern w:val="0"/>
          <w:sz w:val="24"/>
          <w:szCs w:val="22"/>
        </w:rPr>
        <w:t>微藻免疫增强剂的高效应用依赖于“上游选育-中游生产-下游应用”的完整工程化体系，应用时需结合水产动物的种类、生长阶段和养殖场景，精准选择适配方式（图4）。核心施用方式包括日常投喂作为饲料添加剂（如干粉、喷涂提取物或复合预混料）、水体泼洒（适用于滤食性动物及幼体）及特殊需求下的浸泡或注射方式</w:t>
      </w:r>
      <w:r>
        <w:rPr>
          <w:kern w:val="0"/>
          <w:sz w:val="24"/>
          <w:szCs w:val="22"/>
          <w:vertAlign w:val="superscript"/>
        </w:rPr>
        <w:t>[72]</w:t>
      </w:r>
      <w:r>
        <w:rPr>
          <w:kern w:val="0"/>
          <w:sz w:val="24"/>
          <w:szCs w:val="22"/>
        </w:rPr>
        <w:t>。此外，为解决活性成分稳定性差和生物利用度低的问题，还可以采用微胶囊包埋技术实现定点释放，并与益生菌、酶制剂等复配使用，增强协同效应。然而，剂量效应是应用的核心挑战，研究表明微藻免疫增强作用存在最适剂量范围，过高剂量可能引发负面氧化应激</w:t>
      </w:r>
      <w:r>
        <w:rPr>
          <w:kern w:val="0"/>
          <w:sz w:val="24"/>
          <w:szCs w:val="22"/>
          <w:vertAlign w:val="superscript"/>
        </w:rPr>
        <w:t>[57]</w:t>
      </w:r>
      <w:r>
        <w:rPr>
          <w:kern w:val="0"/>
          <w:sz w:val="24"/>
          <w:szCs w:val="22"/>
        </w:rPr>
        <w:t>，而效果的显现与持续性与使用周期密切相关</w:t>
      </w:r>
      <w:r>
        <w:rPr>
          <w:kern w:val="0"/>
          <w:sz w:val="24"/>
          <w:szCs w:val="22"/>
          <w:vertAlign w:val="superscript"/>
        </w:rPr>
        <w:t>[73]</w:t>
      </w:r>
      <w:r>
        <w:rPr>
          <w:kern w:val="0"/>
          <w:sz w:val="24"/>
          <w:szCs w:val="22"/>
        </w:rPr>
        <w:t>。因此，为高效发挥微藻免疫增强效能，需结合养殖对象的生长阶段（如幼体适宜低剂量长周期给药模式）和适配给药策略（如成体采用冲击式给药方案），进行系统性规划与精准调控。</w:t>
      </w:r>
    </w:p>
    <w:p w14:paraId="2C4A0A9A">
      <w:pPr>
        <w:widowControl/>
        <w:spacing w:after="60" w:line="360" w:lineRule="auto"/>
        <w:rPr>
          <w:kern w:val="0"/>
          <w:sz w:val="24"/>
          <w:szCs w:val="22"/>
        </w:rPr>
      </w:pPr>
      <w:r>
        <w:rPr>
          <w:kern w:val="0"/>
          <w:sz w:val="24"/>
          <w:szCs w:val="22"/>
        </w:rPr>
        <w:drawing>
          <wp:inline distT="0" distB="0" distL="0" distR="0">
            <wp:extent cx="5969000" cy="480441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3"/>
                    <a:srcRect r="943"/>
                    <a:stretch>
                      <a:fillRect/>
                    </a:stretch>
                  </pic:blipFill>
                  <pic:spPr>
                    <a:xfrm>
                      <a:off x="0" y="0"/>
                      <a:ext cx="5990710" cy="4822229"/>
                    </a:xfrm>
                    <a:prstGeom prst="rect">
                      <a:avLst/>
                    </a:prstGeom>
                    <a:ln>
                      <a:noFill/>
                    </a:ln>
                  </pic:spPr>
                </pic:pic>
              </a:graphicData>
            </a:graphic>
          </wp:inline>
        </w:drawing>
      </w:r>
    </w:p>
    <w:p w14:paraId="2F858C1D">
      <w:pPr>
        <w:widowControl/>
        <w:spacing w:after="60" w:line="360" w:lineRule="auto"/>
        <w:rPr>
          <w:kern w:val="0"/>
          <w:sz w:val="24"/>
          <w:szCs w:val="22"/>
        </w:rPr>
      </w:pPr>
      <w:r>
        <w:rPr>
          <w:kern w:val="0"/>
          <w:sz w:val="24"/>
          <w:szCs w:val="22"/>
        </w:rPr>
        <w:t>4</w:t>
      </w:r>
      <w:r>
        <w:rPr>
          <w:rFonts w:hint="eastAsia"/>
          <w:kern w:val="0"/>
          <w:sz w:val="24"/>
          <w:szCs w:val="22"/>
        </w:rPr>
        <w:t xml:space="preserve"> </w:t>
      </w:r>
      <w:r>
        <w:rPr>
          <w:kern w:val="0"/>
          <w:sz w:val="24"/>
          <w:szCs w:val="22"/>
        </w:rPr>
        <w:t>技术瓶颈与研究趋势</w:t>
      </w:r>
    </w:p>
    <w:p w14:paraId="315D0A08">
      <w:pPr>
        <w:widowControl/>
        <w:spacing w:after="60" w:line="360" w:lineRule="auto"/>
        <w:ind w:firstLine="420"/>
        <w:rPr>
          <w:kern w:val="0"/>
          <w:sz w:val="24"/>
          <w:szCs w:val="22"/>
        </w:rPr>
      </w:pPr>
      <w:r>
        <w:rPr>
          <w:kern w:val="0"/>
          <w:sz w:val="24"/>
          <w:szCs w:val="22"/>
        </w:rPr>
        <w:t>微藻免疫增强剂在水产养殖中具有巨大潜力，但其工程化应用面临多个挑战。首先，成本较高，尤其是富含特定活性成分的微藻，虽然其免疫效果显著，但高昂的成本限制了其规模化应用，降低成本、提高性价比是产业化的关键</w:t>
      </w:r>
      <w:r>
        <w:rPr>
          <w:kern w:val="0"/>
          <w:sz w:val="24"/>
          <w:szCs w:val="22"/>
          <w:vertAlign w:val="superscript"/>
        </w:rPr>
        <w:t>[74]</w:t>
      </w:r>
      <w:r>
        <w:rPr>
          <w:kern w:val="0"/>
          <w:sz w:val="24"/>
          <w:szCs w:val="22"/>
        </w:rPr>
        <w:t>。其次，标准化和质量控制难度大，藻种纯度、培养和加工条件都会影响质量，且不同批次稳定性差</w:t>
      </w:r>
      <w:r>
        <w:rPr>
          <w:kern w:val="0"/>
          <w:sz w:val="24"/>
          <w:szCs w:val="22"/>
          <w:vertAlign w:val="superscript"/>
        </w:rPr>
        <w:t>[75]</w:t>
      </w:r>
      <w:r>
        <w:rPr>
          <w:kern w:val="0"/>
          <w:sz w:val="24"/>
          <w:szCs w:val="22"/>
        </w:rPr>
        <w:t>，行业缺乏统一标准和检测方法，影响了市场信誉。第三，作用机制尚不清晰，微藻活性成分复杂，虽然与NF-</w:t>
      </w:r>
      <w:r>
        <w:rPr>
          <w:kern w:val="0"/>
          <w:sz w:val="24"/>
          <w:szCs w:val="22"/>
          <w:lang w:eastAsia="en-US"/>
        </w:rPr>
        <w:t>κ</w:t>
      </w:r>
      <w:r>
        <w:rPr>
          <w:kern w:val="0"/>
          <w:sz w:val="24"/>
          <w:szCs w:val="22"/>
        </w:rPr>
        <w:t>B、MAPK等信号通路有关，但成分间的协同或拮抗关系尚不明确，综合机制需要深入解析</w:t>
      </w:r>
      <w:r>
        <w:rPr>
          <w:kern w:val="0"/>
          <w:sz w:val="24"/>
          <w:szCs w:val="22"/>
          <w:vertAlign w:val="superscript"/>
        </w:rPr>
        <w:t>[76]</w:t>
      </w:r>
      <w:r>
        <w:rPr>
          <w:kern w:val="0"/>
          <w:sz w:val="24"/>
          <w:szCs w:val="22"/>
        </w:rPr>
        <w:t>。第四，应用技术缺乏普适性，免疫效果受养殖动物种类、生长阶段和环境的影响，不同微藻适宜添加量差异大，缺乏统一的方案。第五，长期安全性尚待评估，虽然多数研究表明其安全性</w:t>
      </w:r>
      <w:r>
        <w:rPr>
          <w:kern w:val="0"/>
          <w:sz w:val="24"/>
          <w:szCs w:val="22"/>
          <w:vertAlign w:val="superscript"/>
        </w:rPr>
        <w:t>[77]</w:t>
      </w:r>
      <w:r>
        <w:rPr>
          <w:kern w:val="0"/>
          <w:sz w:val="24"/>
          <w:szCs w:val="22"/>
        </w:rPr>
        <w:t>，但毒素、过敏原及长期使用可能引起的免疫过度激活和营养失衡等潜在风险仍需验证。最后，行业监管不完善，相关法规政策不健全，产品审批路径和标准模糊，增加了市场准入的不确定性</w:t>
      </w:r>
      <w:r>
        <w:rPr>
          <w:kern w:val="0"/>
          <w:sz w:val="24"/>
          <w:szCs w:val="22"/>
          <w:vertAlign w:val="superscript"/>
        </w:rPr>
        <w:t>[78]</w:t>
      </w:r>
      <w:r>
        <w:rPr>
          <w:kern w:val="0"/>
          <w:sz w:val="24"/>
          <w:szCs w:val="22"/>
        </w:rPr>
        <w:t>。</w:t>
      </w:r>
    </w:p>
    <w:p w14:paraId="5956920C">
      <w:pPr>
        <w:widowControl/>
        <w:spacing w:after="60" w:line="360" w:lineRule="auto"/>
        <w:ind w:firstLine="420"/>
        <w:rPr>
          <w:kern w:val="0"/>
          <w:sz w:val="24"/>
          <w:szCs w:val="22"/>
        </w:rPr>
      </w:pPr>
      <w:r>
        <w:rPr>
          <w:kern w:val="0"/>
          <w:sz w:val="24"/>
          <w:szCs w:val="22"/>
        </w:rPr>
        <w:t>为应对这些挑战，需要多维度深化研究，推动技术迭代和产业落地，构建从基础研究到市场推广的闭环式技术创新体系。基础研究方面，依托单细胞组学、代谢组学等前沿技术</w:t>
      </w:r>
      <w:r>
        <w:rPr>
          <w:kern w:val="0"/>
          <w:sz w:val="24"/>
          <w:szCs w:val="22"/>
          <w:vertAlign w:val="superscript"/>
        </w:rPr>
        <w:t>[79]</w:t>
      </w:r>
      <w:r>
        <w:rPr>
          <w:kern w:val="0"/>
          <w:sz w:val="24"/>
          <w:szCs w:val="22"/>
        </w:rPr>
        <w:t>，解析微藻活性成分与水产动物免疫系统的分子互作，明确成分的协同机制，为精准产品设计提供理论支持。在技术创新方面，需兼顾效率与成本，开发光生物反应器与开放池耦合的混合培养系统提升产量，革新低能耗加工工艺保留活性成分</w:t>
      </w:r>
      <w:r>
        <w:rPr>
          <w:kern w:val="0"/>
          <w:sz w:val="24"/>
          <w:szCs w:val="22"/>
          <w:vertAlign w:val="superscript"/>
        </w:rPr>
        <w:t>[80]</w:t>
      </w:r>
      <w:r>
        <w:rPr>
          <w:kern w:val="0"/>
          <w:sz w:val="24"/>
          <w:szCs w:val="22"/>
        </w:rPr>
        <w:t>；在应用端建立标准化体系，制定不同水产动物和生长阶段的精准使用规范，配套快速质量检测技术</w:t>
      </w:r>
      <w:r>
        <w:rPr>
          <w:kern w:val="0"/>
          <w:sz w:val="24"/>
          <w:szCs w:val="22"/>
          <w:vertAlign w:val="superscript"/>
        </w:rPr>
        <w:t>[81]</w:t>
      </w:r>
      <w:r>
        <w:rPr>
          <w:kern w:val="0"/>
          <w:sz w:val="24"/>
          <w:szCs w:val="22"/>
        </w:rPr>
        <w:t>。产品开发方面，除了全细胞产品，还应重点研发微囊化活性成分制剂及与益生菌、中草药复配的多功能产品。此外，需要通过系统毒理学评估验证长期安全性，并通过产学研协同构建全产业链支撑体系，加速成果转化</w:t>
      </w:r>
      <w:r>
        <w:rPr>
          <w:kern w:val="0"/>
          <w:sz w:val="24"/>
          <w:szCs w:val="22"/>
          <w:vertAlign w:val="superscript"/>
        </w:rPr>
        <w:t>[82]</w:t>
      </w:r>
      <w:r>
        <w:rPr>
          <w:kern w:val="0"/>
          <w:sz w:val="24"/>
          <w:szCs w:val="22"/>
        </w:rPr>
        <w:t>。</w:t>
      </w:r>
    </w:p>
    <w:p w14:paraId="692DB897">
      <w:pPr>
        <w:widowControl/>
        <w:spacing w:after="60" w:line="360" w:lineRule="auto"/>
        <w:ind w:firstLine="420"/>
        <w:rPr>
          <w:kern w:val="0"/>
          <w:sz w:val="24"/>
          <w:szCs w:val="22"/>
        </w:rPr>
      </w:pPr>
      <w:r>
        <w:rPr>
          <w:kern w:val="0"/>
          <w:sz w:val="24"/>
          <w:szCs w:val="22"/>
        </w:rPr>
        <w:t>尽管挑战重重，微藻免疫增强剂的工程化应用前景广阔。从市场需求来看，全球水产产量的上升和抗生素限用促使天然免疫增强剂需求旺盛；从技术层面来看，基因工程、合成生物学赋能微藻成为高效“细胞工厂”</w:t>
      </w:r>
      <w:r>
        <w:rPr>
          <w:kern w:val="0"/>
          <w:sz w:val="24"/>
          <w:szCs w:val="22"/>
          <w:vertAlign w:val="superscript"/>
        </w:rPr>
        <w:t>[83]</w:t>
      </w:r>
      <w:r>
        <w:rPr>
          <w:kern w:val="0"/>
          <w:sz w:val="24"/>
          <w:szCs w:val="22"/>
        </w:rPr>
        <w:t>，人工智能实现生产智能化管理，降低成本并提升质量稳定性</w:t>
      </w:r>
      <w:r>
        <w:rPr>
          <w:kern w:val="0"/>
          <w:sz w:val="24"/>
          <w:szCs w:val="22"/>
          <w:vertAlign w:val="superscript"/>
        </w:rPr>
        <w:t>[84]</w:t>
      </w:r>
      <w:r>
        <w:rPr>
          <w:kern w:val="0"/>
          <w:sz w:val="24"/>
          <w:szCs w:val="22"/>
        </w:rPr>
        <w:t>；从政策端来看，国家重视食品安全和可持续发展，为绿色饲料添加剂产业提供保障；产业生态日趋成熟，形成完整产业链和集群，推动微藻与环保、能源等产业融合，孕育巨大的商业机遇与发展空间。</w:t>
      </w:r>
    </w:p>
    <w:p w14:paraId="1A0F57B8">
      <w:pPr>
        <w:widowControl/>
        <w:spacing w:after="60" w:line="360" w:lineRule="auto"/>
        <w:rPr>
          <w:kern w:val="0"/>
          <w:sz w:val="24"/>
          <w:szCs w:val="22"/>
        </w:rPr>
      </w:pPr>
      <w:r>
        <w:rPr>
          <w:kern w:val="0"/>
          <w:sz w:val="24"/>
          <w:szCs w:val="22"/>
        </w:rPr>
        <w:t>5</w:t>
      </w:r>
      <w:r>
        <w:rPr>
          <w:rFonts w:hint="eastAsia"/>
          <w:kern w:val="0"/>
          <w:sz w:val="24"/>
          <w:szCs w:val="22"/>
        </w:rPr>
        <w:t xml:space="preserve"> </w:t>
      </w:r>
      <w:r>
        <w:rPr>
          <w:kern w:val="0"/>
          <w:sz w:val="24"/>
          <w:szCs w:val="22"/>
        </w:rPr>
        <w:t>结论</w:t>
      </w:r>
    </w:p>
    <w:p w14:paraId="59A4DFAB">
      <w:pPr>
        <w:widowControl/>
        <w:spacing w:after="60" w:line="360" w:lineRule="auto"/>
        <w:ind w:firstLine="420"/>
        <w:rPr>
          <w:kern w:val="0"/>
          <w:sz w:val="24"/>
          <w:szCs w:val="22"/>
        </w:rPr>
      </w:pPr>
      <w:r>
        <w:rPr>
          <w:kern w:val="0"/>
          <w:sz w:val="24"/>
          <w:szCs w:val="22"/>
        </w:rPr>
        <w:t>本文分析了具有免疫活性的微藻在水产养殖中的作用机制与应用进展，明确了其作为天然免疫增强剂的核心价值，为推动水产养殖可持续发展提供了理论与实践支撑。主要结论如下:</w:t>
      </w:r>
    </w:p>
    <w:p w14:paraId="25259B4F">
      <w:pPr>
        <w:widowControl/>
        <w:spacing w:after="60" w:line="360" w:lineRule="auto"/>
        <w:ind w:firstLine="420"/>
        <w:rPr>
          <w:kern w:val="0"/>
          <w:sz w:val="24"/>
          <w:szCs w:val="22"/>
        </w:rPr>
      </w:pPr>
      <w:r>
        <w:rPr>
          <w:kern w:val="0"/>
          <w:sz w:val="24"/>
          <w:szCs w:val="22"/>
        </w:rPr>
        <w:t>首先，微藻对水产动物具有广谱且显著的免疫增强效应，其效果呈现物种特异性与应用条件依赖性。在对虾中，微藻能够提升抗病能力与生长性能；在鱼类中，能强化免疫反应并提升抗病阈值；在贝类中，可促进生长发育并提高养殖存活率。这些效应与微藻种类、添加剂量和使用方式的选择密切相关，为精准应用提供依据。</w:t>
      </w:r>
    </w:p>
    <w:p w14:paraId="2EC3E6AA">
      <w:pPr>
        <w:widowControl/>
        <w:spacing w:after="60" w:line="360" w:lineRule="auto"/>
        <w:ind w:firstLine="420"/>
        <w:rPr>
          <w:kern w:val="0"/>
          <w:sz w:val="24"/>
          <w:szCs w:val="22"/>
        </w:rPr>
      </w:pPr>
      <w:r>
        <w:rPr>
          <w:kern w:val="0"/>
          <w:sz w:val="24"/>
          <w:szCs w:val="22"/>
        </w:rPr>
        <w:t>其次，微藻的免疫调节功能源于其丰富的天然活性成分，包括多糖、蛋白质、脂质、色素等，通过协同作用调控免疫状态，为后续活性成分的定向开发提供了靶点。</w:t>
      </w:r>
    </w:p>
    <w:p w14:paraId="2C74CDBE">
      <w:pPr>
        <w:widowControl/>
        <w:spacing w:after="60" w:line="360" w:lineRule="auto"/>
        <w:ind w:firstLine="420"/>
        <w:rPr>
          <w:kern w:val="0"/>
          <w:sz w:val="24"/>
          <w:szCs w:val="22"/>
        </w:rPr>
      </w:pPr>
      <w:r>
        <w:rPr>
          <w:kern w:val="0"/>
          <w:sz w:val="24"/>
          <w:szCs w:val="22"/>
        </w:rPr>
        <w:t>第三，微藻的免疫调节机制涉及细胞免疫和体液免疫两大核心层面，并依赖于关键信号通路的精准调控。在细胞免疫层面，微藻激活巨噬细胞、中性粒细胞等免疫细胞，增强其吞噬活性和细胞因子分泌；在体液免疫层面，调控抗体生成、补体激活及溶菌酶活性等关键过程。分子机制研究揭示了NF-</w:t>
      </w:r>
      <w:r>
        <w:rPr>
          <w:kern w:val="0"/>
          <w:sz w:val="24"/>
          <w:szCs w:val="22"/>
          <w:lang w:eastAsia="en-US"/>
        </w:rPr>
        <w:t>κ</w:t>
      </w:r>
      <w:r>
        <w:rPr>
          <w:kern w:val="0"/>
          <w:sz w:val="24"/>
          <w:szCs w:val="22"/>
        </w:rPr>
        <w:t>B、MAPK、JAK-STAT、TGF-</w:t>
      </w:r>
      <w:r>
        <w:rPr>
          <w:kern w:val="0"/>
          <w:sz w:val="24"/>
          <w:szCs w:val="22"/>
          <w:lang w:eastAsia="en-US"/>
        </w:rPr>
        <w:t>β</w:t>
      </w:r>
      <w:r>
        <w:rPr>
          <w:kern w:val="0"/>
          <w:sz w:val="24"/>
          <w:szCs w:val="22"/>
        </w:rPr>
        <w:t>等信号通路在免疫调节中的核心作用。</w:t>
      </w:r>
    </w:p>
    <w:p w14:paraId="1805BE87">
      <w:pPr>
        <w:widowControl/>
        <w:spacing w:after="60" w:line="360" w:lineRule="auto"/>
        <w:ind w:firstLine="420"/>
        <w:rPr>
          <w:kern w:val="0"/>
          <w:sz w:val="24"/>
          <w:szCs w:val="22"/>
        </w:rPr>
      </w:pPr>
      <w:r>
        <w:rPr>
          <w:kern w:val="0"/>
          <w:sz w:val="24"/>
          <w:szCs w:val="22"/>
        </w:rPr>
        <w:t>第四，微藻免疫增强剂的高效应用需依托“上游选育−中游生产−下游应用”的完整工程化体系。上游通过代谢工程与物种筛选定向培育优质藻株，中游采用“生物精炼厂”模式结合智能化培养系统与低能耗加工技术实现规模化生产，下游通过饲料添加、水体泼洒或注射等方式精准应用，并控制剂量、使用周期和配比，确保安全高效发挥免疫增强效果。</w:t>
      </w:r>
    </w:p>
    <w:p w14:paraId="2F6B05FA">
      <w:pPr>
        <w:widowControl/>
        <w:spacing w:after="60" w:line="360" w:lineRule="auto"/>
        <w:ind w:firstLine="420"/>
        <w:rPr>
          <w:kern w:val="0"/>
          <w:sz w:val="24"/>
          <w:szCs w:val="22"/>
        </w:rPr>
      </w:pPr>
      <w:r>
        <w:rPr>
          <w:kern w:val="0"/>
          <w:sz w:val="24"/>
          <w:szCs w:val="22"/>
        </w:rPr>
        <w:t>第五，尽管微藻免疫增强剂产业化态势良好，但仍面临成本、标准化和机制等挑战。未来应通过基因工程、精准营养、纳米技术和智能化生产等方向突破，推动产业向更高水平发展。</w:t>
      </w:r>
    </w:p>
    <w:p w14:paraId="136E5B28">
      <w:pPr>
        <w:spacing w:line="360" w:lineRule="auto"/>
        <w:ind w:firstLine="420"/>
        <w:rPr>
          <w:sz w:val="24"/>
        </w:rPr>
      </w:pPr>
      <w:r>
        <w:rPr>
          <w:kern w:val="0"/>
          <w:sz w:val="24"/>
          <w:szCs w:val="22"/>
        </w:rPr>
        <w:t>微藻作为天然、安全且高效的免疫增强剂，在水产养殖可持续发展中具有重要战略意义。随着研究和技术进步，微藻免疫增强剂将在提升水产动物健康、减少疾病、保障食品安全等方面发挥更大作用，为人类提供更多优质安全的水产品</w:t>
      </w:r>
      <w:r>
        <w:rPr>
          <w:sz w:val="24"/>
        </w:rPr>
        <w:t>。</w:t>
      </w:r>
    </w:p>
    <w:p w14:paraId="5D16DE1D">
      <w:pPr>
        <w:spacing w:line="360" w:lineRule="auto"/>
        <w:rPr>
          <w:rFonts w:hint="eastAsia"/>
          <w:sz w:val="24"/>
          <w:szCs w:val="21"/>
        </w:rPr>
      </w:pPr>
      <w:r>
        <w:rPr>
          <w:sz w:val="24"/>
          <w:szCs w:val="21"/>
        </w:rPr>
        <w:t>（作者声明本文符合出版伦理要求）</w:t>
      </w:r>
    </w:p>
    <w:p w14:paraId="0BABC86E">
      <w:pPr>
        <w:spacing w:line="360" w:lineRule="auto"/>
        <w:rPr>
          <w:sz w:val="24"/>
          <w:szCs w:val="21"/>
        </w:rPr>
      </w:pPr>
      <w:r>
        <w:rPr>
          <w:rFonts w:hint="eastAsia"/>
          <w:sz w:val="24"/>
          <w:szCs w:val="21"/>
        </w:rPr>
        <w:t>参考文献：略</w:t>
      </w:r>
    </w:p>
    <w:p w14:paraId="72BD467E">
      <w:pPr>
        <w:spacing w:line="360" w:lineRule="auto"/>
        <w:ind w:firstLine="420" w:firstLineChars="200"/>
        <w:jc w:val="right"/>
        <w:rPr>
          <w:szCs w:val="21"/>
        </w:rPr>
      </w:pPr>
      <w:r>
        <w:rPr>
          <w:rFonts w:hint="eastAsia"/>
          <w:szCs w:val="21"/>
        </w:rPr>
        <w:t>原文刊登在《水生生物学报》2026年第9期</w:t>
      </w:r>
    </w:p>
    <w:p w14:paraId="6F810591">
      <w:pPr>
        <w:spacing w:line="360" w:lineRule="auto"/>
        <w:ind w:right="1281"/>
        <w:outlineLvl w:val="0"/>
        <w:rPr>
          <w:rFonts w:eastAsia="黑体"/>
          <w:b/>
          <w:bCs/>
          <w:sz w:val="32"/>
          <w:szCs w:val="32"/>
          <w:bdr w:val="single" w:color="auto" w:sz="4" w:space="0"/>
        </w:rPr>
      </w:pPr>
      <w:bookmarkStart w:id="22" w:name="_Toc241496785"/>
      <w:r>
        <w:rPr>
          <w:rFonts w:eastAsia="黑体"/>
          <w:b/>
          <w:bCs/>
          <w:sz w:val="32"/>
          <w:szCs w:val="32"/>
          <w:bdr w:val="single" w:color="auto" w:sz="4" w:space="0"/>
        </w:rPr>
        <w:t>科学研究</w:t>
      </w:r>
      <w:bookmarkEnd w:id="21"/>
      <w:bookmarkEnd w:id="22"/>
    </w:p>
    <w:p w14:paraId="3FCFD7EB">
      <w:pPr>
        <w:jc w:val="center"/>
        <w:outlineLvl w:val="1"/>
        <w:rPr>
          <w:rFonts w:hint="eastAsia" w:ascii="黑体" w:hAnsi="黑体" w:eastAsia="黑体" w:cs="黑体"/>
          <w:b/>
          <w:bCs/>
          <w:sz w:val="32"/>
          <w:szCs w:val="32"/>
        </w:rPr>
      </w:pPr>
      <w:bookmarkStart w:id="23" w:name="_Toc241496786"/>
      <w:r>
        <w:rPr>
          <w:rFonts w:ascii="黑体" w:hAnsi="黑体" w:eastAsia="黑体" w:cs="黑体"/>
          <w:b/>
          <w:bCs/>
          <w:sz w:val="32"/>
          <w:szCs w:val="32"/>
        </w:rPr>
        <w:t>高温下蛋白质水平对凡纳对虾生长、饲料利用与能量代谢的影响</w:t>
      </w:r>
      <w:bookmarkEnd w:id="23"/>
    </w:p>
    <w:p w14:paraId="56A54FFB">
      <w:pPr>
        <w:jc w:val="center"/>
        <w:rPr>
          <w:szCs w:val="21"/>
        </w:rPr>
      </w:pPr>
      <w:r>
        <w:rPr>
          <w:szCs w:val="21"/>
        </w:rPr>
        <w:t>陆昶江</w:t>
      </w:r>
      <w:r>
        <w:rPr>
          <w:rFonts w:hint="eastAsia"/>
          <w:szCs w:val="21"/>
        </w:rPr>
        <w:t xml:space="preserve">  </w:t>
      </w:r>
      <w:r>
        <w:rPr>
          <w:szCs w:val="21"/>
        </w:rPr>
        <w:t>周慧慧</w:t>
      </w:r>
      <w:r>
        <w:rPr>
          <w:rFonts w:hint="eastAsia"/>
          <w:szCs w:val="21"/>
        </w:rPr>
        <w:t xml:space="preserve">  </w:t>
      </w:r>
      <w:r>
        <w:rPr>
          <w:szCs w:val="21"/>
        </w:rPr>
        <w:t>刘成栋</w:t>
      </w:r>
      <w:r>
        <w:rPr>
          <w:rFonts w:hint="eastAsia"/>
          <w:szCs w:val="21"/>
        </w:rPr>
        <w:t xml:space="preserve">  </w:t>
      </w:r>
      <w:r>
        <w:rPr>
          <w:szCs w:val="21"/>
        </w:rPr>
        <w:t>麦康森</w:t>
      </w:r>
      <w:r>
        <w:rPr>
          <w:rFonts w:hint="eastAsia"/>
          <w:szCs w:val="21"/>
        </w:rPr>
        <w:t xml:space="preserve">  </w:t>
      </w:r>
      <w:r>
        <w:rPr>
          <w:szCs w:val="21"/>
        </w:rPr>
        <w:t>何艮</w:t>
      </w:r>
      <w:r>
        <w:rPr>
          <w:rFonts w:hint="eastAsia"/>
          <w:szCs w:val="21"/>
        </w:rPr>
        <w:t xml:space="preserve">  </w:t>
      </w:r>
      <w:r>
        <w:rPr>
          <w:szCs w:val="21"/>
        </w:rPr>
        <w:t>王旋</w:t>
      </w:r>
      <w:r>
        <w:rPr>
          <w:rFonts w:hint="eastAsia"/>
          <w:szCs w:val="21"/>
        </w:rPr>
        <w:t>*</w:t>
      </w:r>
    </w:p>
    <w:p w14:paraId="21A3E76D">
      <w:pPr>
        <w:jc w:val="center"/>
        <w:rPr>
          <w:szCs w:val="21"/>
        </w:rPr>
      </w:pPr>
      <w:r>
        <w:rPr>
          <w:rFonts w:hint="eastAsia"/>
          <w:szCs w:val="21"/>
        </w:rPr>
        <w:t>（</w:t>
      </w:r>
      <w:r>
        <w:rPr>
          <w:szCs w:val="21"/>
        </w:rPr>
        <w:t>中国海洋大学水产学院，海水养殖教育部重点实验室，青岛266003</w:t>
      </w:r>
      <w:r>
        <w:rPr>
          <w:rFonts w:hint="eastAsia" w:ascii="宋体" w:hAnsi="宋体"/>
          <w:szCs w:val="21"/>
        </w:rPr>
        <w:t>)</w:t>
      </w:r>
    </w:p>
    <w:p w14:paraId="27F20F33">
      <w:pPr>
        <w:rPr>
          <w:szCs w:val="21"/>
        </w:rPr>
      </w:pPr>
      <w:r>
        <w:rPr>
          <w:b/>
          <w:bCs/>
          <w:szCs w:val="21"/>
        </w:rPr>
        <w:t>摘要</w:t>
      </w:r>
      <w:r>
        <w:rPr>
          <w:rFonts w:hint="eastAsia"/>
          <w:b/>
          <w:bCs/>
          <w:szCs w:val="21"/>
        </w:rPr>
        <w:t>：</w:t>
      </w:r>
      <w:r>
        <w:rPr>
          <w:szCs w:val="21"/>
        </w:rPr>
        <w:t>为了探究高温条件下饲料蛋白水平对凡纳对虾（</w:t>
      </w:r>
      <w:r>
        <w:rPr>
          <w:i/>
          <w:szCs w:val="21"/>
        </w:rPr>
        <w:t>Litopenaeus vannamei</w:t>
      </w:r>
      <w:r>
        <w:rPr>
          <w:szCs w:val="21"/>
        </w:rPr>
        <w:t>）生长、饲料利用及能量代谢的影响，研究配制蛋白水平分别为40%、42.5%和45%的三种配合饲料（P40、P42.5、P45）。挑选初始体重为（5.42±0.01） g的凡纳对虾，在32℃水温下开展为期8周的养殖试验。结果显示: P42.5组对虾增重率和特定生长率显著高于P40和P45组，饲料系数显著降低（</w:t>
      </w:r>
      <w:r>
        <w:rPr>
          <w:i/>
          <w:szCs w:val="21"/>
        </w:rPr>
        <w:t>P</w:t>
      </w:r>
      <w:r>
        <w:rPr>
          <w:szCs w:val="21"/>
        </w:rPr>
        <w:t>&lt;0.05）。血浆生化指标显示</w:t>
      </w:r>
      <w:r>
        <w:rPr>
          <w:rFonts w:hint="eastAsia"/>
          <w:szCs w:val="21"/>
        </w:rPr>
        <w:t>，</w:t>
      </w:r>
      <w:r>
        <w:rPr>
          <w:szCs w:val="21"/>
        </w:rPr>
        <w:t>P42.5组白蛋白含量和超氧化物歧化酶（SOD）活性均最高，而P45组血氨水平最高。抗氧化指标显示，P42.5组肝胰腺溶菌酶（LZM）、过氧化氢酶（CAT）等酶活性均达到最大值；与另两组相比，P45组丙二醛（MDA）含量显著升高（</w:t>
      </w:r>
      <w:r>
        <w:rPr>
          <w:i/>
          <w:szCs w:val="21"/>
        </w:rPr>
        <w:t>P</w:t>
      </w:r>
      <w:r>
        <w:rPr>
          <w:szCs w:val="21"/>
        </w:rPr>
        <w:t>&lt;0.05）。肠道健康方面</w:t>
      </w:r>
      <w:r>
        <w:rPr>
          <w:rFonts w:hint="eastAsia"/>
          <w:szCs w:val="21"/>
        </w:rPr>
        <w:t>，</w:t>
      </w:r>
      <w:r>
        <w:rPr>
          <w:szCs w:val="21"/>
        </w:rPr>
        <w:t>P42.5组肠绒毛高度及紧密连接蛋白基因（</w:t>
      </w:r>
      <w:r>
        <w:rPr>
          <w:i/>
          <w:iCs/>
          <w:szCs w:val="21"/>
        </w:rPr>
        <w:t>Claudin-3</w:t>
      </w:r>
      <w:r>
        <w:rPr>
          <w:szCs w:val="21"/>
        </w:rPr>
        <w:t>、</w:t>
      </w:r>
      <w:r>
        <w:rPr>
          <w:i/>
          <w:iCs/>
          <w:szCs w:val="21"/>
        </w:rPr>
        <w:t>Occludin</w:t>
      </w:r>
      <w:r>
        <w:rPr>
          <w:szCs w:val="21"/>
        </w:rPr>
        <w:t>、</w:t>
      </w:r>
      <w:r>
        <w:rPr>
          <w:i/>
          <w:iCs/>
          <w:szCs w:val="21"/>
        </w:rPr>
        <w:t>ZO-1</w:t>
      </w:r>
      <w:r>
        <w:rPr>
          <w:szCs w:val="21"/>
        </w:rPr>
        <w:t>）表达量均最高。在蛋白质合成方面，P42.5组翻译起始因子基因（</w:t>
      </w:r>
      <w:r>
        <w:rPr>
          <w:i/>
          <w:iCs/>
          <w:szCs w:val="21"/>
        </w:rPr>
        <w:t>eIF3K</w:t>
      </w:r>
      <w:r>
        <w:rPr>
          <w:szCs w:val="21"/>
        </w:rPr>
        <w:t>、</w:t>
      </w:r>
      <w:r>
        <w:rPr>
          <w:i/>
          <w:iCs/>
          <w:szCs w:val="21"/>
        </w:rPr>
        <w:t>eIF4E</w:t>
      </w:r>
      <w:r>
        <w:rPr>
          <w:szCs w:val="21"/>
        </w:rPr>
        <w:t>）表达量最高，P40组表达量最低。能量代谢方面，TCA循环相关酶基因表达（</w:t>
      </w:r>
      <w:r>
        <w:rPr>
          <w:i/>
          <w:iCs/>
          <w:szCs w:val="21"/>
        </w:rPr>
        <w:t>IDH</w:t>
      </w:r>
      <w:r>
        <w:rPr>
          <w:szCs w:val="21"/>
        </w:rPr>
        <w:t>、</w:t>
      </w:r>
      <w:r>
        <w:rPr>
          <w:i/>
          <w:iCs/>
          <w:szCs w:val="21"/>
        </w:rPr>
        <w:t>MDH</w:t>
      </w:r>
      <w:r>
        <w:rPr>
          <w:szCs w:val="21"/>
        </w:rPr>
        <w:t>、</w:t>
      </w:r>
      <w:r>
        <w:rPr>
          <w:i/>
          <w:iCs/>
          <w:szCs w:val="21"/>
        </w:rPr>
        <w:t>CS</w:t>
      </w:r>
      <w:r>
        <w:rPr>
          <w:szCs w:val="21"/>
        </w:rPr>
        <w:t>）和代谢产物含量均在P45组达到最高。在32℃水温下，蛋白水平为42.5%的饲料可有效促进对虾生长，增强抗氧化能力与肠道屏障功能，并维持蛋白质合成及能量代谢平衡；40%的蛋白质水平抑制了对虾能量代谢过程并导致生长性能下降；蛋白水平过高（45%）导致氧化应激加剧、肠道屏障损伤及生长性能下降。因此，合理调控饲料蛋白水平是提升凡纳对虾高温养殖稳定性、营养利用效率及健康水平的重要途径。</w:t>
      </w:r>
    </w:p>
    <w:p w14:paraId="0C3DDFC3">
      <w:pPr>
        <w:rPr>
          <w:szCs w:val="21"/>
        </w:rPr>
      </w:pPr>
      <w:r>
        <w:rPr>
          <w:b/>
          <w:bCs/>
          <w:szCs w:val="21"/>
        </w:rPr>
        <w:t>关键词</w:t>
      </w:r>
      <w:r>
        <w:rPr>
          <w:rFonts w:hint="eastAsia"/>
          <w:b/>
          <w:bCs/>
          <w:szCs w:val="21"/>
        </w:rPr>
        <w:t>：</w:t>
      </w:r>
      <w:r>
        <w:rPr>
          <w:szCs w:val="21"/>
        </w:rPr>
        <w:t>高温胁迫；蛋白水平；生长性能；抗氧化能力；能量代谢；游离氨基酸；肠道健康；凡纳对虾</w:t>
      </w:r>
    </w:p>
    <w:p w14:paraId="578CA9E5">
      <w:pPr>
        <w:rPr>
          <w:rFonts w:hint="eastAsia"/>
          <w:szCs w:val="21"/>
        </w:rPr>
      </w:pPr>
    </w:p>
    <w:p w14:paraId="245588D1">
      <w:pPr>
        <w:jc w:val="center"/>
        <w:rPr>
          <w:b/>
          <w:bCs/>
          <w:sz w:val="24"/>
        </w:rPr>
      </w:pPr>
      <w:r>
        <w:rPr>
          <w:b/>
          <w:bCs/>
          <w:sz w:val="24"/>
        </w:rPr>
        <w:t>DIETARY PROTEIN LEVELS ON GROWTH PERFORMANCE, FEED UTILIZATION, AND ENERGY METABOLISM OF LITOPENAEUS VANNAMEI UNDER HIGH TEMPERATURE STRESS</w:t>
      </w:r>
    </w:p>
    <w:p w14:paraId="64083202">
      <w:pPr>
        <w:jc w:val="center"/>
        <w:rPr>
          <w:rFonts w:hint="eastAsia"/>
          <w:szCs w:val="21"/>
        </w:rPr>
      </w:pPr>
      <w:r>
        <w:rPr>
          <w:szCs w:val="21"/>
        </w:rPr>
        <w:t>LU Chang-Jiang</w:t>
      </w:r>
      <w:r>
        <w:rPr>
          <w:rFonts w:hint="eastAsia"/>
          <w:szCs w:val="21"/>
        </w:rPr>
        <w:t xml:space="preserve">  </w:t>
      </w:r>
      <w:r>
        <w:rPr>
          <w:szCs w:val="21"/>
        </w:rPr>
        <w:t xml:space="preserve"> ZHOU Hui-Hui</w:t>
      </w:r>
      <w:r>
        <w:rPr>
          <w:rFonts w:hint="eastAsia"/>
          <w:szCs w:val="21"/>
        </w:rPr>
        <w:t xml:space="preserve">  </w:t>
      </w:r>
      <w:r>
        <w:rPr>
          <w:szCs w:val="21"/>
        </w:rPr>
        <w:t>LIU Cheng-Dong</w:t>
      </w:r>
      <w:r>
        <w:rPr>
          <w:rFonts w:hint="eastAsia"/>
          <w:szCs w:val="21"/>
        </w:rPr>
        <w:t xml:space="preserve">  </w:t>
      </w:r>
      <w:r>
        <w:rPr>
          <w:szCs w:val="21"/>
        </w:rPr>
        <w:t>MAI Kang-Sen</w:t>
      </w:r>
      <w:r>
        <w:rPr>
          <w:rFonts w:hint="eastAsia"/>
          <w:szCs w:val="21"/>
        </w:rPr>
        <w:t xml:space="preserve">  </w:t>
      </w:r>
      <w:r>
        <w:rPr>
          <w:szCs w:val="21"/>
        </w:rPr>
        <w:t>HE Gen WANG Xuan</w:t>
      </w:r>
      <w:r>
        <w:rPr>
          <w:rFonts w:hint="eastAsia"/>
          <w:szCs w:val="21"/>
        </w:rPr>
        <w:t>*</w:t>
      </w:r>
    </w:p>
    <w:p w14:paraId="4960C2C9">
      <w:pPr>
        <w:jc w:val="center"/>
        <w:rPr>
          <w:szCs w:val="21"/>
        </w:rPr>
      </w:pPr>
      <w:r>
        <w:rPr>
          <w:szCs w:val="21"/>
        </w:rPr>
        <w:t>(</w:t>
      </w:r>
      <w:r>
        <w:rPr>
          <w:i/>
          <w:iCs/>
          <w:szCs w:val="21"/>
        </w:rPr>
        <w:t>Key Laboratory of Mariculture of Ministry of Education, College of Fisheries, Ocean University of China, Qingdao 266003, China</w:t>
      </w:r>
      <w:r>
        <w:rPr>
          <w:szCs w:val="21"/>
        </w:rPr>
        <w:t>)</w:t>
      </w:r>
    </w:p>
    <w:p w14:paraId="201D7ABA">
      <w:pPr>
        <w:rPr>
          <w:szCs w:val="21"/>
        </w:rPr>
      </w:pPr>
      <w:r>
        <w:rPr>
          <w:b/>
          <w:bCs/>
          <w:szCs w:val="21"/>
        </w:rPr>
        <w:t>Abstract:</w:t>
      </w:r>
      <w:r>
        <w:rPr>
          <w:szCs w:val="21"/>
        </w:rPr>
        <w:t xml:space="preserve"> To investigate the effects of dietary protein levels on growth, feed utilization, and energy metabolism of Pacific white shrimp (</w:t>
      </w:r>
      <w:r>
        <w:rPr>
          <w:i/>
          <w:szCs w:val="21"/>
        </w:rPr>
        <w:t>Litopenaeus vannamei</w:t>
      </w:r>
      <w:r>
        <w:rPr>
          <w:szCs w:val="21"/>
        </w:rPr>
        <w:t>) under high-temperature conditions. Three practical diets containing 40%, 42.5%, and 45% crude protein were formulated and designated as the P40, P42.5, and P45 groups, respectively. Juvenile Pacific white shrimp with an initial body weight of (5.42±0.01) g were cultured at 32℃ for an 8-week feeding trial. The results showed that the weight gain rate and specific growth rate of shrimp in the P42.5 group were significantly higher than those in the P40 and P45 groups, while the feed conversion ratio was significantly decreased (</w:t>
      </w:r>
      <w:r>
        <w:rPr>
          <w:i/>
          <w:szCs w:val="21"/>
        </w:rPr>
        <w:t>P</w:t>
      </w:r>
      <w:r>
        <w:rPr>
          <w:szCs w:val="21"/>
        </w:rPr>
        <w:t>&lt;0.05). Hemolymph biochemical analysis indicated that the P42.5 group had the highest albumin content and superoxide dismutase (SOD) activity, whereas the P45 group exhibited the highest hemolymph ammonia level. For hepatopancreatic antioxidant indices, the activities of lysozyme (LZM),  catalase (CAT), and other related enzymes reached their maximum values in the P42.5 group. Compared with the other two groups, malondialdehyde (MDA) content in the P45 group was significantly increased (</w:t>
      </w:r>
      <w:r>
        <w:rPr>
          <w:i/>
          <w:szCs w:val="21"/>
        </w:rPr>
        <w:t>P</w:t>
      </w:r>
      <w:r>
        <w:rPr>
          <w:szCs w:val="21"/>
        </w:rPr>
        <w:t>&lt;0.05). Regarding intestinal health, the P42.5 group showed the highest intestinal villus height and mRNA expression levels of tight junction protein genes (</w:t>
      </w:r>
      <w:r>
        <w:rPr>
          <w:i/>
          <w:iCs/>
          <w:szCs w:val="21"/>
        </w:rPr>
        <w:t>Claudin-3</w:t>
      </w:r>
      <w:r>
        <w:rPr>
          <w:szCs w:val="21"/>
        </w:rPr>
        <w:t xml:space="preserve">, </w:t>
      </w:r>
      <w:r>
        <w:rPr>
          <w:i/>
          <w:iCs/>
          <w:szCs w:val="21"/>
        </w:rPr>
        <w:t xml:space="preserve">Occludin </w:t>
      </w:r>
      <w:r>
        <w:rPr>
          <w:szCs w:val="21"/>
        </w:rPr>
        <w:t xml:space="preserve">and </w:t>
      </w:r>
      <w:r>
        <w:rPr>
          <w:i/>
          <w:iCs/>
          <w:szCs w:val="21"/>
        </w:rPr>
        <w:t>ZO-1</w:t>
      </w:r>
      <w:r>
        <w:rPr>
          <w:szCs w:val="21"/>
        </w:rPr>
        <w:t>). In terms of protein synthesis, the transcript levels of translation initiation factor genes (</w:t>
      </w:r>
      <w:r>
        <w:rPr>
          <w:i/>
          <w:iCs/>
          <w:szCs w:val="21"/>
        </w:rPr>
        <w:t>eIF3K</w:t>
      </w:r>
      <w:r>
        <w:rPr>
          <w:szCs w:val="21"/>
        </w:rPr>
        <w:t xml:space="preserve"> and </w:t>
      </w:r>
      <w:r>
        <w:rPr>
          <w:i/>
          <w:iCs/>
          <w:szCs w:val="21"/>
        </w:rPr>
        <w:t>eIF4E</w:t>
      </w:r>
      <w:r>
        <w:rPr>
          <w:szCs w:val="21"/>
        </w:rPr>
        <w:t>) were the highest in P42.5 group and the lowest in P40 group. For energy metabolism, the expression levels of key enzyme genes related to the TCA cycle (</w:t>
      </w:r>
      <w:r>
        <w:rPr>
          <w:i/>
          <w:iCs/>
          <w:szCs w:val="21"/>
        </w:rPr>
        <w:t>IDH</w:t>
      </w:r>
      <w:r>
        <w:rPr>
          <w:szCs w:val="21"/>
        </w:rPr>
        <w:t xml:space="preserve">, </w:t>
      </w:r>
      <w:r>
        <w:rPr>
          <w:i/>
          <w:iCs/>
          <w:szCs w:val="21"/>
        </w:rPr>
        <w:t>MDH</w:t>
      </w:r>
      <w:r>
        <w:rPr>
          <w:szCs w:val="21"/>
        </w:rPr>
        <w:t xml:space="preserve">, and </w:t>
      </w:r>
      <w:r>
        <w:rPr>
          <w:i/>
          <w:iCs/>
          <w:szCs w:val="21"/>
        </w:rPr>
        <w:t>CS</w:t>
      </w:r>
      <w:r>
        <w:rPr>
          <w:szCs w:val="21"/>
        </w:rPr>
        <w:t>) and the concentrations of corresponding metabolites peaked in the P45 group. Under the rearing temperature of 32℃, a dietary protein level of 42.5% effectively promoted shrimp growth, enhanced antioxidant capacity and intestinal barrier function, and maintained the homeostasis of protein synthesis and energy metabolism. A dietary protein level of 40% suppressed energy metabolism and resulted in reduced growth performance. In contrast, excessive dietary protein (45%) aggravated oxidative stress, impaired intestinal barrier integrity and led to the decline of growth performance in Pacific white shrimp. Therefore, reasonable regulation of dietary protein supply is an important approach to improve the culture stability, nutrient utilization efficiency and health status of Pacific white shrimp under high temperature conditions.</w:t>
      </w:r>
    </w:p>
    <w:p w14:paraId="25FA0604">
      <w:pPr>
        <w:rPr>
          <w:szCs w:val="21"/>
        </w:rPr>
      </w:pPr>
      <w:r>
        <w:rPr>
          <w:b/>
          <w:bCs/>
          <w:szCs w:val="21"/>
        </w:rPr>
        <w:t>Keywords:</w:t>
      </w:r>
      <w:r>
        <w:rPr>
          <w:szCs w:val="21"/>
        </w:rPr>
        <w:t xml:space="preserve"> High temperature stress; Protein level; Growth performance; Antioxidant capacity; Energy metabolism; Free amino acids; Intestinal health; </w:t>
      </w:r>
      <w:r>
        <w:rPr>
          <w:i/>
          <w:szCs w:val="21"/>
        </w:rPr>
        <w:t>Litopenaeus vannamei</w:t>
      </w:r>
    </w:p>
    <w:p w14:paraId="03C59622">
      <w:pPr>
        <w:rPr>
          <w:szCs w:val="21"/>
        </w:rPr>
      </w:pPr>
    </w:p>
    <w:p w14:paraId="0468D585">
      <w:pPr>
        <w:widowControl/>
        <w:spacing w:after="60" w:line="360" w:lineRule="auto"/>
        <w:ind w:firstLine="420"/>
        <w:rPr>
          <w:kern w:val="0"/>
          <w:sz w:val="24"/>
          <w:szCs w:val="22"/>
        </w:rPr>
      </w:pPr>
      <w:r>
        <w:rPr>
          <w:kern w:val="0"/>
          <w:sz w:val="24"/>
          <w:szCs w:val="22"/>
        </w:rPr>
        <w:t>凡纳对虾（</w:t>
      </w:r>
      <w:r>
        <w:rPr>
          <w:i/>
          <w:kern w:val="0"/>
          <w:sz w:val="24"/>
          <w:szCs w:val="22"/>
        </w:rPr>
        <w:t>Litopenaeus vannamei</w:t>
      </w:r>
      <w:r>
        <w:rPr>
          <w:kern w:val="0"/>
          <w:sz w:val="24"/>
          <w:szCs w:val="22"/>
        </w:rPr>
        <w:t>），又称南美白对虾，具生长快、适应性强等优点，是全球主要的养殖虾种之一</w:t>
      </w:r>
      <w:r>
        <w:rPr>
          <w:kern w:val="0"/>
          <w:sz w:val="24"/>
          <w:szCs w:val="22"/>
          <w:vertAlign w:val="superscript"/>
        </w:rPr>
        <w:t>[1]</w:t>
      </w:r>
      <w:r>
        <w:rPr>
          <w:kern w:val="0"/>
          <w:sz w:val="24"/>
          <w:szCs w:val="22"/>
        </w:rPr>
        <w:t>。温度是影响对虾摄食、代谢和生长性能的核心环境因子</w:t>
      </w:r>
      <w:r>
        <w:rPr>
          <w:kern w:val="0"/>
          <w:sz w:val="24"/>
          <w:szCs w:val="22"/>
          <w:vertAlign w:val="superscript"/>
        </w:rPr>
        <w:t>[2]</w:t>
      </w:r>
      <w:r>
        <w:rPr>
          <w:kern w:val="0"/>
          <w:sz w:val="24"/>
          <w:szCs w:val="22"/>
        </w:rPr>
        <w:t>，我国对虾养殖主产区夏季池塘水温常超过32℃</w:t>
      </w:r>
      <w:r>
        <w:rPr>
          <w:kern w:val="0"/>
          <w:sz w:val="24"/>
          <w:szCs w:val="22"/>
          <w:vertAlign w:val="superscript"/>
        </w:rPr>
        <w:t>[3，4]</w:t>
      </w:r>
      <w:r>
        <w:rPr>
          <w:kern w:val="0"/>
          <w:sz w:val="24"/>
          <w:szCs w:val="22"/>
        </w:rPr>
        <w:t>，高温胁迫严重制约着凡纳对虾养殖产业的可持续发展。</w:t>
      </w:r>
    </w:p>
    <w:p w14:paraId="44D410BB">
      <w:pPr>
        <w:widowControl/>
        <w:spacing w:after="60" w:line="360" w:lineRule="auto"/>
        <w:ind w:firstLine="420"/>
        <w:rPr>
          <w:kern w:val="0"/>
          <w:sz w:val="24"/>
          <w:szCs w:val="22"/>
        </w:rPr>
      </w:pPr>
      <w:r>
        <w:rPr>
          <w:kern w:val="0"/>
          <w:sz w:val="24"/>
          <w:szCs w:val="22"/>
        </w:rPr>
        <w:t>长期处于高温环境会导致对虾处于热应激状态，影响其生长和存活</w:t>
      </w:r>
      <w:r>
        <w:rPr>
          <w:kern w:val="0"/>
          <w:sz w:val="24"/>
          <w:szCs w:val="22"/>
          <w:vertAlign w:val="superscript"/>
        </w:rPr>
        <w:t>[5，6]</w:t>
      </w:r>
      <w:r>
        <w:rPr>
          <w:kern w:val="0"/>
          <w:sz w:val="24"/>
          <w:szCs w:val="22"/>
        </w:rPr>
        <w:t>。热应激可诱发肠黏膜损伤、破坏肠道屏障</w:t>
      </w:r>
      <w:r>
        <w:rPr>
          <w:kern w:val="0"/>
          <w:sz w:val="24"/>
          <w:szCs w:val="22"/>
          <w:vertAlign w:val="superscript"/>
        </w:rPr>
        <w:t>[7]</w:t>
      </w:r>
      <w:r>
        <w:rPr>
          <w:kern w:val="0"/>
          <w:sz w:val="24"/>
          <w:szCs w:val="22"/>
        </w:rPr>
        <w:t>，同时促使活性氧（ROS）大量积累，对肝胰腺等重要器官造成氧化损伤</w:t>
      </w:r>
      <w:r>
        <w:rPr>
          <w:kern w:val="0"/>
          <w:sz w:val="24"/>
          <w:szCs w:val="22"/>
          <w:vertAlign w:val="superscript"/>
        </w:rPr>
        <w:t>[8，9]</w:t>
      </w:r>
      <w:r>
        <w:rPr>
          <w:kern w:val="0"/>
          <w:sz w:val="24"/>
          <w:szCs w:val="22"/>
        </w:rPr>
        <w:t>。在对凡纳对虾</w:t>
      </w:r>
      <w:r>
        <w:rPr>
          <w:kern w:val="0"/>
          <w:sz w:val="24"/>
          <w:szCs w:val="22"/>
          <w:vertAlign w:val="superscript"/>
        </w:rPr>
        <w:t>[10]</w:t>
      </w:r>
      <w:r>
        <w:rPr>
          <w:kern w:val="0"/>
          <w:sz w:val="24"/>
          <w:szCs w:val="22"/>
        </w:rPr>
        <w:t>的研究中已发现高温显著扰乱氨基酸代谢，整体表现为促进蛋白质分解、抑制蛋白质合成，进而破坏机体氨基酸平衡与代谢稳态。蛋白质是水产动物的主要能量来源，其正常生长和健康依赖于适宜的饲料蛋白质水平</w:t>
      </w:r>
      <w:r>
        <w:rPr>
          <w:kern w:val="0"/>
          <w:sz w:val="24"/>
          <w:szCs w:val="22"/>
          <w:vertAlign w:val="superscript"/>
        </w:rPr>
        <w:t>[11]</w:t>
      </w:r>
      <w:r>
        <w:rPr>
          <w:kern w:val="0"/>
          <w:sz w:val="24"/>
          <w:szCs w:val="22"/>
        </w:rPr>
        <w:t>。凡纳对虾生长阶段最适蛋白需求通常在30%—45%</w:t>
      </w:r>
      <w:r>
        <w:rPr>
          <w:kern w:val="0"/>
          <w:sz w:val="24"/>
          <w:szCs w:val="22"/>
          <w:vertAlign w:val="superscript"/>
        </w:rPr>
        <w:t>[12]</w:t>
      </w:r>
      <w:r>
        <w:rPr>
          <w:kern w:val="0"/>
          <w:sz w:val="24"/>
          <w:szCs w:val="22"/>
        </w:rPr>
        <w:t>，具体取决于养殖条件、体重规格及饲料蛋白来源。饲料蛋白质水平过高会导致肝胰腺抗氧化酶活性降低、氮排泄增加，增加机体代谢负担</w:t>
      </w:r>
      <w:r>
        <w:rPr>
          <w:kern w:val="0"/>
          <w:sz w:val="24"/>
          <w:szCs w:val="22"/>
          <w:vertAlign w:val="superscript"/>
        </w:rPr>
        <w:t>[13，14]</w:t>
      </w:r>
      <w:r>
        <w:rPr>
          <w:kern w:val="0"/>
          <w:sz w:val="24"/>
          <w:szCs w:val="22"/>
        </w:rPr>
        <w:t>；蛋白质水平过低则无法满足正常代谢需求，抑制生长并降低免疫能力</w:t>
      </w:r>
      <w:r>
        <w:rPr>
          <w:kern w:val="0"/>
          <w:sz w:val="24"/>
          <w:szCs w:val="22"/>
          <w:vertAlign w:val="superscript"/>
        </w:rPr>
        <w:t>[15]</w:t>
      </w:r>
      <w:r>
        <w:rPr>
          <w:kern w:val="0"/>
          <w:sz w:val="24"/>
          <w:szCs w:val="22"/>
        </w:rPr>
        <w:t>。在高温条件下，对虾代谢速率加快、能量需求升高</w:t>
      </w:r>
      <w:r>
        <w:rPr>
          <w:kern w:val="0"/>
          <w:sz w:val="24"/>
          <w:szCs w:val="22"/>
          <w:vertAlign w:val="superscript"/>
        </w:rPr>
        <w:t>[16]</w:t>
      </w:r>
      <w:r>
        <w:rPr>
          <w:kern w:val="0"/>
          <w:sz w:val="24"/>
          <w:szCs w:val="22"/>
        </w:rPr>
        <w:t>，维持其正常生理活动的饲料蛋白水平可能与常温条件存在差异，因此探究高温下蛋白质水平对凡纳对虾的生长、代谢与健康的综合影响具有重要意义。</w:t>
      </w:r>
    </w:p>
    <w:p w14:paraId="16929F5E">
      <w:pPr>
        <w:widowControl/>
        <w:spacing w:after="60" w:line="360" w:lineRule="auto"/>
        <w:ind w:firstLine="420"/>
        <w:rPr>
          <w:kern w:val="0"/>
          <w:sz w:val="24"/>
          <w:szCs w:val="22"/>
        </w:rPr>
      </w:pPr>
      <w:r>
        <w:rPr>
          <w:kern w:val="0"/>
          <w:sz w:val="24"/>
          <w:szCs w:val="22"/>
        </w:rPr>
        <w:t>目前对虾高温应激研究多为短期急性高温刺激，内容侧重于生理响应的描述</w:t>
      </w:r>
      <w:r>
        <w:rPr>
          <w:kern w:val="0"/>
          <w:sz w:val="24"/>
          <w:szCs w:val="22"/>
          <w:vertAlign w:val="superscript"/>
        </w:rPr>
        <w:t>[17，18]</w:t>
      </w:r>
      <w:r>
        <w:rPr>
          <w:kern w:val="0"/>
          <w:sz w:val="24"/>
          <w:szCs w:val="22"/>
        </w:rPr>
        <w:t>，而针对长期高温胁迫下不同饲料蛋白水平对对虾物质与能量代谢影响的研究较少。本研究配制3种不同蛋白水平（40%、42.5%和45%）的饲料，在32℃条件下对凡纳对虾进行为期8周的养殖实验，探究饲料蛋白质水平对高温应激下凡纳对虾生长性能、抗氧化能力、肠道健康、蛋白质合成及能量代谢的影响。</w:t>
      </w:r>
    </w:p>
    <w:p w14:paraId="11F88CED">
      <w:pPr>
        <w:widowControl/>
        <w:spacing w:after="60" w:line="360" w:lineRule="auto"/>
        <w:rPr>
          <w:kern w:val="0"/>
          <w:sz w:val="24"/>
          <w:szCs w:val="22"/>
        </w:rPr>
      </w:pPr>
      <w:r>
        <w:rPr>
          <w:kern w:val="0"/>
          <w:sz w:val="24"/>
          <w:szCs w:val="22"/>
        </w:rPr>
        <w:t>1</w:t>
      </w:r>
      <w:r>
        <w:rPr>
          <w:rFonts w:hint="eastAsia"/>
          <w:kern w:val="0"/>
          <w:sz w:val="24"/>
          <w:szCs w:val="22"/>
        </w:rPr>
        <w:t xml:space="preserve"> </w:t>
      </w:r>
      <w:r>
        <w:rPr>
          <w:kern w:val="0"/>
          <w:sz w:val="24"/>
          <w:szCs w:val="22"/>
        </w:rPr>
        <w:t>材料与方法</w:t>
      </w:r>
    </w:p>
    <w:p w14:paraId="07432749">
      <w:pPr>
        <w:widowControl/>
        <w:spacing w:after="60" w:line="360" w:lineRule="auto"/>
        <w:rPr>
          <w:kern w:val="0"/>
          <w:sz w:val="24"/>
          <w:szCs w:val="22"/>
        </w:rPr>
      </w:pPr>
      <w:r>
        <w:rPr>
          <w:kern w:val="0"/>
          <w:sz w:val="24"/>
          <w:szCs w:val="22"/>
        </w:rPr>
        <w:t>1.1</w:t>
      </w:r>
      <w:r>
        <w:rPr>
          <w:rFonts w:hint="eastAsia"/>
          <w:kern w:val="0"/>
          <w:sz w:val="24"/>
          <w:szCs w:val="22"/>
        </w:rPr>
        <w:t xml:space="preserve"> </w:t>
      </w:r>
      <w:r>
        <w:rPr>
          <w:kern w:val="0"/>
          <w:sz w:val="24"/>
          <w:szCs w:val="22"/>
        </w:rPr>
        <w:t>实验饲料</w:t>
      </w:r>
    </w:p>
    <w:p w14:paraId="3646BE10">
      <w:pPr>
        <w:widowControl/>
        <w:spacing w:after="60" w:line="360" w:lineRule="auto"/>
        <w:ind w:firstLine="420"/>
        <w:rPr>
          <w:kern w:val="0"/>
          <w:sz w:val="24"/>
          <w:szCs w:val="22"/>
        </w:rPr>
      </w:pPr>
      <w:r>
        <w:rPr>
          <w:kern w:val="0"/>
          <w:sz w:val="24"/>
          <w:szCs w:val="22"/>
        </w:rPr>
        <w:t>本试验以鱼粉、豆粕、花生粕、谷朊粉、虾壳粉和鸡肉粉作为主要蛋白源，以鱼油和豆油作为主要的脂肪源，以干物质中蛋白质含量占比40%的饲料（P40）为基础，在不改变各蛋白源之间比例的基础上分别增加上述蛋白源含量，配制两组蛋白质含量分别为42.5% （P42.5）和45% （P45）的饲料，实验饲料配方及常规营养成分组成见表1。所有原料粉碎后过80目筛网，先将粉状原料混匀，加入油脂后再次混匀。用双螺杆饲料制粒机制成直径为1.0 mm的饲料，55℃烘干水分至4%，在–20℃储存备用。</w:t>
      </w:r>
    </w:p>
    <w:p w14:paraId="52F63B89">
      <w:pPr>
        <w:widowControl/>
        <w:spacing w:after="60" w:line="360" w:lineRule="auto"/>
        <w:jc w:val="center"/>
        <w:rPr>
          <w:kern w:val="0"/>
          <w:sz w:val="24"/>
          <w:szCs w:val="22"/>
        </w:rPr>
      </w:pPr>
      <w:r>
        <w:rPr>
          <w:kern w:val="0"/>
          <w:sz w:val="24"/>
          <w:szCs w:val="22"/>
        </w:rPr>
        <w:drawing>
          <wp:inline distT="0" distB="0" distL="0" distR="0">
            <wp:extent cx="3150235" cy="4244975"/>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rcRect b="54140"/>
                    <a:stretch>
                      <a:fillRect/>
                    </a:stretch>
                  </pic:blipFill>
                  <pic:spPr>
                    <a:xfrm>
                      <a:off x="0" y="0"/>
                      <a:ext cx="3170045" cy="4272055"/>
                    </a:xfrm>
                    <a:prstGeom prst="rect">
                      <a:avLst/>
                    </a:prstGeom>
                    <a:ln>
                      <a:noFill/>
                    </a:ln>
                  </pic:spPr>
                </pic:pic>
              </a:graphicData>
            </a:graphic>
          </wp:inline>
        </w:drawing>
      </w:r>
      <w:r>
        <w:rPr>
          <w:kern w:val="0"/>
          <w:sz w:val="24"/>
          <w:szCs w:val="22"/>
        </w:rPr>
        <w:drawing>
          <wp:inline distT="0" distB="0" distL="0" distR="0">
            <wp:extent cx="2679065" cy="4275455"/>
            <wp:effectExtent l="0" t="0" r="6985" b="0"/>
            <wp:docPr id="1401034681" name="图片 140103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34681" name="图片 1401034681"/>
                    <pic:cNvPicPr>
                      <a:picLocks noChangeAspect="1"/>
                    </pic:cNvPicPr>
                  </pic:nvPicPr>
                  <pic:blipFill>
                    <a:blip r:embed="rId14"/>
                    <a:srcRect t="45699"/>
                    <a:stretch>
                      <a:fillRect/>
                    </a:stretch>
                  </pic:blipFill>
                  <pic:spPr>
                    <a:xfrm>
                      <a:off x="0" y="0"/>
                      <a:ext cx="2690354" cy="4292924"/>
                    </a:xfrm>
                    <a:prstGeom prst="rect">
                      <a:avLst/>
                    </a:prstGeom>
                    <a:ln>
                      <a:noFill/>
                    </a:ln>
                  </pic:spPr>
                </pic:pic>
              </a:graphicData>
            </a:graphic>
          </wp:inline>
        </w:drawing>
      </w:r>
    </w:p>
    <w:p w14:paraId="4B56DACC">
      <w:pPr>
        <w:widowControl/>
        <w:spacing w:after="60" w:line="360" w:lineRule="auto"/>
        <w:rPr>
          <w:kern w:val="0"/>
          <w:sz w:val="24"/>
          <w:szCs w:val="22"/>
        </w:rPr>
      </w:pPr>
      <w:r>
        <w:rPr>
          <w:kern w:val="0"/>
          <w:sz w:val="24"/>
          <w:szCs w:val="22"/>
        </w:rPr>
        <w:t>1.2</w:t>
      </w:r>
      <w:r>
        <w:rPr>
          <w:rFonts w:hint="eastAsia"/>
          <w:kern w:val="0"/>
          <w:sz w:val="24"/>
          <w:szCs w:val="22"/>
        </w:rPr>
        <w:t xml:space="preserve"> </w:t>
      </w:r>
      <w:r>
        <w:rPr>
          <w:kern w:val="0"/>
          <w:sz w:val="24"/>
          <w:szCs w:val="22"/>
        </w:rPr>
        <w:t>养殖实验和样品采集</w:t>
      </w:r>
    </w:p>
    <w:p w14:paraId="5E14B0C1">
      <w:pPr>
        <w:widowControl/>
        <w:spacing w:after="60" w:line="360" w:lineRule="auto"/>
        <w:ind w:firstLine="420"/>
        <w:rPr>
          <w:kern w:val="0"/>
          <w:sz w:val="24"/>
          <w:szCs w:val="22"/>
        </w:rPr>
      </w:pPr>
      <w:r>
        <w:rPr>
          <w:kern w:val="0"/>
          <w:sz w:val="24"/>
          <w:szCs w:val="22"/>
        </w:rPr>
        <w:t>凡纳对虾幼虾购自山东烟台某养殖场，实验于室内循环水养殖系统中进行，实验开始前先用3种实验饲料等量混匀暂养对虾，暂养期间控制系统水温从初始温度（28℃）每天升温1℃，直至32℃后暂养2周。暂养结束后将630尾对虾随机分到9个养殖桶中，每桶分入70尾[平均尾重:（5.42±0.01）g]。实验共3个处理，每个处理设置3个平行，养殖实验持续8周，每天于07:00、11:00、15:00和19:00投喂并记录每餐的残饵数量以校正每天的摄食量。水温（32±0.3）℃，氨氮低于0.1 mg/L，亚硝酸盐低于0.01 mg/L，溶氧维持在7 mg/L。</w:t>
      </w:r>
    </w:p>
    <w:p w14:paraId="5ACDC47D">
      <w:pPr>
        <w:widowControl/>
        <w:spacing w:after="60" w:line="360" w:lineRule="auto"/>
        <w:ind w:firstLine="420"/>
        <w:rPr>
          <w:kern w:val="0"/>
          <w:sz w:val="24"/>
          <w:szCs w:val="22"/>
        </w:rPr>
      </w:pPr>
      <w:r>
        <w:rPr>
          <w:kern w:val="0"/>
          <w:sz w:val="24"/>
          <w:szCs w:val="22"/>
        </w:rPr>
        <w:t>养殖实验结束后将对虾禁食24h，准确统计每桶对虾数量并称量总重，从每桶中随机取3尾对虾放入冰水中使其活动性降低。从头胸甲和腹部连接处进针，抽取心脏区域的血淋巴并与抗凝剂按1﹕2的比例混合，离心后置于–80℃冰箱内保存待测。取对虾肝胰腺、第二肌节肌肉，放入液氮中速冻并转移至–80℃冰箱中冷冻保存，用于酶活、基因定量和氨基酸组成分析。每桶取3尾对虾做体成分分析，再取3尾对虾剖出完整肠道，在波恩氏固定液中固定24h后转置于75%酒精中保存。</w:t>
      </w:r>
    </w:p>
    <w:p w14:paraId="22F7CA3A">
      <w:pPr>
        <w:widowControl/>
        <w:spacing w:after="60" w:line="360" w:lineRule="auto"/>
        <w:rPr>
          <w:kern w:val="0"/>
          <w:sz w:val="24"/>
          <w:szCs w:val="22"/>
        </w:rPr>
      </w:pPr>
      <w:r>
        <w:rPr>
          <w:kern w:val="0"/>
          <w:sz w:val="24"/>
          <w:szCs w:val="22"/>
        </w:rPr>
        <w:t>1.3</w:t>
      </w:r>
      <w:r>
        <w:rPr>
          <w:rFonts w:hint="eastAsia"/>
          <w:kern w:val="0"/>
          <w:sz w:val="24"/>
          <w:szCs w:val="22"/>
        </w:rPr>
        <w:t xml:space="preserve"> </w:t>
      </w:r>
      <w:r>
        <w:rPr>
          <w:kern w:val="0"/>
          <w:sz w:val="24"/>
          <w:szCs w:val="22"/>
        </w:rPr>
        <w:t>体组成检测</w:t>
      </w:r>
    </w:p>
    <w:p w14:paraId="1715CC3E">
      <w:pPr>
        <w:widowControl/>
        <w:spacing w:after="60" w:line="360" w:lineRule="auto"/>
        <w:ind w:firstLine="420"/>
        <w:rPr>
          <w:kern w:val="0"/>
          <w:sz w:val="24"/>
          <w:szCs w:val="22"/>
        </w:rPr>
      </w:pPr>
      <w:r>
        <w:rPr>
          <w:kern w:val="0"/>
          <w:sz w:val="24"/>
          <w:szCs w:val="22"/>
        </w:rPr>
        <w:t>用标准方法（AOAC）测定全虾的水分、粗蛋白、粗脂肪和灰分。在105℃的烘箱中将待测样品烘干至恒重，测定水分含量；用杜马斯定氮仪（D200，海能仪器）测定样品干物质粗蛋白含量，用脂肪测定仪（SOX606，海能仪器）测定样品干物质粗脂肪含量，在马弗炉（SX470，永光明医疗仪器）中550℃高温充分灼烧6h测定粗灰分含量。</w:t>
      </w:r>
    </w:p>
    <w:p w14:paraId="3A4930B4">
      <w:pPr>
        <w:widowControl/>
        <w:spacing w:after="60" w:line="360" w:lineRule="auto"/>
        <w:rPr>
          <w:kern w:val="0"/>
          <w:sz w:val="24"/>
          <w:szCs w:val="22"/>
        </w:rPr>
      </w:pPr>
      <w:r>
        <w:rPr>
          <w:kern w:val="0"/>
          <w:sz w:val="24"/>
          <w:szCs w:val="22"/>
        </w:rPr>
        <w:t>1.4</w:t>
      </w:r>
      <w:r>
        <w:rPr>
          <w:rFonts w:hint="eastAsia"/>
          <w:kern w:val="0"/>
          <w:sz w:val="24"/>
          <w:szCs w:val="22"/>
        </w:rPr>
        <w:t xml:space="preserve"> </w:t>
      </w:r>
      <w:r>
        <w:rPr>
          <w:kern w:val="0"/>
          <w:sz w:val="24"/>
          <w:szCs w:val="22"/>
        </w:rPr>
        <w:t>血浆生化指标和肝胰腺抗氧化酶活检测</w:t>
      </w:r>
    </w:p>
    <w:p w14:paraId="24DE3C7D">
      <w:pPr>
        <w:widowControl/>
        <w:spacing w:after="60" w:line="360" w:lineRule="auto"/>
        <w:ind w:firstLine="420"/>
        <w:rPr>
          <w:kern w:val="0"/>
          <w:sz w:val="24"/>
          <w:szCs w:val="22"/>
        </w:rPr>
      </w:pPr>
      <w:r>
        <w:rPr>
          <w:kern w:val="0"/>
          <w:sz w:val="24"/>
          <w:szCs w:val="22"/>
        </w:rPr>
        <w:t>将血浆从–80℃取出后置于冰上解冻，检测血氨（A086-2）、胆固醇（TCH， A111-1）、甘油三酯（TG，A110-1）和白蛋白（ALB，A028-2）的浓度及谷草转氨酶（AST，C010-2）和谷丙转氨酶（ALT，C009-2）活性，并检测肝胰腺溶菌酶（LZM，A050-1）、过氧化氢酶（CAT， A007-1）、超氧化物歧化酶（SOD，A001-3）、总抗氧化能力 （T-AOC，A015-1）、还原型谷胱甘肽（GSH，A006-2）和丙二醛（MDA，A003-1），上述生化指标均使用南京建成生物公司的试剂盒检测，使用时严格按照说明书的步骤进行。</w:t>
      </w:r>
    </w:p>
    <w:p w14:paraId="7CC34BBE">
      <w:pPr>
        <w:widowControl/>
        <w:spacing w:after="60" w:line="360" w:lineRule="auto"/>
        <w:rPr>
          <w:kern w:val="0"/>
          <w:sz w:val="24"/>
          <w:szCs w:val="22"/>
        </w:rPr>
      </w:pPr>
      <w:r>
        <w:rPr>
          <w:kern w:val="0"/>
          <w:sz w:val="24"/>
          <w:szCs w:val="22"/>
        </w:rPr>
        <w:t>1.5</w:t>
      </w:r>
      <w:r>
        <w:rPr>
          <w:rFonts w:hint="eastAsia"/>
          <w:kern w:val="0"/>
          <w:sz w:val="24"/>
          <w:szCs w:val="22"/>
        </w:rPr>
        <w:t xml:space="preserve"> </w:t>
      </w:r>
      <w:r>
        <w:rPr>
          <w:kern w:val="0"/>
          <w:sz w:val="24"/>
          <w:szCs w:val="22"/>
        </w:rPr>
        <w:t>肠道组织切片制作和观察</w:t>
      </w:r>
    </w:p>
    <w:p w14:paraId="6B3DAB09">
      <w:pPr>
        <w:widowControl/>
        <w:spacing w:after="60" w:line="360" w:lineRule="auto"/>
        <w:ind w:firstLine="420"/>
        <w:rPr>
          <w:kern w:val="0"/>
          <w:sz w:val="24"/>
          <w:szCs w:val="22"/>
        </w:rPr>
      </w:pPr>
      <w:r>
        <w:rPr>
          <w:kern w:val="0"/>
          <w:sz w:val="24"/>
          <w:szCs w:val="22"/>
        </w:rPr>
        <w:t>取固定好的肠道样品，先经梯度酒精和二甲苯脱水，再用石蜡包埋。将包埋组织切片后进行HE染色，染色完成后用中性树脂封片。镜检后用Image-Pro Plus 6.0软件对肠绒毛高度定量分析。</w:t>
      </w:r>
    </w:p>
    <w:p w14:paraId="37D77194">
      <w:pPr>
        <w:widowControl/>
        <w:spacing w:after="60" w:line="360" w:lineRule="auto"/>
        <w:rPr>
          <w:kern w:val="0"/>
          <w:sz w:val="24"/>
          <w:szCs w:val="22"/>
        </w:rPr>
      </w:pPr>
      <w:r>
        <w:rPr>
          <w:kern w:val="0"/>
          <w:sz w:val="24"/>
          <w:szCs w:val="22"/>
        </w:rPr>
        <w:t>1.6</w:t>
      </w:r>
      <w:r>
        <w:rPr>
          <w:rFonts w:hint="eastAsia"/>
          <w:kern w:val="0"/>
          <w:sz w:val="24"/>
          <w:szCs w:val="22"/>
        </w:rPr>
        <w:t xml:space="preserve"> </w:t>
      </w:r>
      <w:r>
        <w:rPr>
          <w:kern w:val="0"/>
          <w:sz w:val="24"/>
          <w:szCs w:val="22"/>
        </w:rPr>
        <w:t>实时荧光定量PCR</w:t>
      </w:r>
    </w:p>
    <w:p w14:paraId="5F2D179A">
      <w:pPr>
        <w:widowControl/>
        <w:spacing w:after="60" w:line="360" w:lineRule="auto"/>
        <w:ind w:firstLine="420"/>
        <w:rPr>
          <w:kern w:val="0"/>
          <w:sz w:val="24"/>
          <w:szCs w:val="22"/>
        </w:rPr>
      </w:pPr>
      <w:r>
        <w:rPr>
          <w:kern w:val="0"/>
          <w:sz w:val="24"/>
          <w:szCs w:val="22"/>
        </w:rPr>
        <w:t xml:space="preserve">RNA的提取按照碧云天生物公司的RNAeasy </w:t>
      </w:r>
      <w:r>
        <w:rPr>
          <w:kern w:val="0"/>
          <w:sz w:val="24"/>
          <w:szCs w:val="22"/>
          <w:vertAlign w:val="superscript"/>
        </w:rPr>
        <w:t>TM</w:t>
      </w:r>
      <w:r>
        <w:rPr>
          <w:kern w:val="0"/>
          <w:sz w:val="24"/>
          <w:szCs w:val="22"/>
        </w:rPr>
        <w:t>动物RNA抽提试剂盒（离心柱式）里所提供的说明书操作，提取出肠道、肌肉和肝胰腺中的RNA。使用PrimeScript</w:t>
      </w:r>
      <w:r>
        <w:rPr>
          <w:kern w:val="0"/>
          <w:sz w:val="24"/>
          <w:szCs w:val="22"/>
          <w:vertAlign w:val="superscript"/>
        </w:rPr>
        <w:t>TM</w:t>
      </w:r>
      <w:r>
        <w:rPr>
          <w:rFonts w:hint="eastAsia"/>
          <w:kern w:val="0"/>
          <w:sz w:val="24"/>
          <w:szCs w:val="22"/>
          <w:vertAlign w:val="superscript"/>
        </w:rPr>
        <w:t xml:space="preserve"> </w:t>
      </w:r>
      <w:r>
        <w:rPr>
          <w:kern w:val="0"/>
          <w:sz w:val="24"/>
          <w:szCs w:val="22"/>
        </w:rPr>
        <w:t>RT试剂盒（TaKaRa）和定量热循环仪（Mastercycler ep realplex，Eppendorf，德国）进行RNA反转录。使用BlasTaq</w:t>
      </w:r>
      <w:r>
        <w:rPr>
          <w:kern w:val="0"/>
          <w:sz w:val="24"/>
          <w:szCs w:val="22"/>
          <w:vertAlign w:val="superscript"/>
        </w:rPr>
        <w:t>TM</w:t>
      </w:r>
      <w:r>
        <w:rPr>
          <w:kern w:val="0"/>
          <w:sz w:val="24"/>
          <w:szCs w:val="22"/>
        </w:rPr>
        <w:t xml:space="preserve"> 2X qPCR MasterMix（abm）试剂和qRT-PCR定量仪（CFX96</w:t>
      </w:r>
      <w:r>
        <w:rPr>
          <w:kern w:val="0"/>
          <w:sz w:val="24"/>
          <w:szCs w:val="22"/>
          <w:vertAlign w:val="superscript"/>
        </w:rPr>
        <w:t>TM</w:t>
      </w:r>
      <w:r>
        <w:rPr>
          <w:kern w:val="0"/>
          <w:sz w:val="24"/>
          <w:szCs w:val="22"/>
        </w:rPr>
        <w:t xml:space="preserve"> Real-time System，BIO-RAD，美国）进行定量逆转录聚合酶链式反应检测。内参基因为</w:t>
      </w:r>
      <w:r>
        <w:rPr>
          <w:kern w:val="0"/>
          <w:sz w:val="24"/>
          <w:szCs w:val="22"/>
          <w:lang w:eastAsia="en-US"/>
        </w:rPr>
        <w:t>β</w:t>
      </w:r>
      <w:r>
        <w:rPr>
          <w:kern w:val="0"/>
          <w:sz w:val="24"/>
          <w:szCs w:val="22"/>
        </w:rPr>
        <w:t>-actin，采用2</w:t>
      </w:r>
      <w:r>
        <w:rPr>
          <w:kern w:val="0"/>
          <w:sz w:val="24"/>
          <w:szCs w:val="22"/>
          <w:vertAlign w:val="superscript"/>
        </w:rPr>
        <w:t>−∆∆Ct</w:t>
      </w:r>
      <w:r>
        <w:rPr>
          <w:kern w:val="0"/>
          <w:sz w:val="24"/>
          <w:szCs w:val="22"/>
        </w:rPr>
        <w:t>方法计算各目的基因的相对表达量。qRT-PCR的具体引物序列见表2。</w:t>
      </w:r>
    </w:p>
    <w:p w14:paraId="5FEF4ACE">
      <w:pPr>
        <w:widowControl/>
        <w:spacing w:after="60" w:line="360" w:lineRule="auto"/>
        <w:jc w:val="center"/>
        <w:rPr>
          <w:kern w:val="0"/>
          <w:sz w:val="24"/>
          <w:szCs w:val="22"/>
        </w:rPr>
      </w:pPr>
      <w:r>
        <w:rPr>
          <w:kern w:val="0"/>
          <w:sz w:val="24"/>
          <w:szCs w:val="22"/>
        </w:rPr>
        <w:drawing>
          <wp:inline distT="0" distB="0" distL="0" distR="0">
            <wp:extent cx="2847340" cy="4626610"/>
            <wp:effectExtent l="0" t="0" r="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5"/>
                    <a:stretch>
                      <a:fillRect/>
                    </a:stretch>
                  </pic:blipFill>
                  <pic:spPr>
                    <a:xfrm>
                      <a:off x="0" y="0"/>
                      <a:ext cx="2860769" cy="4647882"/>
                    </a:xfrm>
                    <a:prstGeom prst="rect">
                      <a:avLst/>
                    </a:prstGeom>
                  </pic:spPr>
                </pic:pic>
              </a:graphicData>
            </a:graphic>
          </wp:inline>
        </w:drawing>
      </w:r>
    </w:p>
    <w:p w14:paraId="7A15B532">
      <w:pPr>
        <w:widowControl/>
        <w:spacing w:after="60" w:line="360" w:lineRule="auto"/>
        <w:rPr>
          <w:kern w:val="0"/>
          <w:sz w:val="24"/>
          <w:szCs w:val="22"/>
        </w:rPr>
      </w:pPr>
      <w:r>
        <w:rPr>
          <w:kern w:val="0"/>
          <w:sz w:val="24"/>
          <w:szCs w:val="22"/>
        </w:rPr>
        <w:t>1.7</w:t>
      </w:r>
      <w:r>
        <w:rPr>
          <w:rFonts w:hint="eastAsia"/>
          <w:kern w:val="0"/>
          <w:sz w:val="24"/>
          <w:szCs w:val="22"/>
        </w:rPr>
        <w:t xml:space="preserve"> </w:t>
      </w:r>
      <w:r>
        <w:rPr>
          <w:kern w:val="0"/>
          <w:sz w:val="24"/>
          <w:szCs w:val="22"/>
        </w:rPr>
        <w:t>肌肉游离氨基酸检测</w:t>
      </w:r>
    </w:p>
    <w:p w14:paraId="2DD542BD">
      <w:pPr>
        <w:widowControl/>
        <w:spacing w:after="60" w:line="360" w:lineRule="auto"/>
        <w:ind w:firstLine="420"/>
        <w:rPr>
          <w:kern w:val="0"/>
          <w:sz w:val="24"/>
          <w:szCs w:val="22"/>
        </w:rPr>
      </w:pPr>
      <w:r>
        <w:rPr>
          <w:kern w:val="0"/>
          <w:sz w:val="24"/>
          <w:szCs w:val="22"/>
        </w:rPr>
        <w:t xml:space="preserve">取待测肌肉样品置于2 mL磨样管中，加入19倍体积的10%磺基水杨酸，放到组织匀浆器中充分匀浆，取出后于4℃离心机中13000 r/min离心15min，用一次性注射器吸取上清液，再经0.2 </w:t>
      </w:r>
      <w:r>
        <w:rPr>
          <w:kern w:val="0"/>
          <w:sz w:val="24"/>
          <w:szCs w:val="22"/>
          <w:lang w:eastAsia="en-US"/>
        </w:rPr>
        <w:t>μ</w:t>
      </w:r>
      <w:r>
        <w:rPr>
          <w:kern w:val="0"/>
          <w:sz w:val="24"/>
          <w:szCs w:val="22"/>
        </w:rPr>
        <w:t>m滤膜过滤后加入进样瓶中，使用全自动氨基酸检测仪（L-8900，HITACHI，日本）检测游离氨基酸含量。</w:t>
      </w:r>
    </w:p>
    <w:p w14:paraId="696E2500">
      <w:pPr>
        <w:widowControl/>
        <w:spacing w:after="60" w:line="360" w:lineRule="auto"/>
        <w:rPr>
          <w:kern w:val="0"/>
          <w:sz w:val="24"/>
          <w:szCs w:val="22"/>
        </w:rPr>
      </w:pPr>
      <w:r>
        <w:rPr>
          <w:kern w:val="0"/>
          <w:sz w:val="24"/>
          <w:szCs w:val="22"/>
        </w:rPr>
        <w:t>1.8</w:t>
      </w:r>
      <w:r>
        <w:rPr>
          <w:rFonts w:hint="eastAsia"/>
          <w:kern w:val="0"/>
          <w:sz w:val="24"/>
          <w:szCs w:val="22"/>
        </w:rPr>
        <w:t xml:space="preserve"> </w:t>
      </w:r>
      <w:r>
        <w:rPr>
          <w:kern w:val="0"/>
          <w:sz w:val="24"/>
          <w:szCs w:val="22"/>
        </w:rPr>
        <w:t>能量代谢相关产物含量检测</w:t>
      </w:r>
    </w:p>
    <w:p w14:paraId="418E50C2">
      <w:pPr>
        <w:widowControl/>
        <w:spacing w:after="60" w:line="360" w:lineRule="auto"/>
        <w:ind w:firstLine="420"/>
        <w:rPr>
          <w:kern w:val="0"/>
          <w:sz w:val="24"/>
          <w:szCs w:val="22"/>
        </w:rPr>
      </w:pPr>
      <w:r>
        <w:rPr>
          <w:kern w:val="0"/>
          <w:sz w:val="24"/>
          <w:szCs w:val="22"/>
        </w:rPr>
        <w:t>用LC-MS/MS质谱仪（QTRAP 5500，AB Sciex，美国）分析肝胰腺中与能量代谢相关的代谢产物。将低温保存的肝胰腺组织用裂解液（甲醇﹕乙腈﹕水=2﹕2﹕1）匀浆，并加入</w:t>
      </w:r>
      <w:r>
        <w:rPr>
          <w:kern w:val="0"/>
          <w:sz w:val="24"/>
          <w:szCs w:val="22"/>
          <w:vertAlign w:val="superscript"/>
        </w:rPr>
        <w:t>13</w:t>
      </w:r>
      <w:r>
        <w:rPr>
          <w:kern w:val="0"/>
          <w:sz w:val="24"/>
          <w:szCs w:val="22"/>
        </w:rPr>
        <w:t>C-葡萄糖和D</w:t>
      </w:r>
      <w:r>
        <w:rPr>
          <w:kern w:val="0"/>
          <w:sz w:val="24"/>
          <w:szCs w:val="22"/>
          <w:vertAlign w:val="subscript"/>
        </w:rPr>
        <w:t>5</w:t>
      </w:r>
      <w:r>
        <w:rPr>
          <w:kern w:val="0"/>
          <w:sz w:val="24"/>
          <w:szCs w:val="22"/>
        </w:rPr>
        <w:t xml:space="preserve">-Phe作为内标。匀浆后置于–20℃沉淀1h，13000 r/min离心15min后取上清液上机检测，扫描模式为正/负离子模式下的多反应监测（MRM）。取5 </w:t>
      </w:r>
      <w:r>
        <w:rPr>
          <w:kern w:val="0"/>
          <w:sz w:val="24"/>
          <w:szCs w:val="22"/>
          <w:lang w:eastAsia="en-US"/>
        </w:rPr>
        <w:t>μ</w:t>
      </w:r>
      <w:r>
        <w:rPr>
          <w:kern w:val="0"/>
          <w:sz w:val="24"/>
          <w:szCs w:val="22"/>
        </w:rPr>
        <w:t xml:space="preserve">L代谢物提取物进样，色谱柱采用酰胺柱（100 mm×2.1 mm，1.7 </w:t>
      </w:r>
      <w:r>
        <w:rPr>
          <w:kern w:val="0"/>
          <w:sz w:val="24"/>
          <w:szCs w:val="22"/>
          <w:lang w:eastAsia="en-US"/>
        </w:rPr>
        <w:t>μ</w:t>
      </w:r>
      <w:r>
        <w:rPr>
          <w:kern w:val="0"/>
          <w:sz w:val="24"/>
          <w:szCs w:val="22"/>
        </w:rPr>
        <w:t xml:space="preserve">m；Waters，爱尔兰）；流动相A为水相溶液（含5%乙腈、20 mmol/L乙酸铵、20 mmol/L氢氧化铵，pH 9.0），流动相B为纯乙腈，流速恒定为300 </w:t>
      </w:r>
      <w:r>
        <w:rPr>
          <w:kern w:val="0"/>
          <w:sz w:val="24"/>
          <w:szCs w:val="22"/>
          <w:lang w:eastAsia="en-US"/>
        </w:rPr>
        <w:t>μ</w:t>
      </w:r>
      <w:r>
        <w:rPr>
          <w:kern w:val="0"/>
          <w:sz w:val="24"/>
          <w:szCs w:val="22"/>
        </w:rPr>
        <w:t>L/min。液相洗脱梯度设置: 初始条件为95%B；1—12min，B由95%线性降至55%；12—13min，B由55%线性降至40%；13—15min，保持40%B；15—15.1min，B由40%线性回升至95%；15.1—18min，维持95%B。</w:t>
      </w:r>
    </w:p>
    <w:p w14:paraId="0BBD0190">
      <w:pPr>
        <w:widowControl/>
        <w:spacing w:after="60" w:line="360" w:lineRule="auto"/>
        <w:rPr>
          <w:kern w:val="0"/>
          <w:sz w:val="24"/>
          <w:szCs w:val="22"/>
        </w:rPr>
      </w:pPr>
      <w:r>
        <w:rPr>
          <w:kern w:val="0"/>
          <w:sz w:val="24"/>
          <w:szCs w:val="22"/>
        </w:rPr>
        <w:t>1.9</w:t>
      </w:r>
      <w:r>
        <w:rPr>
          <w:rFonts w:hint="eastAsia"/>
          <w:kern w:val="0"/>
          <w:sz w:val="24"/>
          <w:szCs w:val="22"/>
        </w:rPr>
        <w:t xml:space="preserve"> </w:t>
      </w:r>
      <w:r>
        <w:rPr>
          <w:kern w:val="0"/>
          <w:sz w:val="24"/>
          <w:szCs w:val="22"/>
        </w:rPr>
        <w:t>计算公式及统计学分析</w:t>
      </w:r>
    </w:p>
    <w:p w14:paraId="6CF1B80B">
      <w:pPr>
        <w:widowControl/>
        <w:spacing w:after="60" w:line="360" w:lineRule="auto"/>
        <w:ind w:firstLine="420"/>
        <w:rPr>
          <w:kern w:val="0"/>
          <w:sz w:val="24"/>
          <w:szCs w:val="22"/>
        </w:rPr>
      </w:pPr>
      <w:r>
        <w:rPr>
          <w:kern w:val="0"/>
          <w:sz w:val="24"/>
          <w:szCs w:val="22"/>
        </w:rPr>
        <w:t>存活率（SR）、增重率（WGR）、饲料系数（FCR）、特定生长率（SGR）、摄食率（FI）和蛋白质效率（PER）的计算公式:</w:t>
      </w:r>
    </w:p>
    <w:p w14:paraId="102E69D2">
      <w:pPr>
        <w:widowControl/>
        <w:spacing w:after="60" w:line="360" w:lineRule="auto"/>
        <w:ind w:firstLine="420"/>
        <w:rPr>
          <w:kern w:val="0"/>
          <w:sz w:val="24"/>
          <w:szCs w:val="22"/>
          <w:lang w:eastAsia="en-US"/>
        </w:rPr>
      </w:pPr>
      <w:r>
        <w:rPr>
          <w:kern w:val="0"/>
          <w:sz w:val="24"/>
          <w:szCs w:val="22"/>
          <w:lang w:eastAsia="en-US"/>
        </w:rPr>
        <w:t>存活率（Survival rate，SR，%）=N</w:t>
      </w:r>
      <w:r>
        <w:rPr>
          <w:kern w:val="0"/>
          <w:sz w:val="24"/>
          <w:szCs w:val="22"/>
          <w:vertAlign w:val="subscript"/>
          <w:lang w:eastAsia="en-US"/>
        </w:rPr>
        <w:t>t</w:t>
      </w:r>
      <w:r>
        <w:rPr>
          <w:kern w:val="0"/>
          <w:sz w:val="24"/>
          <w:szCs w:val="22"/>
          <w:lang w:eastAsia="en-US"/>
        </w:rPr>
        <w:t>/N</w:t>
      </w:r>
      <w:r>
        <w:rPr>
          <w:kern w:val="0"/>
          <w:sz w:val="24"/>
          <w:szCs w:val="22"/>
          <w:vertAlign w:val="subscript"/>
          <w:lang w:eastAsia="en-US"/>
        </w:rPr>
        <w:t>0</w:t>
      </w:r>
      <w:r>
        <w:rPr>
          <w:kern w:val="0"/>
          <w:sz w:val="24"/>
          <w:szCs w:val="22"/>
          <w:lang w:eastAsia="en-US"/>
        </w:rPr>
        <w:t>×100</w:t>
      </w:r>
    </w:p>
    <w:p w14:paraId="5F9E5F73">
      <w:pPr>
        <w:widowControl/>
        <w:spacing w:after="60" w:line="360" w:lineRule="auto"/>
        <w:ind w:firstLine="420"/>
        <w:rPr>
          <w:kern w:val="0"/>
          <w:sz w:val="24"/>
          <w:szCs w:val="22"/>
          <w:lang w:eastAsia="en-US"/>
        </w:rPr>
      </w:pPr>
      <w:r>
        <w:rPr>
          <w:kern w:val="0"/>
          <w:sz w:val="24"/>
          <w:szCs w:val="22"/>
          <w:lang w:eastAsia="en-US"/>
        </w:rPr>
        <w:t>增重率（WGR，%）=（W</w:t>
      </w:r>
      <w:r>
        <w:rPr>
          <w:kern w:val="0"/>
          <w:sz w:val="24"/>
          <w:szCs w:val="22"/>
          <w:vertAlign w:val="subscript"/>
          <w:lang w:eastAsia="en-US"/>
        </w:rPr>
        <w:t>t</w:t>
      </w:r>
      <w:r>
        <w:rPr>
          <w:kern w:val="0"/>
          <w:sz w:val="24"/>
          <w:szCs w:val="22"/>
          <w:lang w:eastAsia="en-US"/>
        </w:rPr>
        <w:t>−W</w:t>
      </w:r>
      <w:r>
        <w:rPr>
          <w:kern w:val="0"/>
          <w:sz w:val="24"/>
          <w:szCs w:val="22"/>
          <w:vertAlign w:val="subscript"/>
          <w:lang w:eastAsia="en-US"/>
        </w:rPr>
        <w:t>0</w:t>
      </w:r>
      <w:r>
        <w:rPr>
          <w:kern w:val="0"/>
          <w:sz w:val="24"/>
          <w:szCs w:val="22"/>
          <w:lang w:eastAsia="en-US"/>
        </w:rPr>
        <w:t>）/W</w:t>
      </w:r>
      <w:r>
        <w:rPr>
          <w:kern w:val="0"/>
          <w:sz w:val="24"/>
          <w:szCs w:val="22"/>
          <w:vertAlign w:val="subscript"/>
          <w:lang w:eastAsia="en-US"/>
        </w:rPr>
        <w:t>0</w:t>
      </w:r>
      <w:r>
        <w:rPr>
          <w:kern w:val="0"/>
          <w:sz w:val="24"/>
          <w:szCs w:val="22"/>
          <w:lang w:eastAsia="en-US"/>
        </w:rPr>
        <w:t>×100</w:t>
      </w:r>
    </w:p>
    <w:p w14:paraId="59C0A787">
      <w:pPr>
        <w:widowControl/>
        <w:spacing w:after="60" w:line="360" w:lineRule="auto"/>
        <w:ind w:firstLine="420"/>
        <w:rPr>
          <w:kern w:val="0"/>
          <w:sz w:val="24"/>
          <w:szCs w:val="22"/>
        </w:rPr>
      </w:pPr>
      <w:r>
        <w:rPr>
          <w:kern w:val="0"/>
          <w:sz w:val="24"/>
          <w:szCs w:val="22"/>
        </w:rPr>
        <w:t>饲料系数（FCR）=W</w:t>
      </w:r>
      <w:r>
        <w:rPr>
          <w:kern w:val="0"/>
          <w:sz w:val="24"/>
          <w:szCs w:val="22"/>
          <w:vertAlign w:val="subscript"/>
        </w:rPr>
        <w:t>f</w:t>
      </w:r>
      <w:r>
        <w:rPr>
          <w:kern w:val="0"/>
          <w:sz w:val="24"/>
          <w:szCs w:val="22"/>
        </w:rPr>
        <w:t>/（W</w:t>
      </w:r>
      <w:r>
        <w:rPr>
          <w:kern w:val="0"/>
          <w:sz w:val="24"/>
          <w:szCs w:val="22"/>
          <w:vertAlign w:val="subscript"/>
        </w:rPr>
        <w:t>t</w:t>
      </w:r>
      <w:r>
        <w:rPr>
          <w:kern w:val="0"/>
          <w:sz w:val="24"/>
          <w:szCs w:val="22"/>
        </w:rPr>
        <w:t>−W</w:t>
      </w:r>
      <w:r>
        <w:rPr>
          <w:kern w:val="0"/>
          <w:sz w:val="24"/>
          <w:szCs w:val="22"/>
          <w:vertAlign w:val="subscript"/>
        </w:rPr>
        <w:t>0</w:t>
      </w:r>
      <w:r>
        <w:rPr>
          <w:kern w:val="0"/>
          <w:sz w:val="24"/>
          <w:szCs w:val="22"/>
        </w:rPr>
        <w:t>）</w:t>
      </w:r>
    </w:p>
    <w:p w14:paraId="4EE7BD55">
      <w:pPr>
        <w:widowControl/>
        <w:spacing w:after="60" w:line="360" w:lineRule="auto"/>
        <w:ind w:firstLine="420"/>
        <w:rPr>
          <w:kern w:val="0"/>
          <w:sz w:val="24"/>
          <w:szCs w:val="22"/>
          <w:lang w:eastAsia="en-US"/>
        </w:rPr>
      </w:pPr>
      <w:r>
        <w:rPr>
          <w:kern w:val="0"/>
          <w:sz w:val="24"/>
          <w:szCs w:val="22"/>
          <w:lang w:eastAsia="en-US"/>
        </w:rPr>
        <w:t>特定生长率（SGR，%/d）=（lnW</w:t>
      </w:r>
      <w:r>
        <w:rPr>
          <w:kern w:val="0"/>
          <w:sz w:val="24"/>
          <w:szCs w:val="22"/>
          <w:vertAlign w:val="subscript"/>
          <w:lang w:eastAsia="en-US"/>
        </w:rPr>
        <w:t>t</w:t>
      </w:r>
      <w:r>
        <w:rPr>
          <w:kern w:val="0"/>
          <w:sz w:val="24"/>
          <w:szCs w:val="22"/>
          <w:lang w:eastAsia="en-US"/>
        </w:rPr>
        <w:t>−ln W</w:t>
      </w:r>
      <w:r>
        <w:rPr>
          <w:kern w:val="0"/>
          <w:sz w:val="24"/>
          <w:szCs w:val="22"/>
          <w:vertAlign w:val="subscript"/>
          <w:lang w:eastAsia="en-US"/>
        </w:rPr>
        <w:t>0</w:t>
      </w:r>
      <w:r>
        <w:rPr>
          <w:kern w:val="0"/>
          <w:sz w:val="24"/>
          <w:szCs w:val="22"/>
          <w:lang w:eastAsia="en-US"/>
        </w:rPr>
        <w:t>）/t×100</w:t>
      </w:r>
    </w:p>
    <w:p w14:paraId="2B57572C">
      <w:pPr>
        <w:widowControl/>
        <w:spacing w:after="60" w:line="360" w:lineRule="auto"/>
        <w:ind w:firstLine="420"/>
        <w:rPr>
          <w:kern w:val="0"/>
          <w:sz w:val="24"/>
          <w:szCs w:val="22"/>
          <w:lang w:eastAsia="en-US"/>
        </w:rPr>
      </w:pPr>
      <w:r>
        <w:rPr>
          <w:rFonts w:hint="eastAsia"/>
          <w:kern w:val="0"/>
          <w:sz w:val="24"/>
          <w:szCs w:val="22"/>
          <w:lang w:eastAsia="en-US"/>
        </w:rPr>
        <w:t>摄食率</w:t>
      </w:r>
      <w:r>
        <w:rPr>
          <w:kern w:val="0"/>
          <w:sz w:val="24"/>
          <w:szCs w:val="22"/>
          <w:lang w:eastAsia="en-US"/>
        </w:rPr>
        <w:t>（</w:t>
      </w:r>
      <w:r>
        <w:rPr>
          <w:rFonts w:hint="eastAsia"/>
          <w:kern w:val="0"/>
          <w:sz w:val="24"/>
          <w:szCs w:val="22"/>
          <w:lang w:eastAsia="en-US"/>
        </w:rPr>
        <w:t>FI, %/d</w:t>
      </w:r>
      <w:r>
        <w:rPr>
          <w:kern w:val="0"/>
          <w:sz w:val="24"/>
          <w:szCs w:val="22"/>
          <w:lang w:eastAsia="en-US"/>
        </w:rPr>
        <w:t>）</w:t>
      </w:r>
      <w:r>
        <w:rPr>
          <w:rFonts w:hint="eastAsia"/>
          <w:kern w:val="0"/>
          <w:sz w:val="24"/>
          <w:szCs w:val="22"/>
          <w:lang w:eastAsia="en-US"/>
        </w:rPr>
        <w:t>=Wf</w:t>
      </w:r>
      <w:r>
        <w:rPr>
          <w:kern w:val="0"/>
          <w:sz w:val="24"/>
          <w:szCs w:val="22"/>
          <w:lang w:eastAsia="en-US"/>
        </w:rPr>
        <w:t>/[（Wt+W0）/2]/t×100</w:t>
      </w:r>
    </w:p>
    <w:p w14:paraId="50B7FF09">
      <w:pPr>
        <w:widowControl/>
        <w:spacing w:after="60" w:line="360" w:lineRule="auto"/>
        <w:ind w:firstLine="420"/>
        <w:rPr>
          <w:kern w:val="0"/>
          <w:sz w:val="24"/>
          <w:szCs w:val="22"/>
        </w:rPr>
      </w:pPr>
      <w:r>
        <w:rPr>
          <w:kern w:val="0"/>
          <w:sz w:val="24"/>
          <w:szCs w:val="22"/>
        </w:rPr>
        <w:t>蛋白质效率（PER）=（Wt−W0）/m</w:t>
      </w:r>
      <w:r>
        <w:rPr>
          <w:kern w:val="0"/>
          <w:sz w:val="24"/>
          <w:szCs w:val="22"/>
          <w:vertAlign w:val="subscript"/>
        </w:rPr>
        <w:t>pro</w:t>
      </w:r>
      <w:r>
        <w:rPr>
          <w:rFonts w:hint="eastAsia"/>
          <w:kern w:val="0"/>
          <w:sz w:val="24"/>
          <w:szCs w:val="22"/>
          <w:vertAlign w:val="subscript"/>
        </w:rPr>
        <w:t xml:space="preserve"> </w:t>
      </w:r>
    </w:p>
    <w:p w14:paraId="3DBFE41F">
      <w:pPr>
        <w:widowControl/>
        <w:spacing w:after="60" w:line="360" w:lineRule="auto"/>
        <w:ind w:firstLine="420"/>
        <w:rPr>
          <w:kern w:val="0"/>
          <w:sz w:val="24"/>
          <w:szCs w:val="22"/>
        </w:rPr>
      </w:pPr>
      <w:r>
        <w:rPr>
          <w:kern w:val="0"/>
          <w:sz w:val="24"/>
          <w:szCs w:val="22"/>
        </w:rPr>
        <w:t>式中，W</w:t>
      </w:r>
      <w:r>
        <w:rPr>
          <w:kern w:val="0"/>
          <w:sz w:val="24"/>
          <w:szCs w:val="22"/>
          <w:vertAlign w:val="subscript"/>
        </w:rPr>
        <w:t>t</w:t>
      </w:r>
      <w:r>
        <w:rPr>
          <w:kern w:val="0"/>
          <w:sz w:val="24"/>
          <w:szCs w:val="22"/>
        </w:rPr>
        <w:t>为终末体重（g），W</w:t>
      </w:r>
      <w:r>
        <w:rPr>
          <w:kern w:val="0"/>
          <w:sz w:val="24"/>
          <w:szCs w:val="22"/>
          <w:vertAlign w:val="subscript"/>
        </w:rPr>
        <w:t>0</w:t>
      </w:r>
      <w:r>
        <w:rPr>
          <w:kern w:val="0"/>
          <w:sz w:val="24"/>
          <w:szCs w:val="22"/>
        </w:rPr>
        <w:t>为初始体重（g），t为养殖天数（d），W</w:t>
      </w:r>
      <w:r>
        <w:rPr>
          <w:kern w:val="0"/>
          <w:sz w:val="24"/>
          <w:szCs w:val="22"/>
          <w:vertAlign w:val="subscript"/>
        </w:rPr>
        <w:t>f</w:t>
      </w:r>
      <w:r>
        <w:rPr>
          <w:kern w:val="0"/>
          <w:sz w:val="24"/>
          <w:szCs w:val="22"/>
        </w:rPr>
        <w:t>为摄食量（g），m</w:t>
      </w:r>
      <w:r>
        <w:rPr>
          <w:kern w:val="0"/>
          <w:sz w:val="24"/>
          <w:szCs w:val="22"/>
          <w:vertAlign w:val="subscript"/>
        </w:rPr>
        <w:t>pro</w:t>
      </w:r>
      <w:r>
        <w:rPr>
          <w:kern w:val="0"/>
          <w:sz w:val="24"/>
          <w:szCs w:val="22"/>
        </w:rPr>
        <w:t>为蛋白质摄入量（g），N</w:t>
      </w:r>
      <w:r>
        <w:rPr>
          <w:kern w:val="0"/>
          <w:sz w:val="24"/>
          <w:szCs w:val="22"/>
          <w:vertAlign w:val="subscript"/>
        </w:rPr>
        <w:t>t</w:t>
      </w:r>
      <w:r>
        <w:rPr>
          <w:kern w:val="0"/>
          <w:sz w:val="24"/>
          <w:szCs w:val="22"/>
        </w:rPr>
        <w:t>为终末数量（尾），N</w:t>
      </w:r>
      <w:r>
        <w:rPr>
          <w:kern w:val="0"/>
          <w:sz w:val="24"/>
          <w:szCs w:val="22"/>
          <w:vertAlign w:val="subscript"/>
        </w:rPr>
        <w:t>0</w:t>
      </w:r>
      <w:r>
        <w:rPr>
          <w:kern w:val="0"/>
          <w:sz w:val="24"/>
          <w:szCs w:val="22"/>
        </w:rPr>
        <w:t>为初始数量（尾）。</w:t>
      </w:r>
    </w:p>
    <w:p w14:paraId="059F49AA">
      <w:pPr>
        <w:widowControl/>
        <w:spacing w:after="60" w:line="360" w:lineRule="auto"/>
        <w:ind w:firstLine="420"/>
        <w:rPr>
          <w:kern w:val="0"/>
          <w:sz w:val="24"/>
          <w:szCs w:val="22"/>
        </w:rPr>
      </w:pPr>
      <w:r>
        <w:rPr>
          <w:kern w:val="0"/>
          <w:sz w:val="24"/>
          <w:szCs w:val="22"/>
        </w:rPr>
        <w:t>用SPSS 26.0对数据进行单因素方差分析（Oneway ANOVA），采用Tukey检验进行组间差异显著性分析，</w:t>
      </w:r>
      <w:r>
        <w:rPr>
          <w:i/>
          <w:kern w:val="0"/>
          <w:sz w:val="24"/>
          <w:szCs w:val="22"/>
        </w:rPr>
        <w:t>P</w:t>
      </w:r>
      <w:r>
        <w:rPr>
          <w:kern w:val="0"/>
          <w:sz w:val="24"/>
          <w:szCs w:val="22"/>
        </w:rPr>
        <w:t>&lt;0.05为差异显著，数据用平均值±标准误（mean±SE）表示。</w:t>
      </w:r>
    </w:p>
    <w:p w14:paraId="4AD9AE69">
      <w:pPr>
        <w:widowControl/>
        <w:spacing w:after="60" w:line="360" w:lineRule="auto"/>
        <w:rPr>
          <w:kern w:val="0"/>
          <w:sz w:val="24"/>
          <w:szCs w:val="22"/>
        </w:rPr>
      </w:pPr>
      <w:r>
        <w:rPr>
          <w:kern w:val="0"/>
          <w:sz w:val="24"/>
          <w:szCs w:val="22"/>
        </w:rPr>
        <w:t>2</w:t>
      </w:r>
      <w:r>
        <w:rPr>
          <w:rFonts w:hint="eastAsia"/>
          <w:kern w:val="0"/>
          <w:sz w:val="24"/>
          <w:szCs w:val="22"/>
        </w:rPr>
        <w:t xml:space="preserve"> </w:t>
      </w:r>
      <w:r>
        <w:rPr>
          <w:kern w:val="0"/>
          <w:sz w:val="24"/>
          <w:szCs w:val="22"/>
        </w:rPr>
        <w:t>结果</w:t>
      </w:r>
    </w:p>
    <w:p w14:paraId="1C04E011">
      <w:pPr>
        <w:widowControl/>
        <w:spacing w:after="60" w:line="360" w:lineRule="auto"/>
        <w:rPr>
          <w:kern w:val="0"/>
          <w:sz w:val="24"/>
          <w:szCs w:val="22"/>
        </w:rPr>
      </w:pPr>
      <w:r>
        <w:rPr>
          <w:kern w:val="0"/>
          <w:sz w:val="24"/>
          <w:szCs w:val="22"/>
        </w:rPr>
        <w:t>2.1</w:t>
      </w:r>
      <w:r>
        <w:rPr>
          <w:rFonts w:hint="eastAsia"/>
          <w:kern w:val="0"/>
          <w:sz w:val="24"/>
          <w:szCs w:val="22"/>
        </w:rPr>
        <w:t xml:space="preserve"> </w:t>
      </w:r>
      <w:r>
        <w:rPr>
          <w:kern w:val="0"/>
          <w:sz w:val="24"/>
          <w:szCs w:val="22"/>
        </w:rPr>
        <w:t>生长性能和饲料利用</w:t>
      </w:r>
    </w:p>
    <w:p w14:paraId="0214B190">
      <w:pPr>
        <w:widowControl/>
        <w:spacing w:after="60" w:line="360" w:lineRule="auto"/>
        <w:ind w:firstLine="420"/>
        <w:rPr>
          <w:kern w:val="0"/>
          <w:sz w:val="24"/>
          <w:szCs w:val="22"/>
        </w:rPr>
      </w:pPr>
      <w:r>
        <w:rPr>
          <w:kern w:val="0"/>
          <w:sz w:val="24"/>
          <w:szCs w:val="22"/>
        </w:rPr>
        <w:t>各组间存活率和摄食率无显著差异（表3）；与P40组相比， P42.5组对虾WGR和SGR显著增加（</w:t>
      </w:r>
      <w:r>
        <w:rPr>
          <w:i/>
          <w:kern w:val="0"/>
          <w:sz w:val="24"/>
          <w:szCs w:val="22"/>
        </w:rPr>
        <w:t>P</w:t>
      </w:r>
      <w:r>
        <w:rPr>
          <w:kern w:val="0"/>
          <w:sz w:val="24"/>
          <w:szCs w:val="22"/>
        </w:rPr>
        <w:t>&lt;0.05）；P45组对虾WGR和SGR显著低于P42.5组，同时显著高于P40组（</w:t>
      </w:r>
      <w:r>
        <w:rPr>
          <w:i/>
          <w:kern w:val="0"/>
          <w:sz w:val="24"/>
          <w:szCs w:val="22"/>
        </w:rPr>
        <w:t>P</w:t>
      </w:r>
      <w:r>
        <w:rPr>
          <w:kern w:val="0"/>
          <w:sz w:val="24"/>
          <w:szCs w:val="22"/>
        </w:rPr>
        <w:t>&lt;0.05）。饲料利用结果显示，P42.5组对虾FCR显著低于其他两组 （</w:t>
      </w:r>
      <w:r>
        <w:rPr>
          <w:i/>
          <w:kern w:val="0"/>
          <w:sz w:val="24"/>
          <w:szCs w:val="22"/>
        </w:rPr>
        <w:t>P</w:t>
      </w:r>
      <w:r>
        <w:rPr>
          <w:kern w:val="0"/>
          <w:sz w:val="24"/>
          <w:szCs w:val="22"/>
        </w:rPr>
        <w:t>&lt;0.05）；在PER方面，与P40组相比，P45组对虾PER显著降低（</w:t>
      </w:r>
      <w:r>
        <w:rPr>
          <w:i/>
          <w:kern w:val="0"/>
          <w:sz w:val="24"/>
          <w:szCs w:val="22"/>
        </w:rPr>
        <w:t>P</w:t>
      </w:r>
      <w:r>
        <w:rPr>
          <w:kern w:val="0"/>
          <w:sz w:val="24"/>
          <w:szCs w:val="22"/>
        </w:rPr>
        <w:t>&lt;0.05），而P40组与P42.5组对虾PER无显著差异（</w:t>
      </w:r>
      <w:r>
        <w:rPr>
          <w:i/>
          <w:kern w:val="0"/>
          <w:sz w:val="24"/>
          <w:szCs w:val="22"/>
        </w:rPr>
        <w:t>P</w:t>
      </w:r>
      <w:r>
        <w:rPr>
          <w:kern w:val="0"/>
          <w:sz w:val="24"/>
          <w:szCs w:val="22"/>
        </w:rPr>
        <w:t>&gt;0.05）。</w:t>
      </w:r>
    </w:p>
    <w:p w14:paraId="6EEC9C6E">
      <w:pPr>
        <w:widowControl/>
        <w:spacing w:after="60" w:line="360" w:lineRule="auto"/>
        <w:jc w:val="center"/>
        <w:rPr>
          <w:kern w:val="0"/>
          <w:sz w:val="24"/>
          <w:szCs w:val="22"/>
        </w:rPr>
      </w:pPr>
      <w:r>
        <w:rPr>
          <w:kern w:val="0"/>
          <w:sz w:val="24"/>
          <w:szCs w:val="22"/>
        </w:rPr>
        <w:drawing>
          <wp:inline distT="0" distB="0" distL="0" distR="0">
            <wp:extent cx="3933825" cy="3686175"/>
            <wp:effectExtent l="0" t="0" r="952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6"/>
                    <a:stretch>
                      <a:fillRect/>
                    </a:stretch>
                  </pic:blipFill>
                  <pic:spPr>
                    <a:xfrm>
                      <a:off x="0" y="0"/>
                      <a:ext cx="3934374" cy="3686689"/>
                    </a:xfrm>
                    <a:prstGeom prst="rect">
                      <a:avLst/>
                    </a:prstGeom>
                  </pic:spPr>
                </pic:pic>
              </a:graphicData>
            </a:graphic>
          </wp:inline>
        </w:drawing>
      </w:r>
    </w:p>
    <w:p w14:paraId="063A0DDF">
      <w:pPr>
        <w:widowControl/>
        <w:spacing w:after="60" w:line="360" w:lineRule="auto"/>
        <w:rPr>
          <w:kern w:val="0"/>
          <w:sz w:val="24"/>
          <w:szCs w:val="22"/>
        </w:rPr>
      </w:pPr>
      <w:r>
        <w:rPr>
          <w:kern w:val="0"/>
          <w:sz w:val="24"/>
          <w:szCs w:val="22"/>
        </w:rPr>
        <w:t>2.2</w:t>
      </w:r>
      <w:r>
        <w:rPr>
          <w:rFonts w:hint="eastAsia"/>
          <w:kern w:val="0"/>
          <w:sz w:val="24"/>
          <w:szCs w:val="22"/>
        </w:rPr>
        <w:t xml:space="preserve"> </w:t>
      </w:r>
      <w:r>
        <w:rPr>
          <w:kern w:val="0"/>
          <w:sz w:val="24"/>
          <w:szCs w:val="22"/>
        </w:rPr>
        <w:t>体组成</w:t>
      </w:r>
    </w:p>
    <w:p w14:paraId="7C32C966">
      <w:pPr>
        <w:widowControl/>
        <w:spacing w:after="60" w:line="360" w:lineRule="auto"/>
        <w:ind w:firstLine="420"/>
        <w:rPr>
          <w:kern w:val="0"/>
          <w:sz w:val="24"/>
          <w:szCs w:val="22"/>
        </w:rPr>
      </w:pPr>
      <w:r>
        <w:rPr>
          <w:kern w:val="0"/>
          <w:sz w:val="24"/>
          <w:szCs w:val="22"/>
        </w:rPr>
        <w:t>各组对虾体组成结果如表4所示，各组间对虾体组成中粗灰分和水分无显著差异；P40组对虾体组成中粗蛋白含量最低，与之相比，P42.5组对虾粗蛋白含量显著上升（</w:t>
      </w:r>
      <w:r>
        <w:rPr>
          <w:i/>
          <w:kern w:val="0"/>
          <w:sz w:val="24"/>
          <w:szCs w:val="22"/>
        </w:rPr>
        <w:t>P</w:t>
      </w:r>
      <w:r>
        <w:rPr>
          <w:kern w:val="0"/>
          <w:sz w:val="24"/>
          <w:szCs w:val="22"/>
        </w:rPr>
        <w:t>&lt;0.05）；P45组对虾粗蛋白含量与P40和P42.5组均无显著差异。P40组对虾粗脂肪含量最低，P42.5组粗脂肪略高于P40组，但无显著差异（</w:t>
      </w:r>
      <w:r>
        <w:rPr>
          <w:i/>
          <w:kern w:val="0"/>
          <w:sz w:val="24"/>
          <w:szCs w:val="22"/>
        </w:rPr>
        <w:t>P</w:t>
      </w:r>
      <w:r>
        <w:rPr>
          <w:kern w:val="0"/>
          <w:sz w:val="24"/>
          <w:szCs w:val="22"/>
        </w:rPr>
        <w:t>&gt;0.05）；P45组对虾粗脂肪含量显著高于P40组和P42.5组（</w:t>
      </w:r>
      <w:r>
        <w:rPr>
          <w:i/>
          <w:kern w:val="0"/>
          <w:sz w:val="24"/>
          <w:szCs w:val="22"/>
        </w:rPr>
        <w:t>P</w:t>
      </w:r>
      <w:r>
        <w:rPr>
          <w:kern w:val="0"/>
          <w:sz w:val="24"/>
          <w:szCs w:val="22"/>
        </w:rPr>
        <w:t>&lt;0.05）。</w:t>
      </w:r>
    </w:p>
    <w:p w14:paraId="43654065">
      <w:pPr>
        <w:widowControl/>
        <w:spacing w:after="60" w:line="360" w:lineRule="auto"/>
        <w:jc w:val="center"/>
        <w:rPr>
          <w:kern w:val="0"/>
          <w:sz w:val="24"/>
          <w:szCs w:val="22"/>
        </w:rPr>
      </w:pPr>
      <w:r>
        <w:rPr>
          <w:kern w:val="0"/>
          <w:sz w:val="24"/>
          <w:szCs w:val="22"/>
        </w:rPr>
        <w:drawing>
          <wp:inline distT="0" distB="0" distL="0" distR="0">
            <wp:extent cx="3933825" cy="2181225"/>
            <wp:effectExtent l="0" t="0"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7"/>
                    <a:stretch>
                      <a:fillRect/>
                    </a:stretch>
                  </pic:blipFill>
                  <pic:spPr>
                    <a:xfrm>
                      <a:off x="0" y="0"/>
                      <a:ext cx="3934374" cy="2181529"/>
                    </a:xfrm>
                    <a:prstGeom prst="rect">
                      <a:avLst/>
                    </a:prstGeom>
                  </pic:spPr>
                </pic:pic>
              </a:graphicData>
            </a:graphic>
          </wp:inline>
        </w:drawing>
      </w:r>
    </w:p>
    <w:p w14:paraId="1E6443BA">
      <w:pPr>
        <w:widowControl/>
        <w:spacing w:after="60" w:line="360" w:lineRule="auto"/>
        <w:rPr>
          <w:kern w:val="0"/>
          <w:sz w:val="24"/>
          <w:szCs w:val="22"/>
        </w:rPr>
      </w:pPr>
      <w:r>
        <w:rPr>
          <w:kern w:val="0"/>
          <w:sz w:val="24"/>
          <w:szCs w:val="22"/>
        </w:rPr>
        <w:t>2.3</w:t>
      </w:r>
      <w:r>
        <w:rPr>
          <w:rFonts w:hint="eastAsia"/>
          <w:kern w:val="0"/>
          <w:sz w:val="24"/>
          <w:szCs w:val="22"/>
        </w:rPr>
        <w:t xml:space="preserve"> </w:t>
      </w:r>
      <w:r>
        <w:rPr>
          <w:kern w:val="0"/>
          <w:sz w:val="24"/>
          <w:szCs w:val="22"/>
        </w:rPr>
        <w:t>血浆生化指标含量</w:t>
      </w:r>
    </w:p>
    <w:p w14:paraId="0786F2AB">
      <w:pPr>
        <w:widowControl/>
        <w:spacing w:after="60" w:line="360" w:lineRule="auto"/>
        <w:ind w:firstLine="420"/>
        <w:rPr>
          <w:kern w:val="0"/>
          <w:sz w:val="24"/>
          <w:szCs w:val="22"/>
        </w:rPr>
      </w:pPr>
      <w:r>
        <w:rPr>
          <w:kern w:val="0"/>
          <w:sz w:val="24"/>
          <w:szCs w:val="22"/>
        </w:rPr>
        <w:t>如图1所示，P45组对虾血氨含量显著高于其</w:t>
      </w:r>
      <w:r>
        <w:rPr>
          <w:rFonts w:hint="eastAsia"/>
          <w:kern w:val="0"/>
          <w:sz w:val="24"/>
          <w:szCs w:val="22"/>
        </w:rPr>
        <w:t>他两组，而P40和P42.5组无显著差异。各组对虾甘</w:t>
      </w:r>
      <w:r>
        <w:rPr>
          <w:kern w:val="0"/>
          <w:sz w:val="24"/>
          <w:szCs w:val="22"/>
        </w:rPr>
        <w:t>油三酯水平的变化趋势与血氨相似，但各组间差异不显著（</w:t>
      </w:r>
      <w:r>
        <w:rPr>
          <w:i/>
          <w:kern w:val="0"/>
          <w:sz w:val="24"/>
          <w:szCs w:val="22"/>
        </w:rPr>
        <w:t>P</w:t>
      </w:r>
      <w:r>
        <w:rPr>
          <w:kern w:val="0"/>
          <w:sz w:val="24"/>
          <w:szCs w:val="22"/>
        </w:rPr>
        <w:t>&gt;0.05）。各组对虾血浆中白蛋白水平检测结果显示，与P40组相比，P42.5组对虾血浆白蛋白水平显著升高，而随着饲料蛋白水平的进一步升高，P45组对虾血浆白蛋白水平又显著低于P42.5组（</w:t>
      </w:r>
      <w:r>
        <w:rPr>
          <w:i/>
          <w:kern w:val="0"/>
          <w:sz w:val="24"/>
          <w:szCs w:val="22"/>
        </w:rPr>
        <w:t>P</w:t>
      </w:r>
      <w:r>
        <w:rPr>
          <w:kern w:val="0"/>
          <w:sz w:val="24"/>
          <w:szCs w:val="22"/>
        </w:rPr>
        <w:t>&lt;0.05）。各组间血浆胆固醇水平无显著差异。</w:t>
      </w:r>
    </w:p>
    <w:p w14:paraId="5F183128">
      <w:pPr>
        <w:widowControl/>
        <w:spacing w:after="60" w:line="360" w:lineRule="auto"/>
        <w:jc w:val="center"/>
        <w:rPr>
          <w:kern w:val="0"/>
          <w:sz w:val="24"/>
          <w:szCs w:val="22"/>
        </w:rPr>
      </w:pPr>
      <w:r>
        <w:rPr>
          <w:kern w:val="0"/>
          <w:sz w:val="24"/>
          <w:szCs w:val="22"/>
        </w:rPr>
        <w:drawing>
          <wp:inline distT="0" distB="0" distL="0" distR="0">
            <wp:extent cx="3347085" cy="5414010"/>
            <wp:effectExtent l="0" t="0" r="571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8"/>
                    <a:stretch>
                      <a:fillRect/>
                    </a:stretch>
                  </pic:blipFill>
                  <pic:spPr>
                    <a:xfrm>
                      <a:off x="0" y="0"/>
                      <a:ext cx="3347546" cy="5414433"/>
                    </a:xfrm>
                    <a:prstGeom prst="rect">
                      <a:avLst/>
                    </a:prstGeom>
                  </pic:spPr>
                </pic:pic>
              </a:graphicData>
            </a:graphic>
          </wp:inline>
        </w:drawing>
      </w:r>
    </w:p>
    <w:p w14:paraId="3E22BDB9">
      <w:pPr>
        <w:widowControl/>
        <w:spacing w:after="60" w:line="360" w:lineRule="auto"/>
        <w:rPr>
          <w:kern w:val="0"/>
          <w:sz w:val="24"/>
          <w:szCs w:val="22"/>
        </w:rPr>
      </w:pPr>
      <w:r>
        <w:rPr>
          <w:kern w:val="0"/>
          <w:sz w:val="24"/>
          <w:szCs w:val="22"/>
        </w:rPr>
        <w:t>2.4</w:t>
      </w:r>
      <w:r>
        <w:rPr>
          <w:rFonts w:hint="eastAsia"/>
          <w:kern w:val="0"/>
          <w:sz w:val="24"/>
          <w:szCs w:val="22"/>
        </w:rPr>
        <w:t xml:space="preserve"> </w:t>
      </w:r>
      <w:r>
        <w:rPr>
          <w:kern w:val="0"/>
          <w:sz w:val="24"/>
          <w:szCs w:val="22"/>
        </w:rPr>
        <w:t>血浆酶活</w:t>
      </w:r>
    </w:p>
    <w:p w14:paraId="55D53527">
      <w:pPr>
        <w:widowControl/>
        <w:spacing w:after="60" w:line="360" w:lineRule="auto"/>
        <w:ind w:firstLine="420"/>
        <w:rPr>
          <w:kern w:val="0"/>
          <w:sz w:val="24"/>
          <w:szCs w:val="22"/>
        </w:rPr>
      </w:pPr>
      <w:r>
        <w:rPr>
          <w:kern w:val="0"/>
          <w:sz w:val="24"/>
          <w:szCs w:val="22"/>
        </w:rPr>
        <w:t>对虾血浆中酶活结果如图2所示，与P40组相比， P42.5组对虾血浆中SOD活性显著升高，而P45组SOD活性则显著低于P40组（</w:t>
      </w:r>
      <w:r>
        <w:rPr>
          <w:i/>
          <w:kern w:val="0"/>
          <w:sz w:val="24"/>
          <w:szCs w:val="22"/>
        </w:rPr>
        <w:t>P</w:t>
      </w:r>
      <w:r>
        <w:rPr>
          <w:kern w:val="0"/>
          <w:sz w:val="24"/>
          <w:szCs w:val="22"/>
        </w:rPr>
        <w:t>&lt;0.05）。血浆谷草转氨酶（AST）和谷丙转氨酶（ALT）活性检测结果</w:t>
      </w:r>
      <w:r>
        <w:rPr>
          <w:rFonts w:hint="eastAsia"/>
          <w:kern w:val="0"/>
          <w:sz w:val="24"/>
          <w:szCs w:val="22"/>
        </w:rPr>
        <w:t>显示，P42.5组对虾血浆中AST和ALT活性均为最</w:t>
      </w:r>
      <w:r>
        <w:rPr>
          <w:kern w:val="0"/>
          <w:sz w:val="24"/>
          <w:szCs w:val="22"/>
        </w:rPr>
        <w:t>低，且显著低于P40和P45组（</w:t>
      </w:r>
      <w:r>
        <w:rPr>
          <w:i/>
          <w:kern w:val="0"/>
          <w:sz w:val="24"/>
          <w:szCs w:val="22"/>
        </w:rPr>
        <w:t>P</w:t>
      </w:r>
      <w:r>
        <w:rPr>
          <w:kern w:val="0"/>
          <w:sz w:val="24"/>
          <w:szCs w:val="22"/>
        </w:rPr>
        <w:t>&lt;0.05）；P45组AST活性最高，且显著高于P40组（</w:t>
      </w:r>
      <w:r>
        <w:rPr>
          <w:i/>
          <w:kern w:val="0"/>
          <w:sz w:val="24"/>
          <w:szCs w:val="22"/>
        </w:rPr>
        <w:t>P</w:t>
      </w:r>
      <w:r>
        <w:rPr>
          <w:kern w:val="0"/>
          <w:sz w:val="24"/>
          <w:szCs w:val="22"/>
        </w:rPr>
        <w:t>&lt;0.05）；P40和P45组ALT活性无显著差异（</w:t>
      </w:r>
      <w:r>
        <w:rPr>
          <w:i/>
          <w:kern w:val="0"/>
          <w:sz w:val="24"/>
          <w:szCs w:val="22"/>
        </w:rPr>
        <w:t>P</w:t>
      </w:r>
      <w:r>
        <w:rPr>
          <w:kern w:val="0"/>
          <w:sz w:val="24"/>
          <w:szCs w:val="22"/>
        </w:rPr>
        <w:t>&gt;0.05）。</w:t>
      </w:r>
    </w:p>
    <w:p w14:paraId="6F64F5ED">
      <w:pPr>
        <w:widowControl/>
        <w:spacing w:after="60" w:line="360" w:lineRule="auto"/>
        <w:rPr>
          <w:kern w:val="0"/>
          <w:sz w:val="24"/>
          <w:szCs w:val="22"/>
        </w:rPr>
      </w:pPr>
      <w:r>
        <w:rPr>
          <w:kern w:val="0"/>
          <w:sz w:val="24"/>
          <w:szCs w:val="22"/>
        </w:rPr>
        <w:drawing>
          <wp:inline distT="0" distB="0" distL="0" distR="0">
            <wp:extent cx="6121400" cy="2819400"/>
            <wp:effectExtent l="0" t="0" r="0" b="0"/>
            <wp:docPr id="192992195" name="图片 19299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2195" name="图片 192992195"/>
                    <pic:cNvPicPr>
                      <a:picLocks noChangeAspect="1"/>
                    </pic:cNvPicPr>
                  </pic:nvPicPr>
                  <pic:blipFill>
                    <a:blip r:embed="rId19"/>
                    <a:stretch>
                      <a:fillRect/>
                    </a:stretch>
                  </pic:blipFill>
                  <pic:spPr>
                    <a:xfrm>
                      <a:off x="0" y="0"/>
                      <a:ext cx="6128819" cy="2823229"/>
                    </a:xfrm>
                    <a:prstGeom prst="rect">
                      <a:avLst/>
                    </a:prstGeom>
                  </pic:spPr>
                </pic:pic>
              </a:graphicData>
            </a:graphic>
          </wp:inline>
        </w:drawing>
      </w:r>
    </w:p>
    <w:p w14:paraId="0F3B805C">
      <w:pPr>
        <w:widowControl/>
        <w:spacing w:after="60" w:line="360" w:lineRule="auto"/>
        <w:rPr>
          <w:kern w:val="0"/>
          <w:sz w:val="24"/>
          <w:szCs w:val="22"/>
        </w:rPr>
      </w:pPr>
      <w:r>
        <w:rPr>
          <w:kern w:val="0"/>
          <w:sz w:val="24"/>
          <w:szCs w:val="22"/>
        </w:rPr>
        <w:t>2.5</w:t>
      </w:r>
      <w:r>
        <w:rPr>
          <w:rFonts w:hint="eastAsia"/>
          <w:kern w:val="0"/>
          <w:sz w:val="24"/>
          <w:szCs w:val="22"/>
        </w:rPr>
        <w:t xml:space="preserve"> </w:t>
      </w:r>
      <w:r>
        <w:rPr>
          <w:kern w:val="0"/>
          <w:sz w:val="24"/>
          <w:szCs w:val="22"/>
        </w:rPr>
        <w:t>肝胰腺抗氧化能力</w:t>
      </w:r>
    </w:p>
    <w:p w14:paraId="78B7F540">
      <w:pPr>
        <w:widowControl/>
        <w:spacing w:after="60" w:line="360" w:lineRule="auto"/>
        <w:ind w:firstLine="420"/>
        <w:rPr>
          <w:kern w:val="0"/>
          <w:sz w:val="24"/>
          <w:szCs w:val="22"/>
        </w:rPr>
      </w:pPr>
      <w:r>
        <w:rPr>
          <w:kern w:val="0"/>
          <w:sz w:val="24"/>
          <w:szCs w:val="22"/>
        </w:rPr>
        <w:t>如图3所示，各组对虾肝胰腺溶菌酶（LZM）、谷胱甘肽（GSH）和超氧化物歧化酶（SOD）表现出相同的差异性: 与P40组相比，P42.5组上述3种抗氧化指标的活性（或含量）显著升高，随着饲料蛋白水平进一步升高，P45组则显著低于P42.5组（</w:t>
      </w:r>
      <w:r>
        <w:rPr>
          <w:i/>
          <w:kern w:val="0"/>
          <w:sz w:val="24"/>
          <w:szCs w:val="22"/>
        </w:rPr>
        <w:t>P</w:t>
      </w:r>
      <w:r>
        <w:rPr>
          <w:kern w:val="0"/>
          <w:sz w:val="24"/>
          <w:szCs w:val="22"/>
        </w:rPr>
        <w:t>&lt;0.05）。各组间对虾肝胰腺过氧化氢酶（CAT）和总抗氧化能力（T-AOC）检测结果显示: P42.5组CAT和T-AOC活性最高，P45组CAT和T-AOC活性最低，且P42.5组显著高于P45组（</w:t>
      </w:r>
      <w:r>
        <w:rPr>
          <w:i/>
          <w:kern w:val="0"/>
          <w:sz w:val="24"/>
          <w:szCs w:val="22"/>
        </w:rPr>
        <w:t>P</w:t>
      </w:r>
      <w:r>
        <w:rPr>
          <w:kern w:val="0"/>
          <w:sz w:val="24"/>
          <w:szCs w:val="22"/>
        </w:rPr>
        <w:t>&lt;0.05）；P42.5和P45组与P40组均无显著差异（</w:t>
      </w:r>
      <w:r>
        <w:rPr>
          <w:i/>
          <w:kern w:val="0"/>
          <w:sz w:val="24"/>
          <w:szCs w:val="22"/>
        </w:rPr>
        <w:t>P</w:t>
      </w:r>
      <w:r>
        <w:rPr>
          <w:kern w:val="0"/>
          <w:sz w:val="24"/>
          <w:szCs w:val="22"/>
        </w:rPr>
        <w:t>&gt;0.05）。肝胰腺丙二醛（MDA）含量检测结果显示: P45组对虾肝胰腺MDA含量最高，且显著高于P40和P42.5组，而P40与P42.5组无显著差异（</w:t>
      </w:r>
      <w:r>
        <w:rPr>
          <w:i/>
          <w:kern w:val="0"/>
          <w:sz w:val="24"/>
          <w:szCs w:val="22"/>
        </w:rPr>
        <w:t>P</w:t>
      </w:r>
      <w:r>
        <w:rPr>
          <w:kern w:val="0"/>
          <w:sz w:val="24"/>
          <w:szCs w:val="22"/>
        </w:rPr>
        <w:t>&gt;0.05）。</w:t>
      </w:r>
    </w:p>
    <w:p w14:paraId="4448A26B">
      <w:pPr>
        <w:widowControl/>
        <w:spacing w:after="60" w:line="360" w:lineRule="auto"/>
        <w:rPr>
          <w:kern w:val="0"/>
          <w:sz w:val="24"/>
          <w:szCs w:val="22"/>
        </w:rPr>
      </w:pPr>
      <w:r>
        <w:rPr>
          <w:kern w:val="0"/>
          <w:sz w:val="24"/>
          <w:szCs w:val="22"/>
          <w:lang w:eastAsia="en-US"/>
        </w:rPr>
        <w:drawing>
          <wp:inline distT="0" distB="0" distL="0" distR="0">
            <wp:extent cx="5981065" cy="4451350"/>
            <wp:effectExtent l="0" t="0" r="635" b="6350"/>
            <wp:docPr id="8977536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753667" name="Picture 7"/>
                    <pic:cNvPicPr>
                      <a:picLocks noChangeAspect="1"/>
                    </pic:cNvPicPr>
                  </pic:nvPicPr>
                  <pic:blipFill>
                    <a:blip r:embed="rId20"/>
                    <a:srcRect l="4376" t="2761" r="5016"/>
                    <a:stretch>
                      <a:fillRect/>
                    </a:stretch>
                  </pic:blipFill>
                  <pic:spPr>
                    <a:xfrm>
                      <a:off x="0" y="0"/>
                      <a:ext cx="5999148" cy="4464342"/>
                    </a:xfrm>
                    <a:prstGeom prst="rect">
                      <a:avLst/>
                    </a:prstGeom>
                    <a:ln>
                      <a:noFill/>
                    </a:ln>
                  </pic:spPr>
                </pic:pic>
              </a:graphicData>
            </a:graphic>
          </wp:inline>
        </w:drawing>
      </w:r>
    </w:p>
    <w:p w14:paraId="318BBA9D">
      <w:pPr>
        <w:widowControl/>
        <w:spacing w:after="60" w:line="360" w:lineRule="auto"/>
        <w:rPr>
          <w:kern w:val="0"/>
          <w:sz w:val="24"/>
          <w:szCs w:val="22"/>
        </w:rPr>
      </w:pPr>
      <w:r>
        <w:rPr>
          <w:kern w:val="0"/>
          <w:sz w:val="24"/>
          <w:szCs w:val="22"/>
        </w:rPr>
        <w:t>2.6</w:t>
      </w:r>
      <w:r>
        <w:rPr>
          <w:rFonts w:hint="eastAsia"/>
          <w:kern w:val="0"/>
          <w:sz w:val="24"/>
          <w:szCs w:val="22"/>
        </w:rPr>
        <w:t xml:space="preserve"> </w:t>
      </w:r>
      <w:r>
        <w:rPr>
          <w:kern w:val="0"/>
          <w:sz w:val="24"/>
          <w:szCs w:val="22"/>
        </w:rPr>
        <w:t>肠道健康</w:t>
      </w:r>
    </w:p>
    <w:p w14:paraId="5882E769">
      <w:pPr>
        <w:widowControl/>
        <w:spacing w:after="60" w:line="360" w:lineRule="auto"/>
        <w:ind w:firstLine="420"/>
        <w:rPr>
          <w:kern w:val="0"/>
          <w:sz w:val="24"/>
          <w:szCs w:val="22"/>
        </w:rPr>
      </w:pPr>
      <w:r>
        <w:rPr>
          <w:kern w:val="0"/>
          <w:sz w:val="24"/>
          <w:szCs w:val="22"/>
        </w:rPr>
        <w:t>肠道组织切片</w:t>
      </w:r>
      <w:r>
        <w:rPr>
          <w:rFonts w:hint="eastAsia"/>
          <w:kern w:val="0"/>
          <w:sz w:val="24"/>
          <w:szCs w:val="22"/>
        </w:rPr>
        <w:t>　　</w:t>
      </w:r>
      <w:r>
        <w:rPr>
          <w:kern w:val="0"/>
          <w:sz w:val="24"/>
          <w:szCs w:val="22"/>
        </w:rPr>
        <w:t>肠道HE切片如图4所示，与P40组相比，P42.5组对虾肠绒毛高度上升（</w:t>
      </w:r>
      <w:r>
        <w:rPr>
          <w:i/>
          <w:kern w:val="0"/>
          <w:sz w:val="24"/>
          <w:szCs w:val="22"/>
        </w:rPr>
        <w:t>P</w:t>
      </w:r>
      <w:r>
        <w:rPr>
          <w:kern w:val="0"/>
          <w:sz w:val="24"/>
          <w:szCs w:val="22"/>
        </w:rPr>
        <w:t>&gt;0.05）。随着饲料蛋白水平的进一步提高，P45组对虾肠绒毛高度显著下降（</w:t>
      </w:r>
      <w:r>
        <w:rPr>
          <w:i/>
          <w:kern w:val="0"/>
          <w:sz w:val="24"/>
          <w:szCs w:val="22"/>
        </w:rPr>
        <w:t>P</w:t>
      </w:r>
      <w:r>
        <w:rPr>
          <w:kern w:val="0"/>
          <w:sz w:val="24"/>
          <w:szCs w:val="22"/>
        </w:rPr>
        <w:t>&lt;0.05），而与P40组无显著差异（</w:t>
      </w:r>
      <w:r>
        <w:rPr>
          <w:i/>
          <w:kern w:val="0"/>
          <w:sz w:val="24"/>
          <w:szCs w:val="22"/>
        </w:rPr>
        <w:t>P</w:t>
      </w:r>
      <w:r>
        <w:rPr>
          <w:kern w:val="0"/>
          <w:sz w:val="24"/>
          <w:szCs w:val="22"/>
        </w:rPr>
        <w:t>&gt;0.05）。</w:t>
      </w:r>
    </w:p>
    <w:p w14:paraId="30F480D6">
      <w:pPr>
        <w:widowControl/>
        <w:spacing w:after="60" w:line="360" w:lineRule="auto"/>
        <w:jc w:val="center"/>
        <w:rPr>
          <w:kern w:val="0"/>
          <w:sz w:val="24"/>
          <w:szCs w:val="22"/>
        </w:rPr>
      </w:pPr>
      <w:r>
        <w:rPr>
          <w:kern w:val="0"/>
          <w:sz w:val="24"/>
          <w:szCs w:val="22"/>
        </w:rPr>
        <w:drawing>
          <wp:inline distT="0" distB="0" distL="0" distR="0">
            <wp:extent cx="6091555" cy="4241800"/>
            <wp:effectExtent l="0" t="0" r="4445" b="635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1"/>
                    <a:srcRect l="655" r="-1"/>
                    <a:stretch>
                      <a:fillRect/>
                    </a:stretch>
                  </pic:blipFill>
                  <pic:spPr>
                    <a:xfrm>
                      <a:off x="0" y="0"/>
                      <a:ext cx="6137708" cy="4273938"/>
                    </a:xfrm>
                    <a:prstGeom prst="rect">
                      <a:avLst/>
                    </a:prstGeom>
                    <a:ln>
                      <a:noFill/>
                    </a:ln>
                  </pic:spPr>
                </pic:pic>
              </a:graphicData>
            </a:graphic>
          </wp:inline>
        </w:drawing>
      </w:r>
    </w:p>
    <w:p w14:paraId="2EFF557B">
      <w:pPr>
        <w:widowControl/>
        <w:spacing w:after="60" w:line="360" w:lineRule="auto"/>
        <w:ind w:firstLine="420"/>
        <w:rPr>
          <w:kern w:val="0"/>
          <w:sz w:val="24"/>
          <w:szCs w:val="22"/>
        </w:rPr>
      </w:pPr>
      <w:r>
        <w:rPr>
          <w:kern w:val="0"/>
          <w:sz w:val="24"/>
          <w:szCs w:val="22"/>
        </w:rPr>
        <w:t>肠道屏障相关基因表达如图5所示，与P40组相比，P42.5组</w:t>
      </w:r>
      <w:r>
        <w:rPr>
          <w:i/>
          <w:iCs/>
          <w:kern w:val="0"/>
          <w:sz w:val="24"/>
          <w:szCs w:val="22"/>
        </w:rPr>
        <w:t>Claudin-3</w:t>
      </w:r>
      <w:r>
        <w:rPr>
          <w:kern w:val="0"/>
          <w:sz w:val="24"/>
          <w:szCs w:val="22"/>
        </w:rPr>
        <w:t>基因相对表达量升高，但与P40组差异不显著，随着饲料蛋白水平进一步提高，</w:t>
      </w:r>
      <w:r>
        <w:rPr>
          <w:i/>
          <w:iCs/>
          <w:kern w:val="0"/>
          <w:sz w:val="24"/>
          <w:szCs w:val="22"/>
        </w:rPr>
        <w:t>Claudin-3</w:t>
      </w:r>
      <w:r>
        <w:rPr>
          <w:kern w:val="0"/>
          <w:sz w:val="24"/>
          <w:szCs w:val="22"/>
        </w:rPr>
        <w:t>基因相对表达量显著降低，P45组显著低于P42.5组（</w:t>
      </w:r>
      <w:r>
        <w:rPr>
          <w:i/>
          <w:kern w:val="0"/>
          <w:sz w:val="24"/>
          <w:szCs w:val="22"/>
        </w:rPr>
        <w:t>P</w:t>
      </w:r>
      <w:r>
        <w:rPr>
          <w:kern w:val="0"/>
          <w:sz w:val="24"/>
          <w:szCs w:val="22"/>
        </w:rPr>
        <w:t>&lt;0.05）。各组对虾</w:t>
      </w:r>
      <w:r>
        <w:rPr>
          <w:i/>
          <w:iCs/>
          <w:kern w:val="0"/>
          <w:sz w:val="24"/>
          <w:szCs w:val="22"/>
        </w:rPr>
        <w:t>Occludin</w:t>
      </w:r>
      <w:r>
        <w:rPr>
          <w:kern w:val="0"/>
          <w:sz w:val="24"/>
          <w:szCs w:val="22"/>
        </w:rPr>
        <w:t>基因和</w:t>
      </w:r>
      <w:r>
        <w:rPr>
          <w:i/>
          <w:iCs/>
          <w:kern w:val="0"/>
          <w:sz w:val="24"/>
          <w:szCs w:val="22"/>
        </w:rPr>
        <w:t>ZO-1</w:t>
      </w:r>
      <w:r>
        <w:rPr>
          <w:kern w:val="0"/>
          <w:sz w:val="24"/>
          <w:szCs w:val="22"/>
        </w:rPr>
        <w:t>基因的表达具有相同的趋势: 随着饲料蛋白水平的提高，基因相对表达量先升高后降低。P42.5组对虾</w:t>
      </w:r>
      <w:r>
        <w:rPr>
          <w:i/>
          <w:iCs/>
          <w:kern w:val="0"/>
          <w:sz w:val="24"/>
          <w:szCs w:val="22"/>
        </w:rPr>
        <w:t>Occludin</w:t>
      </w:r>
      <w:r>
        <w:rPr>
          <w:kern w:val="0"/>
          <w:sz w:val="24"/>
          <w:szCs w:val="22"/>
        </w:rPr>
        <w:t>和</w:t>
      </w:r>
      <w:r>
        <w:rPr>
          <w:i/>
          <w:iCs/>
          <w:kern w:val="0"/>
          <w:sz w:val="24"/>
          <w:szCs w:val="22"/>
        </w:rPr>
        <w:t>ZO-1</w:t>
      </w:r>
      <w:r>
        <w:rPr>
          <w:kern w:val="0"/>
          <w:sz w:val="24"/>
          <w:szCs w:val="22"/>
        </w:rPr>
        <w:t>基因相对表达量显著高于P40和P45组（</w:t>
      </w:r>
      <w:r>
        <w:rPr>
          <w:i/>
          <w:kern w:val="0"/>
          <w:sz w:val="24"/>
          <w:szCs w:val="22"/>
        </w:rPr>
        <w:t>P</w:t>
      </w:r>
      <w:r>
        <w:rPr>
          <w:kern w:val="0"/>
          <w:sz w:val="24"/>
          <w:szCs w:val="22"/>
        </w:rPr>
        <w:t>&lt;0.05）；与P40组相比，P45组</w:t>
      </w:r>
      <w:r>
        <w:rPr>
          <w:i/>
          <w:iCs/>
          <w:kern w:val="0"/>
          <w:sz w:val="24"/>
          <w:szCs w:val="22"/>
        </w:rPr>
        <w:t>Occludin</w:t>
      </w:r>
      <w:r>
        <w:rPr>
          <w:kern w:val="0"/>
          <w:sz w:val="24"/>
          <w:szCs w:val="22"/>
        </w:rPr>
        <w:t>和</w:t>
      </w:r>
      <w:r>
        <w:rPr>
          <w:i/>
          <w:iCs/>
          <w:kern w:val="0"/>
          <w:sz w:val="24"/>
          <w:szCs w:val="22"/>
        </w:rPr>
        <w:t>ZO-1</w:t>
      </w:r>
      <w:r>
        <w:rPr>
          <w:rFonts w:hint="eastAsia"/>
          <w:kern w:val="0"/>
          <w:sz w:val="24"/>
          <w:szCs w:val="22"/>
        </w:rPr>
        <w:t>基因相对表达量降低，但无显著差异（</w:t>
      </w:r>
      <w:r>
        <w:rPr>
          <w:i/>
          <w:iCs/>
          <w:kern w:val="0"/>
          <w:sz w:val="24"/>
          <w:szCs w:val="22"/>
        </w:rPr>
        <w:t>P</w:t>
      </w:r>
      <w:r>
        <w:rPr>
          <w:kern w:val="0"/>
          <w:sz w:val="24"/>
          <w:szCs w:val="22"/>
        </w:rPr>
        <w:t>&gt;0.05</w:t>
      </w:r>
      <w:r>
        <w:rPr>
          <w:rFonts w:hint="eastAsia"/>
          <w:kern w:val="0"/>
          <w:sz w:val="24"/>
          <w:szCs w:val="22"/>
        </w:rPr>
        <w:t>）。</w:t>
      </w:r>
    </w:p>
    <w:p w14:paraId="147F0AF4">
      <w:pPr>
        <w:widowControl/>
        <w:spacing w:after="60" w:line="360" w:lineRule="auto"/>
        <w:rPr>
          <w:kern w:val="0"/>
          <w:sz w:val="24"/>
          <w:szCs w:val="22"/>
        </w:rPr>
      </w:pPr>
      <w:r>
        <w:rPr>
          <w:kern w:val="0"/>
          <w:sz w:val="24"/>
          <w:szCs w:val="22"/>
          <w:lang w:eastAsia="en-US"/>
        </w:rPr>
        <w:drawing>
          <wp:inline distT="0" distB="0" distL="0" distR="0">
            <wp:extent cx="6308090" cy="2052955"/>
            <wp:effectExtent l="0" t="0" r="0" b="4445"/>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9"/>
                    <pic:cNvPicPr>
                      <a:picLocks noChangeAspect="1"/>
                    </pic:cNvPicPr>
                  </pic:nvPicPr>
                  <pic:blipFill>
                    <a:blip r:embed="rId22"/>
                    <a:srcRect t="19048"/>
                    <a:stretch>
                      <a:fillRect/>
                    </a:stretch>
                  </pic:blipFill>
                  <pic:spPr>
                    <a:xfrm>
                      <a:off x="0" y="0"/>
                      <a:ext cx="6309360" cy="2053388"/>
                    </a:xfrm>
                    <a:prstGeom prst="rect">
                      <a:avLst/>
                    </a:prstGeom>
                    <a:ln>
                      <a:noFill/>
                    </a:ln>
                  </pic:spPr>
                </pic:pic>
              </a:graphicData>
            </a:graphic>
          </wp:inline>
        </w:drawing>
      </w:r>
    </w:p>
    <w:p w14:paraId="68D4001D">
      <w:pPr>
        <w:widowControl/>
        <w:spacing w:after="60" w:line="360" w:lineRule="auto"/>
        <w:rPr>
          <w:kern w:val="0"/>
          <w:sz w:val="24"/>
          <w:szCs w:val="22"/>
        </w:rPr>
      </w:pPr>
      <w:r>
        <w:rPr>
          <w:kern w:val="0"/>
          <w:sz w:val="24"/>
          <w:szCs w:val="22"/>
        </w:rPr>
        <w:t>2.7</w:t>
      </w:r>
      <w:r>
        <w:rPr>
          <w:rFonts w:hint="eastAsia"/>
          <w:kern w:val="0"/>
          <w:sz w:val="24"/>
          <w:szCs w:val="22"/>
        </w:rPr>
        <w:t xml:space="preserve"> </w:t>
      </w:r>
      <w:r>
        <w:rPr>
          <w:kern w:val="0"/>
          <w:sz w:val="24"/>
          <w:szCs w:val="22"/>
        </w:rPr>
        <w:t>蛋白质合成相关基因表达</w:t>
      </w:r>
    </w:p>
    <w:p w14:paraId="281551B2">
      <w:pPr>
        <w:widowControl/>
        <w:spacing w:after="60" w:line="360" w:lineRule="auto"/>
        <w:ind w:firstLine="420"/>
        <w:rPr>
          <w:kern w:val="0"/>
          <w:sz w:val="24"/>
          <w:szCs w:val="22"/>
        </w:rPr>
      </w:pPr>
      <w:r>
        <w:rPr>
          <w:kern w:val="0"/>
          <w:sz w:val="24"/>
          <w:szCs w:val="22"/>
        </w:rPr>
        <w:t>肌肉蛋白质合成相关基因表达检测结果如图6所示，饲料蛋白水平对蛋白质合成相关基因的表达具有显著影响。与P40组相比，P42.5组对虾</w:t>
      </w:r>
      <w:r>
        <w:rPr>
          <w:i/>
          <w:iCs/>
          <w:kern w:val="0"/>
          <w:sz w:val="24"/>
          <w:szCs w:val="22"/>
        </w:rPr>
        <w:t>eIF3K</w:t>
      </w:r>
      <w:r>
        <w:rPr>
          <w:kern w:val="0"/>
          <w:sz w:val="24"/>
          <w:szCs w:val="22"/>
        </w:rPr>
        <w:t>、</w:t>
      </w:r>
      <w:r>
        <w:rPr>
          <w:i/>
          <w:iCs/>
          <w:kern w:val="0"/>
          <w:sz w:val="24"/>
          <w:szCs w:val="22"/>
        </w:rPr>
        <w:t>eIF4E</w:t>
      </w:r>
      <w:r>
        <w:rPr>
          <w:kern w:val="0"/>
          <w:sz w:val="24"/>
          <w:szCs w:val="22"/>
        </w:rPr>
        <w:t>基因的相对表达水平均显著升高（</w:t>
      </w:r>
      <w:r>
        <w:rPr>
          <w:i/>
          <w:kern w:val="0"/>
          <w:sz w:val="24"/>
          <w:szCs w:val="22"/>
        </w:rPr>
        <w:t>P</w:t>
      </w:r>
      <w:r>
        <w:rPr>
          <w:kern w:val="0"/>
          <w:sz w:val="24"/>
          <w:szCs w:val="22"/>
        </w:rPr>
        <w:t>&lt;0.05）；随着饲料蛋白水平的进一步升高，对虾</w:t>
      </w:r>
      <w:r>
        <w:rPr>
          <w:i/>
          <w:iCs/>
          <w:kern w:val="0"/>
          <w:sz w:val="24"/>
          <w:szCs w:val="22"/>
        </w:rPr>
        <w:t>eIF3K</w:t>
      </w:r>
      <w:r>
        <w:rPr>
          <w:kern w:val="0"/>
          <w:sz w:val="24"/>
          <w:szCs w:val="22"/>
        </w:rPr>
        <w:t>、</w:t>
      </w:r>
      <w:r>
        <w:rPr>
          <w:i/>
          <w:iCs/>
          <w:kern w:val="0"/>
          <w:sz w:val="24"/>
          <w:szCs w:val="22"/>
        </w:rPr>
        <w:t>eIF4E</w:t>
      </w:r>
      <w:r>
        <w:rPr>
          <w:kern w:val="0"/>
          <w:sz w:val="24"/>
          <w:szCs w:val="22"/>
        </w:rPr>
        <w:t>基因的相对表达水平出现降低。与P40组相比，P42.5组</w:t>
      </w:r>
      <w:r>
        <w:rPr>
          <w:i/>
          <w:iCs/>
          <w:kern w:val="0"/>
          <w:sz w:val="24"/>
          <w:szCs w:val="22"/>
        </w:rPr>
        <w:t>4EBP1</w:t>
      </w:r>
      <w:r>
        <w:rPr>
          <w:kern w:val="0"/>
          <w:sz w:val="24"/>
          <w:szCs w:val="22"/>
        </w:rPr>
        <w:t>基因相对表达量显著降低，而与P42.5组相比，P45组对虾</w:t>
      </w:r>
      <w:r>
        <w:rPr>
          <w:i/>
          <w:iCs/>
          <w:kern w:val="0"/>
          <w:sz w:val="24"/>
          <w:szCs w:val="22"/>
        </w:rPr>
        <w:t>4EBP1</w:t>
      </w:r>
      <w:r>
        <w:rPr>
          <w:kern w:val="0"/>
          <w:sz w:val="24"/>
          <w:szCs w:val="22"/>
        </w:rPr>
        <w:t>基因相对表达量显著升高（</w:t>
      </w:r>
      <w:r>
        <w:rPr>
          <w:i/>
          <w:kern w:val="0"/>
          <w:sz w:val="24"/>
          <w:szCs w:val="22"/>
        </w:rPr>
        <w:t>P</w:t>
      </w:r>
      <w:r>
        <w:rPr>
          <w:kern w:val="0"/>
          <w:sz w:val="24"/>
          <w:szCs w:val="22"/>
        </w:rPr>
        <w:t>&lt;0.05）。</w:t>
      </w:r>
    </w:p>
    <w:p w14:paraId="54EBE87D">
      <w:pPr>
        <w:widowControl/>
        <w:spacing w:after="60" w:line="360" w:lineRule="auto"/>
        <w:rPr>
          <w:kern w:val="0"/>
          <w:sz w:val="24"/>
          <w:szCs w:val="22"/>
        </w:rPr>
      </w:pPr>
      <w:r>
        <w:rPr>
          <w:kern w:val="0"/>
          <w:sz w:val="24"/>
          <w:szCs w:val="22"/>
        </w:rPr>
        <w:drawing>
          <wp:inline distT="0" distB="0" distL="0" distR="0">
            <wp:extent cx="6254750" cy="208470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3"/>
                    <a:stretch>
                      <a:fillRect/>
                    </a:stretch>
                  </pic:blipFill>
                  <pic:spPr>
                    <a:xfrm>
                      <a:off x="0" y="0"/>
                      <a:ext cx="6260373" cy="2086791"/>
                    </a:xfrm>
                    <a:prstGeom prst="rect">
                      <a:avLst/>
                    </a:prstGeom>
                  </pic:spPr>
                </pic:pic>
              </a:graphicData>
            </a:graphic>
          </wp:inline>
        </w:drawing>
      </w:r>
    </w:p>
    <w:p w14:paraId="7942E08B">
      <w:pPr>
        <w:widowControl/>
        <w:spacing w:after="60" w:line="360" w:lineRule="auto"/>
        <w:rPr>
          <w:kern w:val="0"/>
          <w:sz w:val="24"/>
          <w:szCs w:val="22"/>
        </w:rPr>
      </w:pPr>
      <w:r>
        <w:rPr>
          <w:kern w:val="0"/>
          <w:sz w:val="24"/>
          <w:szCs w:val="22"/>
        </w:rPr>
        <w:t>2.8</w:t>
      </w:r>
      <w:r>
        <w:rPr>
          <w:rFonts w:hint="eastAsia"/>
          <w:kern w:val="0"/>
          <w:sz w:val="24"/>
          <w:szCs w:val="22"/>
        </w:rPr>
        <w:t xml:space="preserve"> </w:t>
      </w:r>
      <w:r>
        <w:rPr>
          <w:kern w:val="0"/>
          <w:sz w:val="24"/>
          <w:szCs w:val="22"/>
        </w:rPr>
        <w:t>肌肉游离氨基酸含量</w:t>
      </w:r>
    </w:p>
    <w:p w14:paraId="15AD2C3C">
      <w:pPr>
        <w:widowControl/>
        <w:spacing w:after="60" w:line="360" w:lineRule="auto"/>
        <w:ind w:firstLine="420"/>
        <w:rPr>
          <w:kern w:val="0"/>
          <w:sz w:val="24"/>
          <w:szCs w:val="22"/>
        </w:rPr>
      </w:pPr>
      <w:r>
        <w:rPr>
          <w:kern w:val="0"/>
          <w:sz w:val="24"/>
          <w:szCs w:val="22"/>
        </w:rPr>
        <w:t>肌肉游离氨基酸结果，如表5所示，P40组对虾肌肉总游离氨基酸含量和总非必需氨基酸含量均为最低，P42.5组对虾肌肉总游离氨基酸含量和总非必需氨基酸含量均为最高，且P42.5组显著高于P40组（</w:t>
      </w:r>
      <w:r>
        <w:rPr>
          <w:i/>
          <w:kern w:val="0"/>
          <w:sz w:val="24"/>
          <w:szCs w:val="22"/>
        </w:rPr>
        <w:t>P</w:t>
      </w:r>
      <w:r>
        <w:rPr>
          <w:kern w:val="0"/>
          <w:sz w:val="24"/>
          <w:szCs w:val="22"/>
        </w:rPr>
        <w:t>&lt;0.05）；与P40组相比，P45组对虾肌肉总游离氨基酸含量略有升高，但差异不显著，而在肌肉总非必需游离氨基酸含量方面，P45组显著高于P40组，但与P42.5组无显著差异；各组总必需氨基酸含量无显著差异（</w:t>
      </w:r>
      <w:r>
        <w:rPr>
          <w:i/>
          <w:kern w:val="0"/>
          <w:sz w:val="24"/>
          <w:szCs w:val="22"/>
        </w:rPr>
        <w:t>P</w:t>
      </w:r>
      <w:r>
        <w:rPr>
          <w:kern w:val="0"/>
          <w:sz w:val="24"/>
          <w:szCs w:val="22"/>
        </w:rPr>
        <w:t>&gt;0.05）。</w:t>
      </w:r>
    </w:p>
    <w:p w14:paraId="2F86B777">
      <w:pPr>
        <w:widowControl/>
        <w:spacing w:after="60" w:line="360" w:lineRule="auto"/>
        <w:rPr>
          <w:kern w:val="0"/>
          <w:sz w:val="24"/>
          <w:szCs w:val="22"/>
        </w:rPr>
      </w:pPr>
      <w:r>
        <w:rPr>
          <w:kern w:val="0"/>
          <w:sz w:val="24"/>
          <w:szCs w:val="22"/>
        </w:rPr>
        <w:drawing>
          <wp:inline distT="0" distB="0" distL="0" distR="0">
            <wp:extent cx="6125210" cy="4406900"/>
            <wp:effectExtent l="0" t="0" r="889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4"/>
                    <a:stretch>
                      <a:fillRect/>
                    </a:stretch>
                  </pic:blipFill>
                  <pic:spPr>
                    <a:xfrm>
                      <a:off x="0" y="0"/>
                      <a:ext cx="6130848" cy="4410687"/>
                    </a:xfrm>
                    <a:prstGeom prst="rect">
                      <a:avLst/>
                    </a:prstGeom>
                  </pic:spPr>
                </pic:pic>
              </a:graphicData>
            </a:graphic>
          </wp:inline>
        </w:drawing>
      </w:r>
    </w:p>
    <w:p w14:paraId="5E391683">
      <w:pPr>
        <w:widowControl/>
        <w:spacing w:after="60" w:line="360" w:lineRule="auto"/>
        <w:rPr>
          <w:kern w:val="0"/>
          <w:sz w:val="24"/>
          <w:szCs w:val="22"/>
        </w:rPr>
      </w:pPr>
      <w:r>
        <w:rPr>
          <w:kern w:val="0"/>
          <w:sz w:val="24"/>
          <w:szCs w:val="22"/>
        </w:rPr>
        <w:t>2.9</w:t>
      </w:r>
      <w:r>
        <w:rPr>
          <w:rFonts w:hint="eastAsia"/>
          <w:kern w:val="0"/>
          <w:sz w:val="24"/>
          <w:szCs w:val="22"/>
        </w:rPr>
        <w:t xml:space="preserve"> </w:t>
      </w:r>
      <w:r>
        <w:rPr>
          <w:kern w:val="0"/>
          <w:sz w:val="24"/>
          <w:szCs w:val="22"/>
        </w:rPr>
        <w:t>能量代谢相关基因表达</w:t>
      </w:r>
    </w:p>
    <w:p w14:paraId="4F2187F7">
      <w:pPr>
        <w:widowControl/>
        <w:spacing w:after="60" w:line="360" w:lineRule="auto"/>
        <w:ind w:firstLine="420"/>
        <w:rPr>
          <w:kern w:val="0"/>
          <w:sz w:val="24"/>
          <w:szCs w:val="22"/>
        </w:rPr>
      </w:pPr>
      <w:r>
        <w:rPr>
          <w:kern w:val="0"/>
          <w:sz w:val="24"/>
          <w:szCs w:val="22"/>
        </w:rPr>
        <w:t>各组对虾能量代谢相关基因表达结果显示（图7），P45组对虾肝胰腺中</w:t>
      </w:r>
      <w:r>
        <w:rPr>
          <w:i/>
          <w:iCs/>
          <w:kern w:val="0"/>
          <w:sz w:val="24"/>
          <w:szCs w:val="22"/>
        </w:rPr>
        <w:t>IDH</w:t>
      </w:r>
      <w:r>
        <w:rPr>
          <w:kern w:val="0"/>
          <w:sz w:val="24"/>
          <w:szCs w:val="22"/>
        </w:rPr>
        <w:t>、</w:t>
      </w:r>
      <w:r>
        <w:rPr>
          <w:i/>
          <w:iCs/>
          <w:kern w:val="0"/>
          <w:sz w:val="24"/>
          <w:szCs w:val="22"/>
        </w:rPr>
        <w:t>MDH</w:t>
      </w:r>
      <w:r>
        <w:rPr>
          <w:kern w:val="0"/>
          <w:sz w:val="24"/>
          <w:szCs w:val="22"/>
        </w:rPr>
        <w:t>、</w:t>
      </w:r>
      <w:r>
        <w:rPr>
          <w:i/>
          <w:iCs/>
          <w:kern w:val="0"/>
          <w:sz w:val="24"/>
          <w:szCs w:val="22"/>
        </w:rPr>
        <w:t>CS</w:t>
      </w:r>
      <w:r>
        <w:rPr>
          <w:kern w:val="0"/>
          <w:sz w:val="24"/>
          <w:szCs w:val="22"/>
        </w:rPr>
        <w:t>和</w:t>
      </w:r>
      <w:r>
        <w:rPr>
          <w:i/>
          <w:iCs/>
          <w:kern w:val="0"/>
          <w:sz w:val="24"/>
          <w:szCs w:val="22"/>
        </w:rPr>
        <w:t>Cyt C</w:t>
      </w:r>
      <w:r>
        <w:rPr>
          <w:kern w:val="0"/>
          <w:sz w:val="24"/>
          <w:szCs w:val="22"/>
        </w:rPr>
        <w:t>基因的相对表达量最高，而P40组最低。各组间</w:t>
      </w:r>
      <w:r>
        <w:rPr>
          <w:i/>
          <w:iCs/>
          <w:kern w:val="0"/>
          <w:sz w:val="24"/>
          <w:szCs w:val="22"/>
        </w:rPr>
        <w:t>IDH</w:t>
      </w:r>
      <w:r>
        <w:rPr>
          <w:kern w:val="0"/>
          <w:sz w:val="24"/>
          <w:szCs w:val="22"/>
        </w:rPr>
        <w:t>基因相对表达量均有显著差异（</w:t>
      </w:r>
      <w:r>
        <w:rPr>
          <w:i/>
          <w:kern w:val="0"/>
          <w:sz w:val="24"/>
          <w:szCs w:val="22"/>
        </w:rPr>
        <w:t>P</w:t>
      </w:r>
      <w:r>
        <w:rPr>
          <w:kern w:val="0"/>
          <w:sz w:val="24"/>
          <w:szCs w:val="22"/>
        </w:rPr>
        <w:t>&lt;0.05）；各组对虾</w:t>
      </w:r>
      <w:r>
        <w:rPr>
          <w:i/>
          <w:iCs/>
          <w:kern w:val="0"/>
          <w:sz w:val="24"/>
          <w:szCs w:val="22"/>
        </w:rPr>
        <w:t>MDH</w:t>
      </w:r>
      <w:r>
        <w:rPr>
          <w:kern w:val="0"/>
          <w:sz w:val="24"/>
          <w:szCs w:val="22"/>
        </w:rPr>
        <w:t>和</w:t>
      </w:r>
      <w:r>
        <w:rPr>
          <w:i/>
          <w:iCs/>
          <w:kern w:val="0"/>
          <w:sz w:val="24"/>
          <w:szCs w:val="22"/>
        </w:rPr>
        <w:t>Cyt C</w:t>
      </w:r>
      <w:r>
        <w:rPr>
          <w:kern w:val="0"/>
          <w:sz w:val="24"/>
          <w:szCs w:val="22"/>
        </w:rPr>
        <w:t>的相对表达量表现出相同的差异性:  P42.5和P45组均显著高于P40组，而P42.5和P45组无显著差异（</w:t>
      </w:r>
      <w:r>
        <w:rPr>
          <w:i/>
          <w:kern w:val="0"/>
          <w:sz w:val="24"/>
          <w:szCs w:val="22"/>
        </w:rPr>
        <w:t>P</w:t>
      </w:r>
      <w:r>
        <w:rPr>
          <w:kern w:val="0"/>
          <w:sz w:val="24"/>
          <w:szCs w:val="22"/>
        </w:rPr>
        <w:t>&gt;0.05）。三组对虾</w:t>
      </w:r>
      <w:r>
        <w:rPr>
          <w:i/>
          <w:iCs/>
          <w:kern w:val="0"/>
          <w:sz w:val="24"/>
          <w:szCs w:val="22"/>
        </w:rPr>
        <w:t>CS</w:t>
      </w:r>
      <w:r>
        <w:rPr>
          <w:kern w:val="0"/>
          <w:sz w:val="24"/>
          <w:szCs w:val="22"/>
        </w:rPr>
        <w:t>和</w:t>
      </w:r>
      <w:r>
        <w:rPr>
          <w:i/>
          <w:iCs/>
          <w:kern w:val="0"/>
          <w:sz w:val="24"/>
          <w:szCs w:val="22"/>
        </w:rPr>
        <w:t>CPT1</w:t>
      </w:r>
      <w:r>
        <w:rPr>
          <w:kern w:val="0"/>
          <w:sz w:val="24"/>
          <w:szCs w:val="22"/>
        </w:rPr>
        <w:t>基因的相对表达量差异不显著（</w:t>
      </w:r>
      <w:r>
        <w:rPr>
          <w:i/>
          <w:kern w:val="0"/>
          <w:sz w:val="24"/>
          <w:szCs w:val="22"/>
        </w:rPr>
        <w:t>P</w:t>
      </w:r>
      <w:r>
        <w:rPr>
          <w:kern w:val="0"/>
          <w:sz w:val="24"/>
          <w:szCs w:val="22"/>
        </w:rPr>
        <w:t>&gt;0.05）。</w:t>
      </w:r>
    </w:p>
    <w:p w14:paraId="5469E98B">
      <w:pPr>
        <w:widowControl/>
        <w:spacing w:after="60" w:line="360" w:lineRule="auto"/>
        <w:rPr>
          <w:kern w:val="0"/>
          <w:sz w:val="24"/>
          <w:szCs w:val="22"/>
        </w:rPr>
      </w:pPr>
      <w:r>
        <w:rPr>
          <w:kern w:val="0"/>
          <w:sz w:val="24"/>
          <w:szCs w:val="22"/>
        </w:rPr>
        <w:drawing>
          <wp:inline distT="0" distB="0" distL="0" distR="0">
            <wp:extent cx="6129020" cy="3770630"/>
            <wp:effectExtent l="0" t="0" r="5080" b="127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5"/>
                    <a:stretch>
                      <a:fillRect/>
                    </a:stretch>
                  </pic:blipFill>
                  <pic:spPr>
                    <a:xfrm>
                      <a:off x="0" y="0"/>
                      <a:ext cx="6135414" cy="3774274"/>
                    </a:xfrm>
                    <a:prstGeom prst="rect">
                      <a:avLst/>
                    </a:prstGeom>
                  </pic:spPr>
                </pic:pic>
              </a:graphicData>
            </a:graphic>
          </wp:inline>
        </w:drawing>
      </w:r>
    </w:p>
    <w:p w14:paraId="7E315907">
      <w:pPr>
        <w:widowControl/>
        <w:spacing w:after="60" w:line="360" w:lineRule="auto"/>
        <w:rPr>
          <w:kern w:val="0"/>
          <w:sz w:val="24"/>
          <w:szCs w:val="22"/>
        </w:rPr>
      </w:pPr>
      <w:r>
        <w:rPr>
          <w:kern w:val="0"/>
          <w:sz w:val="24"/>
          <w:szCs w:val="22"/>
        </w:rPr>
        <w:t>2.10</w:t>
      </w:r>
      <w:r>
        <w:rPr>
          <w:rFonts w:hint="eastAsia"/>
          <w:kern w:val="0"/>
          <w:sz w:val="24"/>
          <w:szCs w:val="22"/>
        </w:rPr>
        <w:t xml:space="preserve"> </w:t>
      </w:r>
      <w:r>
        <w:rPr>
          <w:kern w:val="0"/>
          <w:sz w:val="24"/>
          <w:szCs w:val="22"/>
        </w:rPr>
        <w:t>肝胰腺三羧酸循环相关代谢物含量</w:t>
      </w:r>
    </w:p>
    <w:p w14:paraId="46315216">
      <w:pPr>
        <w:widowControl/>
        <w:spacing w:after="60" w:line="360" w:lineRule="auto"/>
        <w:ind w:firstLine="420"/>
        <w:rPr>
          <w:kern w:val="0"/>
          <w:sz w:val="24"/>
          <w:szCs w:val="22"/>
        </w:rPr>
      </w:pPr>
      <w:r>
        <w:rPr>
          <w:kern w:val="0"/>
          <w:sz w:val="24"/>
          <w:szCs w:val="22"/>
        </w:rPr>
        <w:t>肝胰腺三羧酸（TCA）循环相关代谢物含量检测结果显示（图8），与P40组相比，P42.5和P45组对虾</w:t>
      </w:r>
      <w:r>
        <w:rPr>
          <w:rFonts w:hint="eastAsia"/>
          <w:kern w:val="0"/>
          <w:sz w:val="24"/>
          <w:szCs w:val="22"/>
        </w:rPr>
        <w:t>肝胰腺中</w:t>
      </w:r>
      <w:r>
        <w:rPr>
          <w:kern w:val="0"/>
          <w:sz w:val="24"/>
          <w:szCs w:val="22"/>
        </w:rPr>
        <w:t>ATP</w:t>
      </w:r>
      <w:r>
        <w:rPr>
          <w:rFonts w:hint="eastAsia"/>
          <w:kern w:val="0"/>
          <w:sz w:val="24"/>
          <w:szCs w:val="22"/>
        </w:rPr>
        <w:t>和柠檬酸的相对含量均显著上升</w:t>
      </w:r>
      <w:r>
        <w:rPr>
          <w:kern w:val="0"/>
          <w:sz w:val="24"/>
          <w:szCs w:val="22"/>
        </w:rPr>
        <w:t>(P&lt;0.05），而P42.5与P45组之间差异不显著；P45组对虾肝胰腺中</w:t>
      </w:r>
      <w:r>
        <w:rPr>
          <w:kern w:val="0"/>
          <w:sz w:val="24"/>
          <w:szCs w:val="22"/>
          <w:lang w:eastAsia="en-US"/>
        </w:rPr>
        <w:t>α</w:t>
      </w:r>
      <w:r>
        <w:rPr>
          <w:kern w:val="0"/>
          <w:sz w:val="24"/>
          <w:szCs w:val="22"/>
        </w:rPr>
        <w:t>-酮戊二酸相对含量显著高于P40和P42.5组（</w:t>
      </w:r>
      <w:r>
        <w:rPr>
          <w:i/>
          <w:kern w:val="0"/>
          <w:sz w:val="24"/>
          <w:szCs w:val="22"/>
        </w:rPr>
        <w:t>P</w:t>
      </w:r>
      <w:r>
        <w:rPr>
          <w:kern w:val="0"/>
          <w:sz w:val="24"/>
          <w:szCs w:val="22"/>
        </w:rPr>
        <w:t>&lt;0.05），而P42.5与P40组之间无显著差异（</w:t>
      </w:r>
      <w:r>
        <w:rPr>
          <w:i/>
          <w:kern w:val="0"/>
          <w:sz w:val="24"/>
          <w:szCs w:val="22"/>
        </w:rPr>
        <w:t>P</w:t>
      </w:r>
      <w:r>
        <w:rPr>
          <w:kern w:val="0"/>
          <w:sz w:val="24"/>
          <w:szCs w:val="22"/>
        </w:rPr>
        <w:t>&gt;0.05）。</w:t>
      </w:r>
    </w:p>
    <w:p w14:paraId="6D26E93C">
      <w:pPr>
        <w:widowControl/>
        <w:spacing w:after="60" w:line="360" w:lineRule="auto"/>
        <w:rPr>
          <w:kern w:val="0"/>
          <w:sz w:val="24"/>
          <w:szCs w:val="22"/>
        </w:rPr>
      </w:pPr>
      <w:r>
        <w:rPr>
          <w:kern w:val="0"/>
          <w:sz w:val="24"/>
          <w:szCs w:val="22"/>
          <w:lang w:eastAsia="en-US"/>
        </w:rPr>
        <w:drawing>
          <wp:inline distT="0" distB="0" distL="0" distR="0">
            <wp:extent cx="6182995" cy="196215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6"/>
                    <a:srcRect t="3246" b="2592"/>
                    <a:stretch>
                      <a:fillRect/>
                    </a:stretch>
                  </pic:blipFill>
                  <pic:spPr>
                    <a:xfrm>
                      <a:off x="0" y="0"/>
                      <a:ext cx="6189499" cy="1964050"/>
                    </a:xfrm>
                    <a:prstGeom prst="rect">
                      <a:avLst/>
                    </a:prstGeom>
                    <a:ln>
                      <a:noFill/>
                    </a:ln>
                  </pic:spPr>
                </pic:pic>
              </a:graphicData>
            </a:graphic>
          </wp:inline>
        </w:drawing>
      </w:r>
    </w:p>
    <w:p w14:paraId="08CE9B6F">
      <w:pPr>
        <w:widowControl/>
        <w:spacing w:after="60" w:line="360" w:lineRule="auto"/>
        <w:rPr>
          <w:kern w:val="0"/>
          <w:sz w:val="24"/>
          <w:szCs w:val="22"/>
        </w:rPr>
      </w:pPr>
      <w:r>
        <w:rPr>
          <w:kern w:val="0"/>
          <w:sz w:val="24"/>
          <w:szCs w:val="22"/>
        </w:rPr>
        <w:t>3</w:t>
      </w:r>
      <w:r>
        <w:rPr>
          <w:rFonts w:hint="eastAsia"/>
          <w:kern w:val="0"/>
          <w:sz w:val="24"/>
          <w:szCs w:val="22"/>
        </w:rPr>
        <w:t xml:space="preserve"> </w:t>
      </w:r>
      <w:r>
        <w:rPr>
          <w:kern w:val="0"/>
          <w:sz w:val="24"/>
          <w:szCs w:val="22"/>
        </w:rPr>
        <w:t>讨论</w:t>
      </w:r>
    </w:p>
    <w:p w14:paraId="792DB5E1">
      <w:pPr>
        <w:widowControl/>
        <w:spacing w:after="60" w:line="360" w:lineRule="auto"/>
        <w:rPr>
          <w:kern w:val="0"/>
          <w:sz w:val="24"/>
          <w:szCs w:val="22"/>
        </w:rPr>
      </w:pPr>
      <w:r>
        <w:rPr>
          <w:kern w:val="0"/>
          <w:sz w:val="24"/>
          <w:szCs w:val="22"/>
        </w:rPr>
        <w:t>3.1</w:t>
      </w:r>
      <w:r>
        <w:rPr>
          <w:rFonts w:hint="eastAsia"/>
          <w:kern w:val="0"/>
          <w:sz w:val="24"/>
          <w:szCs w:val="22"/>
        </w:rPr>
        <w:t xml:space="preserve"> </w:t>
      </w:r>
      <w:r>
        <w:rPr>
          <w:kern w:val="0"/>
          <w:sz w:val="24"/>
          <w:szCs w:val="22"/>
        </w:rPr>
        <w:t>高温下饲料蛋白水平对凡纳对虾生长和体组成的影响</w:t>
      </w:r>
    </w:p>
    <w:p w14:paraId="69A780A8">
      <w:pPr>
        <w:widowControl/>
        <w:spacing w:after="60" w:line="360" w:lineRule="auto"/>
        <w:ind w:firstLine="420"/>
        <w:rPr>
          <w:kern w:val="0"/>
          <w:sz w:val="24"/>
          <w:szCs w:val="22"/>
        </w:rPr>
      </w:pPr>
      <w:r>
        <w:rPr>
          <w:kern w:val="0"/>
          <w:sz w:val="24"/>
          <w:szCs w:val="22"/>
        </w:rPr>
        <w:t>蛋白质是水产动物饲料中最重要的营养素之一，适宜的蛋白水平是保障甲壳类动物正常生长的关键</w:t>
      </w:r>
      <w:r>
        <w:rPr>
          <w:kern w:val="0"/>
          <w:sz w:val="24"/>
          <w:szCs w:val="22"/>
          <w:vertAlign w:val="superscript"/>
        </w:rPr>
        <w:t>[19]</w:t>
      </w:r>
      <w:r>
        <w:rPr>
          <w:kern w:val="0"/>
          <w:sz w:val="24"/>
          <w:szCs w:val="22"/>
        </w:rPr>
        <w:t>。Al-Subiai等</w:t>
      </w:r>
      <w:r>
        <w:rPr>
          <w:kern w:val="0"/>
          <w:sz w:val="24"/>
          <w:szCs w:val="22"/>
          <w:vertAlign w:val="superscript"/>
        </w:rPr>
        <w:t>[14]</w:t>
      </w:r>
      <w:r>
        <w:rPr>
          <w:kern w:val="0"/>
          <w:sz w:val="24"/>
          <w:szCs w:val="22"/>
        </w:rPr>
        <w:t>发现，在生物絮团系统中，随饲料蛋白水平（25%</w:t>
      </w:r>
      <w:r>
        <w:rPr>
          <w:rFonts w:hint="eastAsia"/>
          <w:kern w:val="0"/>
          <w:sz w:val="24"/>
          <w:szCs w:val="22"/>
        </w:rPr>
        <w:t>-</w:t>
      </w:r>
      <w:r>
        <w:rPr>
          <w:kern w:val="0"/>
          <w:sz w:val="24"/>
          <w:szCs w:val="22"/>
        </w:rPr>
        <w:t>40%）升高，在40%蛋白水平时凡纳对虾的生长性能表现最优。在本研究中，在32℃高温条件下，饲料蛋白质水平在42.5%时凡纳对虾的增重率和特定生长率达到最大值。该结果与李二超等</w:t>
      </w:r>
      <w:r>
        <w:rPr>
          <w:kern w:val="0"/>
          <w:sz w:val="24"/>
          <w:szCs w:val="22"/>
          <w:vertAlign w:val="superscript"/>
        </w:rPr>
        <w:t>[20]</w:t>
      </w:r>
      <w:r>
        <w:rPr>
          <w:kern w:val="0"/>
          <w:sz w:val="24"/>
          <w:szCs w:val="22"/>
        </w:rPr>
        <w:t>、Yuan等</w:t>
      </w:r>
      <w:r>
        <w:rPr>
          <w:kern w:val="0"/>
          <w:sz w:val="24"/>
          <w:szCs w:val="22"/>
          <w:vertAlign w:val="superscript"/>
        </w:rPr>
        <w:t>[21]</w:t>
      </w:r>
      <w:r>
        <w:rPr>
          <w:kern w:val="0"/>
          <w:sz w:val="24"/>
          <w:szCs w:val="22"/>
        </w:rPr>
        <w:t>在凡纳对虾上的研究结果一致，即生长性能随着饲料蛋白水平升高先增后降。类似规律在日本沼虾</w:t>
      </w:r>
      <w:r>
        <w:rPr>
          <w:kern w:val="0"/>
          <w:sz w:val="24"/>
          <w:szCs w:val="22"/>
          <w:vertAlign w:val="superscript"/>
        </w:rPr>
        <w:t>[22]</w:t>
      </w:r>
      <w:r>
        <w:rPr>
          <w:kern w:val="0"/>
          <w:sz w:val="24"/>
          <w:szCs w:val="22"/>
        </w:rPr>
        <w:t>、克氏原螯虾</w:t>
      </w:r>
      <w:r>
        <w:rPr>
          <w:kern w:val="0"/>
          <w:sz w:val="24"/>
          <w:szCs w:val="22"/>
          <w:vertAlign w:val="superscript"/>
        </w:rPr>
        <w:t>[23]</w:t>
      </w:r>
      <w:r>
        <w:rPr>
          <w:kern w:val="0"/>
          <w:sz w:val="24"/>
          <w:szCs w:val="22"/>
        </w:rPr>
        <w:t>和中国对虾</w:t>
      </w:r>
      <w:r>
        <w:rPr>
          <w:kern w:val="0"/>
          <w:sz w:val="24"/>
          <w:szCs w:val="22"/>
          <w:vertAlign w:val="superscript"/>
        </w:rPr>
        <w:t>[24]</w:t>
      </w:r>
      <w:r>
        <w:rPr>
          <w:kern w:val="0"/>
          <w:sz w:val="24"/>
          <w:szCs w:val="22"/>
        </w:rPr>
        <w:t>中均有报道。可能的原因是当蛋白水平超过最适需求后，过量氨基酸经脱氨作用消耗能量并产生代谢废物，增加肝胰腺负担</w:t>
      </w:r>
      <w:r>
        <w:rPr>
          <w:kern w:val="0"/>
          <w:sz w:val="24"/>
          <w:szCs w:val="22"/>
          <w:vertAlign w:val="superscript"/>
        </w:rPr>
        <w:t>[25]</w:t>
      </w:r>
      <w:r>
        <w:rPr>
          <w:kern w:val="0"/>
          <w:sz w:val="24"/>
          <w:szCs w:val="22"/>
        </w:rPr>
        <w:t>，减少了用于生长的能量分配。</w:t>
      </w:r>
    </w:p>
    <w:p w14:paraId="59FF9A0D">
      <w:pPr>
        <w:widowControl/>
        <w:spacing w:after="60" w:line="360" w:lineRule="auto"/>
        <w:ind w:firstLine="420"/>
        <w:rPr>
          <w:kern w:val="0"/>
          <w:sz w:val="24"/>
          <w:szCs w:val="22"/>
        </w:rPr>
      </w:pPr>
      <w:r>
        <w:rPr>
          <w:kern w:val="0"/>
          <w:sz w:val="24"/>
          <w:szCs w:val="22"/>
        </w:rPr>
        <w:t>本研究在32℃高温下开展，高温环境会导致水</w:t>
      </w:r>
      <w:r>
        <w:rPr>
          <w:rFonts w:hint="eastAsia"/>
          <w:kern w:val="0"/>
          <w:sz w:val="24"/>
          <w:szCs w:val="22"/>
        </w:rPr>
        <w:t>产动物氧化应激和消化功能下降，对生长产生不利</w:t>
      </w:r>
      <w:r>
        <w:rPr>
          <w:kern w:val="0"/>
          <w:sz w:val="24"/>
          <w:szCs w:val="22"/>
        </w:rPr>
        <w:t>影响。Ma等</w:t>
      </w:r>
      <w:r>
        <w:rPr>
          <w:kern w:val="0"/>
          <w:sz w:val="24"/>
          <w:szCs w:val="22"/>
          <w:vertAlign w:val="superscript"/>
        </w:rPr>
        <w:t>[26]</w:t>
      </w:r>
      <w:r>
        <w:rPr>
          <w:kern w:val="0"/>
          <w:sz w:val="24"/>
          <w:szCs w:val="22"/>
        </w:rPr>
        <w:t>发现慢性热胁迫显著降低了虹鳟（</w:t>
      </w:r>
      <w:r>
        <w:rPr>
          <w:i/>
          <w:kern w:val="0"/>
          <w:sz w:val="24"/>
          <w:szCs w:val="22"/>
        </w:rPr>
        <w:t>Oncorhynchus mykiss</w:t>
      </w:r>
      <w:r>
        <w:rPr>
          <w:kern w:val="0"/>
          <w:sz w:val="24"/>
          <w:szCs w:val="22"/>
        </w:rPr>
        <w:t>）肠道消化酶活性；Hoang等</w:t>
      </w:r>
      <w:r>
        <w:rPr>
          <w:kern w:val="0"/>
          <w:sz w:val="24"/>
          <w:szCs w:val="22"/>
          <w:vertAlign w:val="superscript"/>
        </w:rPr>
        <w:t>[5]</w:t>
      </w:r>
      <w:r>
        <w:rPr>
          <w:kern w:val="0"/>
          <w:sz w:val="24"/>
          <w:szCs w:val="22"/>
        </w:rPr>
        <w:t>发现高温显著降低了香蕉虾（</w:t>
      </w:r>
      <w:r>
        <w:rPr>
          <w:i/>
          <w:kern w:val="0"/>
          <w:sz w:val="24"/>
          <w:szCs w:val="22"/>
        </w:rPr>
        <w:t>Penaeus merguiensis</w:t>
      </w:r>
      <w:r>
        <w:rPr>
          <w:kern w:val="0"/>
          <w:sz w:val="24"/>
          <w:szCs w:val="22"/>
        </w:rPr>
        <w:t>）的存活率和摄食量。高温下机体需消耗更多能量用于应激蛋白合成和细胞修复，可用于组织沉积的能量减少，饲料转化效率下降</w:t>
      </w:r>
      <w:r>
        <w:rPr>
          <w:kern w:val="0"/>
          <w:sz w:val="24"/>
          <w:szCs w:val="22"/>
          <w:vertAlign w:val="superscript"/>
        </w:rPr>
        <w:t>[10]</w:t>
      </w:r>
      <w:r>
        <w:rPr>
          <w:kern w:val="0"/>
          <w:sz w:val="24"/>
          <w:szCs w:val="22"/>
        </w:rPr>
        <w:t>。因此，P42.5组的最优生长表现可能反映了42.5%蛋白水平在高温环境下实现了蛋白质供给与代谢需求之间的平衡。</w:t>
      </w:r>
    </w:p>
    <w:p w14:paraId="3DC5C994">
      <w:pPr>
        <w:widowControl/>
        <w:spacing w:after="60" w:line="360" w:lineRule="auto"/>
        <w:ind w:firstLine="420"/>
        <w:rPr>
          <w:kern w:val="0"/>
          <w:sz w:val="24"/>
          <w:szCs w:val="22"/>
        </w:rPr>
      </w:pPr>
      <w:r>
        <w:rPr>
          <w:kern w:val="0"/>
          <w:sz w:val="24"/>
          <w:szCs w:val="22"/>
        </w:rPr>
        <w:t>体成分变化可反映饲料营养水平对机体物质沉积的影响</w:t>
      </w:r>
      <w:r>
        <w:rPr>
          <w:kern w:val="0"/>
          <w:sz w:val="24"/>
          <w:szCs w:val="22"/>
          <w:vertAlign w:val="superscript"/>
        </w:rPr>
        <w:t>[27]</w:t>
      </w:r>
      <w:r>
        <w:rPr>
          <w:kern w:val="0"/>
          <w:sz w:val="24"/>
          <w:szCs w:val="22"/>
        </w:rPr>
        <w:t>。在本研究中，P42.5组对虾体蛋白含量最高，而P45组表现出略低的体蛋白水平，同时，P45组对虾体脂肪含量最高。Yuan等</w:t>
      </w:r>
      <w:r>
        <w:rPr>
          <w:kern w:val="0"/>
          <w:sz w:val="24"/>
          <w:szCs w:val="22"/>
          <w:vertAlign w:val="superscript"/>
        </w:rPr>
        <w:t>[21]</w:t>
      </w:r>
      <w:r>
        <w:rPr>
          <w:kern w:val="0"/>
          <w:sz w:val="24"/>
          <w:szCs w:val="22"/>
        </w:rPr>
        <w:t>在凡纳对虾上也发现虾体粗蛋白含量随蛋白水平升高先增后降。Wang等</w:t>
      </w:r>
      <w:r>
        <w:rPr>
          <w:kern w:val="0"/>
          <w:sz w:val="24"/>
          <w:szCs w:val="22"/>
          <w:vertAlign w:val="superscript"/>
        </w:rPr>
        <w:t>[13]</w:t>
      </w:r>
      <w:r>
        <w:rPr>
          <w:kern w:val="0"/>
          <w:sz w:val="24"/>
          <w:szCs w:val="22"/>
        </w:rPr>
        <w:t>报道，随着饲料蛋白水平从32%升高至44%，凡纳对虾体蛋白含量显著增加，但进一步升高至48%时体蛋白不再显著变化，而体脂肪持续积累。本研究中对虾体脂肪含量随蛋白水平升高而增加，可能与高温下机体能量代谢模式改变有关，能量代谢加速后，过量蛋白质脱氨产生的碳骨架转化为脂肪沉积。</w:t>
      </w:r>
    </w:p>
    <w:p w14:paraId="67D2F8F9">
      <w:pPr>
        <w:widowControl/>
        <w:spacing w:after="60" w:line="360" w:lineRule="auto"/>
        <w:rPr>
          <w:kern w:val="0"/>
          <w:sz w:val="24"/>
          <w:szCs w:val="22"/>
        </w:rPr>
      </w:pPr>
      <w:r>
        <w:rPr>
          <w:kern w:val="0"/>
          <w:sz w:val="24"/>
          <w:szCs w:val="22"/>
        </w:rPr>
        <w:t>3.2</w:t>
      </w:r>
      <w:r>
        <w:rPr>
          <w:rFonts w:hint="eastAsia"/>
          <w:kern w:val="0"/>
          <w:sz w:val="24"/>
          <w:szCs w:val="22"/>
        </w:rPr>
        <w:t xml:space="preserve"> </w:t>
      </w:r>
      <w:r>
        <w:rPr>
          <w:kern w:val="0"/>
          <w:sz w:val="24"/>
          <w:szCs w:val="22"/>
        </w:rPr>
        <w:t>高温下饲料蛋白水平对凡纳对虾血浆生化指标的影响</w:t>
      </w:r>
    </w:p>
    <w:p w14:paraId="23A649DE">
      <w:pPr>
        <w:widowControl/>
        <w:spacing w:after="60" w:line="360" w:lineRule="auto"/>
        <w:ind w:firstLine="420"/>
        <w:rPr>
          <w:kern w:val="0"/>
          <w:sz w:val="24"/>
          <w:szCs w:val="22"/>
        </w:rPr>
      </w:pPr>
      <w:r>
        <w:rPr>
          <w:rFonts w:hint="eastAsia"/>
          <w:kern w:val="0"/>
          <w:sz w:val="24"/>
          <w:szCs w:val="22"/>
        </w:rPr>
        <w:t>血浆生化指标可反映饲料蛋白水平对机体代</w:t>
      </w:r>
      <w:r>
        <w:rPr>
          <w:kern w:val="0"/>
          <w:sz w:val="24"/>
          <w:szCs w:val="22"/>
        </w:rPr>
        <w:t>谢的影响。在本研究中，随饲料蛋白水平升高，凡纳对虾血氨水平也在P45组达到最高，血浆白蛋白含量和SOD活性呈先升后降趋势，AST和ALT活性在P42.5组最低。血氨是氨基酸脱氨代谢的主要终产物，其含量会随温度的升高而升高</w:t>
      </w:r>
      <w:r>
        <w:rPr>
          <w:kern w:val="0"/>
          <w:sz w:val="24"/>
          <w:szCs w:val="22"/>
          <w:vertAlign w:val="superscript"/>
        </w:rPr>
        <w:t>[28]</w:t>
      </w:r>
      <w:r>
        <w:rPr>
          <w:kern w:val="0"/>
          <w:sz w:val="24"/>
          <w:szCs w:val="22"/>
        </w:rPr>
        <w:t>。申玉春等</w:t>
      </w:r>
      <w:r>
        <w:rPr>
          <w:kern w:val="0"/>
          <w:sz w:val="24"/>
          <w:szCs w:val="22"/>
          <w:vertAlign w:val="superscript"/>
        </w:rPr>
        <w:t>[29]</w:t>
      </w:r>
      <w:r>
        <w:rPr>
          <w:kern w:val="0"/>
          <w:sz w:val="24"/>
          <w:szCs w:val="22"/>
        </w:rPr>
        <w:t>的研究表明，随着饲料蛋白质水平的升高，对虾的排氨率会显著升高。与该结果一致，本研究中P45组血氨达到最高水平，表明高温环境下摄入过量蛋白将导致氨基酸大量脱氨，代谢负荷加重。Liang等</w:t>
      </w:r>
      <w:r>
        <w:rPr>
          <w:kern w:val="0"/>
          <w:sz w:val="24"/>
          <w:szCs w:val="22"/>
          <w:vertAlign w:val="superscript"/>
        </w:rPr>
        <w:t>[30]</w:t>
      </w:r>
      <w:r>
        <w:rPr>
          <w:kern w:val="0"/>
          <w:sz w:val="24"/>
          <w:szCs w:val="22"/>
        </w:rPr>
        <w:t>证实氨暴露可诱导凡纳对虾肝胰腺氧化应激并引发内质网应激和细胞凋亡；Cui等</w:t>
      </w:r>
      <w:r>
        <w:rPr>
          <w:kern w:val="0"/>
          <w:sz w:val="24"/>
          <w:szCs w:val="22"/>
          <w:vertAlign w:val="superscript"/>
        </w:rPr>
        <w:t>[31]</w:t>
      </w:r>
      <w:r>
        <w:rPr>
          <w:kern w:val="0"/>
          <w:sz w:val="24"/>
          <w:szCs w:val="22"/>
        </w:rPr>
        <w:t>也发现氨胁迫下对虾抗氧化酶活性呈应激性升高后下降的趋势。李凤玉等</w:t>
      </w:r>
      <w:r>
        <w:rPr>
          <w:kern w:val="0"/>
          <w:sz w:val="24"/>
          <w:szCs w:val="22"/>
          <w:vertAlign w:val="superscript"/>
        </w:rPr>
        <w:t>[32]</w:t>
      </w:r>
      <w:r>
        <w:rPr>
          <w:kern w:val="0"/>
          <w:sz w:val="24"/>
          <w:szCs w:val="22"/>
        </w:rPr>
        <w:t>在斑节对虾上也发现，AST、ALT活性随饲料蛋白水平升高先降后升，表明适宜蛋白水平有利于维持肝胰腺正常功能，蛋白过量则损伤肝胰腺并降低营养物质利用率。</w:t>
      </w:r>
    </w:p>
    <w:p w14:paraId="3D6C8238">
      <w:pPr>
        <w:widowControl/>
        <w:spacing w:after="60" w:line="360" w:lineRule="auto"/>
        <w:ind w:firstLine="420"/>
        <w:rPr>
          <w:kern w:val="0"/>
          <w:sz w:val="24"/>
          <w:szCs w:val="22"/>
        </w:rPr>
      </w:pPr>
      <w:r>
        <w:rPr>
          <w:kern w:val="0"/>
          <w:sz w:val="24"/>
          <w:szCs w:val="22"/>
        </w:rPr>
        <w:t>白蛋白由肝胰腺合成，可以作为反映蛋白质合成能力和营养状况的指标。P42.5组白蛋白水平最高，说明适宜蛋白水平促进了肝胰腺蛋白质合成功能。P42.5组SOD活性最高，表明适宜蛋白水平增强了抗氧化防御能力；P45组SOD显著下降且血氨升高，提示过量蛋白代谢产生的氧化压力已超出机体代偿能力。Hu等</w:t>
      </w:r>
      <w:r>
        <w:rPr>
          <w:kern w:val="0"/>
          <w:sz w:val="24"/>
          <w:szCs w:val="22"/>
          <w:vertAlign w:val="superscript"/>
        </w:rPr>
        <w:t>[33]</w:t>
      </w:r>
      <w:r>
        <w:rPr>
          <w:kern w:val="0"/>
          <w:sz w:val="24"/>
          <w:szCs w:val="22"/>
        </w:rPr>
        <w:t>也发现适宜蛋白水平组凡纳对虾仔虾的非特异性免疫指标和抗氨氮胁迫能力最优。在32℃高温下，热应激本身即可加剧氧化应激反应</w:t>
      </w:r>
      <w:r>
        <w:rPr>
          <w:kern w:val="0"/>
          <w:sz w:val="24"/>
          <w:szCs w:val="22"/>
          <w:vertAlign w:val="superscript"/>
        </w:rPr>
        <w:t>[10]</w:t>
      </w:r>
      <w:r>
        <w:rPr>
          <w:kern w:val="0"/>
          <w:sz w:val="24"/>
          <w:szCs w:val="22"/>
        </w:rPr>
        <w:t>，当因饲料蛋白质过量引起对虾代谢负担时，可能进一步加重氧化损伤，这与P45组多项生化指标降低的结果相符合。</w:t>
      </w:r>
    </w:p>
    <w:p w14:paraId="06CC7D82">
      <w:pPr>
        <w:widowControl/>
        <w:spacing w:after="60" w:line="360" w:lineRule="auto"/>
        <w:rPr>
          <w:kern w:val="0"/>
          <w:sz w:val="24"/>
          <w:szCs w:val="22"/>
        </w:rPr>
      </w:pPr>
      <w:r>
        <w:rPr>
          <w:kern w:val="0"/>
          <w:sz w:val="24"/>
          <w:szCs w:val="22"/>
        </w:rPr>
        <w:t>3.3</w:t>
      </w:r>
      <w:r>
        <w:rPr>
          <w:rFonts w:hint="eastAsia"/>
          <w:kern w:val="0"/>
          <w:sz w:val="24"/>
          <w:szCs w:val="22"/>
        </w:rPr>
        <w:t xml:space="preserve"> </w:t>
      </w:r>
      <w:r>
        <w:rPr>
          <w:kern w:val="0"/>
          <w:sz w:val="24"/>
          <w:szCs w:val="22"/>
        </w:rPr>
        <w:t>高温下饲料蛋白水平对凡纳对虾抗氧化能力的影响</w:t>
      </w:r>
    </w:p>
    <w:p w14:paraId="6DF78B90">
      <w:pPr>
        <w:widowControl/>
        <w:spacing w:after="60" w:line="360" w:lineRule="auto"/>
        <w:ind w:firstLine="420"/>
        <w:rPr>
          <w:kern w:val="0"/>
          <w:sz w:val="24"/>
          <w:szCs w:val="22"/>
        </w:rPr>
      </w:pPr>
      <w:r>
        <w:rPr>
          <w:kern w:val="0"/>
          <w:sz w:val="24"/>
          <w:szCs w:val="22"/>
        </w:rPr>
        <w:t>在本研究中，凡纳对虾肝胰腺LZM、SOD、CAT、T-AOC和GSH含量均在P42.5组达到最高；P45组MDA含量显著升高，表明蛋白过量诱导了氧化应激。Hu等</w:t>
      </w:r>
      <w:r>
        <w:rPr>
          <w:kern w:val="0"/>
          <w:sz w:val="24"/>
          <w:szCs w:val="22"/>
          <w:vertAlign w:val="superscript"/>
        </w:rPr>
        <w:t>[33]</w:t>
      </w:r>
      <w:r>
        <w:rPr>
          <w:kern w:val="0"/>
          <w:sz w:val="24"/>
          <w:szCs w:val="22"/>
        </w:rPr>
        <w:t>在凡纳对虾幼虾上也发现，适宜蛋白水平组（43%—46%）肝胰腺SOD、CAT等抗氧化酶活性显著高于低蛋白组。Xu等</w:t>
      </w:r>
      <w:r>
        <w:rPr>
          <w:kern w:val="0"/>
          <w:sz w:val="24"/>
          <w:szCs w:val="22"/>
          <w:vertAlign w:val="superscript"/>
        </w:rPr>
        <w:t>[34]</w:t>
      </w:r>
      <w:r>
        <w:rPr>
          <w:kern w:val="0"/>
          <w:sz w:val="24"/>
          <w:szCs w:val="22"/>
        </w:rPr>
        <w:t>对草鱼的研究证实，适宜蛋白水平可通过激活Nrf2信号通路上调抗氧化酶基因表达，蛋白不足则抑制该通路并导致氧化损伤。SOD和CAT是机体抵御活性氧（ROS）的第一道防线，两者协同清除超氧阴离子和过氧化氢</w:t>
      </w:r>
      <w:r>
        <w:rPr>
          <w:kern w:val="0"/>
          <w:sz w:val="24"/>
          <w:szCs w:val="22"/>
          <w:vertAlign w:val="superscript"/>
        </w:rPr>
        <w:t>[35]</w:t>
      </w:r>
      <w:r>
        <w:rPr>
          <w:kern w:val="0"/>
          <w:sz w:val="24"/>
          <w:szCs w:val="22"/>
        </w:rPr>
        <w:t>。适宜蛋白水平为抗氧化酶和谷胱甘肽等非酶抗氧化物质的合成提供充足的氨基酸底物，维持氧化-抗氧化平衡。当蛋白水平过高时，过量氨基酸脱氨产生大量氨氮，诱导ROS过度生成。Duan等</w:t>
      </w:r>
      <w:r>
        <w:rPr>
          <w:kern w:val="0"/>
          <w:sz w:val="24"/>
          <w:szCs w:val="22"/>
          <w:vertAlign w:val="superscript"/>
        </w:rPr>
        <w:t>[36]</w:t>
      </w:r>
      <w:r>
        <w:rPr>
          <w:kern w:val="0"/>
          <w:sz w:val="24"/>
          <w:szCs w:val="22"/>
        </w:rPr>
        <w:t>研究表明，在应激条件下MDA含量升高，抗氧化酶活性呈先升后降的响应模式。本研究P45组MDA显著升高、CAT和T-AOC活性显著降低，表明蛋白过量诱导的氧化应激已超出机体代偿能力。</w:t>
      </w:r>
    </w:p>
    <w:p w14:paraId="4CB1FB03">
      <w:pPr>
        <w:widowControl/>
        <w:spacing w:after="60" w:line="360" w:lineRule="auto"/>
        <w:ind w:firstLine="420"/>
        <w:rPr>
          <w:kern w:val="0"/>
          <w:sz w:val="24"/>
          <w:szCs w:val="22"/>
        </w:rPr>
      </w:pPr>
      <w:r>
        <w:rPr>
          <w:kern w:val="0"/>
          <w:sz w:val="24"/>
          <w:szCs w:val="22"/>
        </w:rPr>
        <w:t>在32℃高温条件下，机体代谢加速，线粒体呼吸链电子泄漏增加，ROS生成增多。Liao等</w:t>
      </w:r>
      <w:r>
        <w:rPr>
          <w:kern w:val="0"/>
          <w:sz w:val="24"/>
          <w:szCs w:val="22"/>
          <w:vertAlign w:val="superscript"/>
        </w:rPr>
        <w:t>[37]</w:t>
      </w:r>
      <w:r>
        <w:rPr>
          <w:kern w:val="0"/>
          <w:sz w:val="24"/>
          <w:szCs w:val="22"/>
        </w:rPr>
        <w:t>报道热应激可诱导对虾氧化损伤并扰乱肠道微生物平衡。若饲料蛋白水平不当，蛋白代谢产生的额外压力将与热应激叠加，加剧氧化损伤。P42.5组在32℃下仍维持最高的抗氧化酶活性和最低的MDA含量，说明该蛋白水平最有利于维持高温环境下对虾的抗氧化防御能力。</w:t>
      </w:r>
    </w:p>
    <w:p w14:paraId="62F78AEA">
      <w:pPr>
        <w:widowControl/>
        <w:spacing w:after="60" w:line="360" w:lineRule="auto"/>
        <w:rPr>
          <w:kern w:val="0"/>
          <w:sz w:val="24"/>
          <w:szCs w:val="22"/>
        </w:rPr>
      </w:pPr>
      <w:r>
        <w:rPr>
          <w:kern w:val="0"/>
          <w:sz w:val="24"/>
          <w:szCs w:val="22"/>
        </w:rPr>
        <w:t>3.4</w:t>
      </w:r>
      <w:r>
        <w:rPr>
          <w:rFonts w:hint="eastAsia"/>
          <w:kern w:val="0"/>
          <w:sz w:val="24"/>
          <w:szCs w:val="22"/>
        </w:rPr>
        <w:t xml:space="preserve"> </w:t>
      </w:r>
      <w:r>
        <w:rPr>
          <w:kern w:val="0"/>
          <w:sz w:val="24"/>
          <w:szCs w:val="22"/>
        </w:rPr>
        <w:t>高温下饲料蛋白水平对凡纳对虾肠道健康的影响</w:t>
      </w:r>
    </w:p>
    <w:p w14:paraId="4D991144">
      <w:pPr>
        <w:widowControl/>
        <w:spacing w:after="60" w:line="360" w:lineRule="auto"/>
        <w:ind w:firstLine="420"/>
        <w:rPr>
          <w:kern w:val="0"/>
          <w:sz w:val="24"/>
          <w:szCs w:val="22"/>
        </w:rPr>
      </w:pPr>
      <w:r>
        <w:rPr>
          <w:kern w:val="0"/>
          <w:sz w:val="24"/>
          <w:szCs w:val="22"/>
        </w:rPr>
        <w:t>肠道细胞间的紧密连接由Claudin、Occludin和ZO等蛋白家族组成，对维持肠道屏障功能具有重要作用</w:t>
      </w:r>
      <w:r>
        <w:rPr>
          <w:kern w:val="0"/>
          <w:sz w:val="24"/>
          <w:szCs w:val="22"/>
          <w:vertAlign w:val="superscript"/>
        </w:rPr>
        <w:t>[38]</w:t>
      </w:r>
      <w:r>
        <w:rPr>
          <w:kern w:val="0"/>
          <w:sz w:val="24"/>
          <w:szCs w:val="22"/>
        </w:rPr>
        <w:t>。在本研究中，P42.5组对虾肠绒毛高度及</w:t>
      </w:r>
      <w:r>
        <w:rPr>
          <w:i/>
          <w:iCs/>
          <w:kern w:val="0"/>
          <w:sz w:val="24"/>
          <w:szCs w:val="22"/>
        </w:rPr>
        <w:t>Claudin-3</w:t>
      </w:r>
      <w:r>
        <w:rPr>
          <w:kern w:val="0"/>
          <w:sz w:val="24"/>
          <w:szCs w:val="22"/>
        </w:rPr>
        <w:t>、</w:t>
      </w:r>
      <w:r>
        <w:rPr>
          <w:i/>
          <w:iCs/>
          <w:kern w:val="0"/>
          <w:sz w:val="24"/>
          <w:szCs w:val="22"/>
        </w:rPr>
        <w:t>Occludin</w:t>
      </w:r>
      <w:r>
        <w:rPr>
          <w:kern w:val="0"/>
          <w:sz w:val="24"/>
          <w:szCs w:val="22"/>
        </w:rPr>
        <w:t>、</w:t>
      </w:r>
      <w:r>
        <w:rPr>
          <w:i/>
          <w:iCs/>
          <w:kern w:val="0"/>
          <w:sz w:val="24"/>
          <w:szCs w:val="22"/>
        </w:rPr>
        <w:t>ZO-1</w:t>
      </w:r>
      <w:r>
        <w:rPr>
          <w:kern w:val="0"/>
          <w:sz w:val="24"/>
          <w:szCs w:val="22"/>
        </w:rPr>
        <w:t>基因表达量均为最高，P45组则显著低于P42.5组。先前在凡纳对虾</w:t>
      </w:r>
      <w:r>
        <w:rPr>
          <w:kern w:val="0"/>
          <w:sz w:val="24"/>
          <w:szCs w:val="22"/>
          <w:vertAlign w:val="superscript"/>
        </w:rPr>
        <w:t>[14]</w:t>
      </w:r>
      <w:r>
        <w:rPr>
          <w:kern w:val="0"/>
          <w:sz w:val="24"/>
          <w:szCs w:val="22"/>
        </w:rPr>
        <w:t>上的研究也发现，肠道绒毛高度随饲料蛋白水平升高先增后降，适宜蛋白水平组绒毛高度最高。足够的饲料蛋白质为肠上皮细胞增殖和分化提供了充足的氨基酸底物，促进绒毛生长并增加消化吸收面积；当蛋白水平过高时，过量氨基酸代谢产生的氨氮会对机体产生胁迫作用，而氨氮和亚硝酸盐胁迫可破坏凡纳对虾肠道黏膜组织并抑制黏膜免疫功能</w:t>
      </w:r>
      <w:r>
        <w:rPr>
          <w:kern w:val="0"/>
          <w:sz w:val="24"/>
          <w:szCs w:val="22"/>
          <w:vertAlign w:val="superscript"/>
        </w:rPr>
        <w:t>[39]</w:t>
      </w:r>
      <w:r>
        <w:rPr>
          <w:kern w:val="0"/>
          <w:sz w:val="24"/>
          <w:szCs w:val="22"/>
        </w:rPr>
        <w:t>，也会对肠上皮细胞产生毒害作用，破坏紧密连接结构。本研究P45组肠绒毛高度下降、紧密连接蛋白基因表达降低，可能与过量蛋白代谢产生的氨氮对肠上皮细胞的损伤有关。</w:t>
      </w:r>
    </w:p>
    <w:p w14:paraId="04384AE1">
      <w:pPr>
        <w:widowControl/>
        <w:spacing w:after="60" w:line="360" w:lineRule="auto"/>
        <w:ind w:firstLine="420"/>
        <w:rPr>
          <w:kern w:val="0"/>
          <w:sz w:val="24"/>
          <w:szCs w:val="22"/>
        </w:rPr>
      </w:pPr>
      <w:r>
        <w:rPr>
          <w:kern w:val="0"/>
          <w:sz w:val="24"/>
          <w:szCs w:val="22"/>
        </w:rPr>
        <w:t>在32℃高温下，热应激会进一步加剧肠道屏障损伤。Duan等</w:t>
      </w:r>
      <w:r>
        <w:rPr>
          <w:kern w:val="0"/>
          <w:sz w:val="24"/>
          <w:szCs w:val="22"/>
          <w:vertAlign w:val="superscript"/>
        </w:rPr>
        <w:t>[40]</w:t>
      </w:r>
      <w:r>
        <w:rPr>
          <w:kern w:val="0"/>
          <w:sz w:val="24"/>
          <w:szCs w:val="22"/>
        </w:rPr>
        <w:t>发现高温导致对虾肠道黏膜结构受损，肠上皮细胞从基底膜剥离。若蛋白水平不当，蛋白代谢产生的额外压力将与热应激叠加，加剧肠道损伤。P42.5组在高温下仍维持最高的肠绒毛高度和紧密连接蛋白基因表达，推测该蛋白水平恰好满足了高温环境下肠上皮细胞增殖和紧密连接蛋白合成的氨基酸需求，从而维持了肠道屏障的完整性。</w:t>
      </w:r>
    </w:p>
    <w:p w14:paraId="7E9D3FCC">
      <w:pPr>
        <w:widowControl/>
        <w:spacing w:after="60" w:line="360" w:lineRule="auto"/>
        <w:rPr>
          <w:kern w:val="0"/>
          <w:sz w:val="24"/>
          <w:szCs w:val="22"/>
        </w:rPr>
      </w:pPr>
      <w:r>
        <w:rPr>
          <w:kern w:val="0"/>
          <w:sz w:val="24"/>
          <w:szCs w:val="22"/>
        </w:rPr>
        <w:t>3.5</w:t>
      </w:r>
      <w:r>
        <w:rPr>
          <w:rFonts w:hint="eastAsia"/>
          <w:kern w:val="0"/>
          <w:sz w:val="24"/>
          <w:szCs w:val="22"/>
        </w:rPr>
        <w:t xml:space="preserve"> </w:t>
      </w:r>
      <w:r>
        <w:rPr>
          <w:kern w:val="0"/>
          <w:sz w:val="24"/>
          <w:szCs w:val="22"/>
        </w:rPr>
        <w:t>高温下饲料蛋白水平对凡纳对虾蛋白质合成的影响</w:t>
      </w:r>
    </w:p>
    <w:p w14:paraId="71A57FCD">
      <w:pPr>
        <w:widowControl/>
        <w:spacing w:after="60" w:line="360" w:lineRule="auto"/>
        <w:ind w:firstLine="420"/>
        <w:rPr>
          <w:kern w:val="0"/>
          <w:sz w:val="24"/>
          <w:szCs w:val="22"/>
        </w:rPr>
      </w:pPr>
      <w:r>
        <w:rPr>
          <w:kern w:val="0"/>
          <w:sz w:val="24"/>
          <w:szCs w:val="22"/>
        </w:rPr>
        <w:t>真核翻译起始因子在蛋白质合成调控中发挥核心作用。eIF4E作为帽结合蛋白，是翻译起始的限速因子；eIF3K参与翻译起始复合物的组装。而4EBP作为翻译抑制因子，可通过竞争性结合eIF4E阻断翻译起始，其磷酸化状态受TOR信号通路的调控</w:t>
      </w:r>
      <w:r>
        <w:rPr>
          <w:kern w:val="0"/>
          <w:sz w:val="24"/>
          <w:szCs w:val="22"/>
          <w:vertAlign w:val="superscript"/>
        </w:rPr>
        <w:t>[41]</w:t>
      </w:r>
      <w:r>
        <w:rPr>
          <w:kern w:val="0"/>
          <w:sz w:val="24"/>
          <w:szCs w:val="22"/>
        </w:rPr>
        <w:t>。在本研究中，随饲料蛋白水平从40%提高至42.5%，凡纳对虾肝胰腺</w:t>
      </w:r>
      <w:r>
        <w:rPr>
          <w:i/>
          <w:iCs/>
          <w:kern w:val="0"/>
          <w:sz w:val="24"/>
          <w:szCs w:val="22"/>
        </w:rPr>
        <w:t>eIF3K</w:t>
      </w:r>
      <w:r>
        <w:rPr>
          <w:kern w:val="0"/>
          <w:sz w:val="24"/>
          <w:szCs w:val="22"/>
        </w:rPr>
        <w:t>和</w:t>
      </w:r>
      <w:r>
        <w:rPr>
          <w:i/>
          <w:iCs/>
          <w:kern w:val="0"/>
          <w:sz w:val="24"/>
          <w:szCs w:val="22"/>
        </w:rPr>
        <w:t>eIF4E</w:t>
      </w:r>
      <w:r>
        <w:rPr>
          <w:kern w:val="0"/>
          <w:sz w:val="24"/>
          <w:szCs w:val="22"/>
        </w:rPr>
        <w:t>基因表达显著升高，</w:t>
      </w:r>
      <w:r>
        <w:rPr>
          <w:i/>
          <w:iCs/>
          <w:kern w:val="0"/>
          <w:sz w:val="24"/>
          <w:szCs w:val="22"/>
        </w:rPr>
        <w:t>4EBP1</w:t>
      </w:r>
      <w:r>
        <w:rPr>
          <w:kern w:val="0"/>
          <w:sz w:val="24"/>
          <w:szCs w:val="22"/>
        </w:rPr>
        <w:t>表达显著降低；但蛋白水平进一步提高至45%时，</w:t>
      </w:r>
      <w:r>
        <w:rPr>
          <w:i/>
          <w:iCs/>
          <w:kern w:val="0"/>
          <w:sz w:val="24"/>
          <w:szCs w:val="22"/>
        </w:rPr>
        <w:t>eIF3K</w:t>
      </w:r>
      <w:r>
        <w:rPr>
          <w:kern w:val="0"/>
          <w:sz w:val="24"/>
          <w:szCs w:val="22"/>
        </w:rPr>
        <w:t>和</w:t>
      </w:r>
      <w:r>
        <w:rPr>
          <w:i/>
          <w:iCs/>
          <w:kern w:val="0"/>
          <w:sz w:val="24"/>
          <w:szCs w:val="22"/>
        </w:rPr>
        <w:t>eIF4E</w:t>
      </w:r>
      <w:r>
        <w:rPr>
          <w:kern w:val="0"/>
          <w:sz w:val="24"/>
          <w:szCs w:val="22"/>
        </w:rPr>
        <w:t>表达下降，</w:t>
      </w:r>
      <w:r>
        <w:rPr>
          <w:i/>
          <w:iCs/>
          <w:kern w:val="0"/>
          <w:sz w:val="24"/>
          <w:szCs w:val="22"/>
        </w:rPr>
        <w:t>4EBP1</w:t>
      </w:r>
      <w:r>
        <w:rPr>
          <w:kern w:val="0"/>
          <w:sz w:val="24"/>
          <w:szCs w:val="22"/>
        </w:rPr>
        <w:t>表达回升。这与Xie等</w:t>
      </w:r>
      <w:r>
        <w:rPr>
          <w:kern w:val="0"/>
          <w:sz w:val="24"/>
          <w:szCs w:val="22"/>
          <w:vertAlign w:val="superscript"/>
        </w:rPr>
        <w:t>[42]</w:t>
      </w:r>
      <w:r>
        <w:rPr>
          <w:kern w:val="0"/>
          <w:sz w:val="24"/>
          <w:szCs w:val="22"/>
        </w:rPr>
        <w:t>的研究结果一致，即存在一个特定的蛋白水平，使凡纳对虾仔虾eIF4E和eIF3K的相对表达量最高，蛋白不足或过量均导致翻译起始因子表达降低。</w:t>
      </w:r>
    </w:p>
    <w:p w14:paraId="7524BDB3">
      <w:pPr>
        <w:widowControl/>
        <w:spacing w:after="60" w:line="360" w:lineRule="auto"/>
        <w:ind w:firstLine="420"/>
        <w:rPr>
          <w:kern w:val="0"/>
          <w:sz w:val="24"/>
          <w:szCs w:val="22"/>
        </w:rPr>
      </w:pPr>
      <w:r>
        <w:rPr>
          <w:kern w:val="0"/>
          <w:sz w:val="24"/>
          <w:szCs w:val="22"/>
        </w:rPr>
        <w:t>当蛋白水平适宜时，摄入的氨基酸为TOR通路提供充足的激活信号。Fernandes等</w:t>
      </w:r>
      <w:r>
        <w:rPr>
          <w:kern w:val="0"/>
          <w:sz w:val="24"/>
          <w:szCs w:val="22"/>
          <w:vertAlign w:val="superscript"/>
        </w:rPr>
        <w:t>[43]</w:t>
      </w:r>
      <w:r>
        <w:rPr>
          <w:kern w:val="0"/>
          <w:sz w:val="24"/>
          <w:szCs w:val="22"/>
        </w:rPr>
        <w:t>阐明氨基酸可利用性通过调控mTORC1在溶酶体表面的定位和活性，决定其对下游效应因子的磷酸化作用。激活的TOR通过磷酸化4EBP使其与eIF4E解离，解除翻译抑制，促进蛋白质合成</w:t>
      </w:r>
      <w:r>
        <w:rPr>
          <w:kern w:val="0"/>
          <w:sz w:val="24"/>
          <w:szCs w:val="22"/>
          <w:vertAlign w:val="superscript"/>
        </w:rPr>
        <w:t>[41]</w:t>
      </w:r>
      <w:r>
        <w:rPr>
          <w:kern w:val="0"/>
          <w:sz w:val="24"/>
          <w:szCs w:val="22"/>
        </w:rPr>
        <w:t>。因此，P42.5组</w:t>
      </w:r>
      <w:r>
        <w:rPr>
          <w:i/>
          <w:iCs/>
          <w:kern w:val="0"/>
          <w:sz w:val="24"/>
          <w:szCs w:val="22"/>
        </w:rPr>
        <w:t>eIF3K</w:t>
      </w:r>
      <w:r>
        <w:rPr>
          <w:kern w:val="0"/>
          <w:sz w:val="24"/>
          <w:szCs w:val="22"/>
        </w:rPr>
        <w:t>和</w:t>
      </w:r>
      <w:r>
        <w:rPr>
          <w:i/>
          <w:iCs/>
          <w:kern w:val="0"/>
          <w:sz w:val="24"/>
          <w:szCs w:val="22"/>
        </w:rPr>
        <w:t>eIF4E</w:t>
      </w:r>
      <w:r>
        <w:rPr>
          <w:kern w:val="0"/>
          <w:sz w:val="24"/>
          <w:szCs w:val="22"/>
        </w:rPr>
        <w:t>表达最高、</w:t>
      </w:r>
      <w:r>
        <w:rPr>
          <w:i/>
          <w:iCs/>
          <w:kern w:val="0"/>
          <w:sz w:val="24"/>
          <w:szCs w:val="22"/>
        </w:rPr>
        <w:t>4EBP1</w:t>
      </w:r>
      <w:r>
        <w:rPr>
          <w:kern w:val="0"/>
          <w:sz w:val="24"/>
          <w:szCs w:val="22"/>
        </w:rPr>
        <w:t>表达最低，表明该蛋白水平有效激活了翻译起始机制。当蛋白水平过高时，过量氨基酸的代谢产物可能对细胞产生应激压力，反馈抑制TOR通路活性。Figlia等</w:t>
      </w:r>
      <w:r>
        <w:rPr>
          <w:kern w:val="0"/>
          <w:sz w:val="24"/>
          <w:szCs w:val="22"/>
          <w:vertAlign w:val="superscript"/>
        </w:rPr>
        <w:t>[44]</w:t>
      </w:r>
      <w:r>
        <w:rPr>
          <w:kern w:val="0"/>
          <w:sz w:val="24"/>
          <w:szCs w:val="22"/>
        </w:rPr>
        <w:t>发现氨基酸可通过GCN2激酶通路调控mTORC1活性，在营养失衡条件下GCN2激活并抑制mTORC1活性。Guan等</w:t>
      </w:r>
      <w:r>
        <w:rPr>
          <w:kern w:val="0"/>
          <w:sz w:val="24"/>
          <w:szCs w:val="22"/>
          <w:vertAlign w:val="superscript"/>
        </w:rPr>
        <w:t>[45]</w:t>
      </w:r>
      <w:r>
        <w:rPr>
          <w:kern w:val="0"/>
          <w:sz w:val="24"/>
          <w:szCs w:val="22"/>
        </w:rPr>
        <w:t>在赤拟谷盗（</w:t>
      </w:r>
      <w:r>
        <w:rPr>
          <w:i/>
          <w:iCs/>
          <w:kern w:val="0"/>
          <w:sz w:val="24"/>
          <w:szCs w:val="22"/>
        </w:rPr>
        <w:t>Tribolium castaneum</w:t>
      </w:r>
      <w:r>
        <w:rPr>
          <w:kern w:val="0"/>
          <w:sz w:val="24"/>
          <w:szCs w:val="22"/>
        </w:rPr>
        <w:t>）上也证实，应激条件下AMPK-FOXO信号通路可正向调控4EBP转录，抑制翻译进程。本研究P45组</w:t>
      </w:r>
      <w:r>
        <w:rPr>
          <w:i/>
          <w:iCs/>
          <w:kern w:val="0"/>
          <w:sz w:val="24"/>
          <w:szCs w:val="22"/>
        </w:rPr>
        <w:t>eIF3K</w:t>
      </w:r>
      <w:r>
        <w:rPr>
          <w:kern w:val="0"/>
          <w:sz w:val="24"/>
          <w:szCs w:val="22"/>
        </w:rPr>
        <w:t>和</w:t>
      </w:r>
      <w:r>
        <w:rPr>
          <w:i/>
          <w:iCs/>
          <w:kern w:val="0"/>
          <w:sz w:val="24"/>
          <w:szCs w:val="22"/>
        </w:rPr>
        <w:t>eIF4E</w:t>
      </w:r>
      <w:r>
        <w:rPr>
          <w:kern w:val="0"/>
          <w:sz w:val="24"/>
          <w:szCs w:val="22"/>
        </w:rPr>
        <w:t>表达下降而</w:t>
      </w:r>
      <w:r>
        <w:rPr>
          <w:i/>
          <w:iCs/>
          <w:kern w:val="0"/>
          <w:sz w:val="24"/>
          <w:szCs w:val="22"/>
        </w:rPr>
        <w:t>4EBP1</w:t>
      </w:r>
      <w:r>
        <w:rPr>
          <w:kern w:val="0"/>
          <w:sz w:val="24"/>
          <w:szCs w:val="22"/>
        </w:rPr>
        <w:t>表达回升，可能正是过量蛋白诱导的应激信号对TOR通路产生反馈抑制的结果。</w:t>
      </w:r>
    </w:p>
    <w:p w14:paraId="1D8E8154">
      <w:pPr>
        <w:widowControl/>
        <w:spacing w:after="60" w:line="360" w:lineRule="auto"/>
        <w:ind w:firstLine="420"/>
        <w:rPr>
          <w:kern w:val="0"/>
          <w:sz w:val="24"/>
          <w:szCs w:val="22"/>
        </w:rPr>
      </w:pPr>
      <w:r>
        <w:rPr>
          <w:kern w:val="0"/>
          <w:sz w:val="24"/>
          <w:szCs w:val="22"/>
        </w:rPr>
        <w:t>在32℃高温下，热应激可能进一步放大上述调控效应。Zhang等</w:t>
      </w:r>
      <w:r>
        <w:rPr>
          <w:kern w:val="0"/>
          <w:sz w:val="24"/>
          <w:szCs w:val="22"/>
          <w:vertAlign w:val="superscript"/>
        </w:rPr>
        <w:t>[16]</w:t>
      </w:r>
      <w:r>
        <w:rPr>
          <w:kern w:val="0"/>
          <w:sz w:val="24"/>
          <w:szCs w:val="22"/>
        </w:rPr>
        <w:t>发现热应激可引起凡纳对虾能量代谢网络重构。若蛋白水平过高，蛋白代谢产生的额外应激压力与热应激叠加，可能进一步抑制翻译起始因子表达，降低蛋白质合成效率，与P45组生长性能下降的结果相吻合。</w:t>
      </w:r>
    </w:p>
    <w:p w14:paraId="7F042C62">
      <w:pPr>
        <w:widowControl/>
        <w:spacing w:after="60" w:line="360" w:lineRule="auto"/>
        <w:rPr>
          <w:kern w:val="0"/>
          <w:sz w:val="24"/>
          <w:szCs w:val="22"/>
        </w:rPr>
      </w:pPr>
      <w:r>
        <w:rPr>
          <w:kern w:val="0"/>
          <w:sz w:val="24"/>
          <w:szCs w:val="22"/>
        </w:rPr>
        <w:t>3.6</w:t>
      </w:r>
      <w:r>
        <w:rPr>
          <w:rFonts w:hint="eastAsia"/>
          <w:kern w:val="0"/>
          <w:sz w:val="24"/>
          <w:szCs w:val="22"/>
        </w:rPr>
        <w:t xml:space="preserve"> </w:t>
      </w:r>
      <w:r>
        <w:rPr>
          <w:kern w:val="0"/>
          <w:sz w:val="24"/>
          <w:szCs w:val="22"/>
        </w:rPr>
        <w:t>高温下饲料蛋白水平对凡纳对虾肌肉游离氨基酸的影响</w:t>
      </w:r>
    </w:p>
    <w:p w14:paraId="5E27A6A2">
      <w:pPr>
        <w:widowControl/>
        <w:spacing w:after="60" w:line="360" w:lineRule="auto"/>
        <w:ind w:firstLine="420"/>
        <w:rPr>
          <w:kern w:val="0"/>
          <w:sz w:val="24"/>
          <w:szCs w:val="22"/>
        </w:rPr>
      </w:pPr>
      <w:r>
        <w:rPr>
          <w:kern w:val="0"/>
          <w:sz w:val="24"/>
          <w:szCs w:val="22"/>
        </w:rPr>
        <w:t>游离氨基酸在甲壳类动物肌肉中不仅作为蛋白质合成的直接底物库，还参与渗透调节和能量代谢等过程</w:t>
      </w:r>
      <w:r>
        <w:rPr>
          <w:kern w:val="0"/>
          <w:sz w:val="24"/>
          <w:szCs w:val="22"/>
          <w:vertAlign w:val="superscript"/>
        </w:rPr>
        <w:t>[46]</w:t>
      </w:r>
      <w:r>
        <w:rPr>
          <w:kern w:val="0"/>
          <w:sz w:val="24"/>
          <w:szCs w:val="22"/>
        </w:rPr>
        <w:t>。在本研究中，随饲料蛋白水平从40%提高至42.5%，充足的氨基酸供应促进了游离氨基酸在肌肉中的积累。各组间总必需氨基酸含量无显著差异，而总非必需氨基酸含量随蛋白水平升高而增加。这可能与两类氨基酸的代谢特性差异有关: 甲壳类动物无法自主合成必需氨基酸，其水平主要受饲料供给和蛋白质合成需求的精密调节，对饲料蛋白水平变化的响应较为稳定；而非必需氨基酸可通过转氨基作用从其他前体合成，响应更为灵活。Sui等</w:t>
      </w:r>
      <w:r>
        <w:rPr>
          <w:kern w:val="0"/>
          <w:sz w:val="24"/>
          <w:szCs w:val="22"/>
          <w:vertAlign w:val="superscript"/>
        </w:rPr>
        <w:t>[47]</w:t>
      </w:r>
      <w:r>
        <w:rPr>
          <w:kern w:val="0"/>
          <w:sz w:val="24"/>
          <w:szCs w:val="22"/>
        </w:rPr>
        <w:t>也发现提高饲料蛋白水平可增加凡纳对虾肌肉中的氨基酸含量。P45组总非必需氨基酸含量维持在较高水平，这可能与过量蛋白分解后碳骨架经转氨基作用进入非必需氨基酸合成途径有关。</w:t>
      </w:r>
    </w:p>
    <w:p w14:paraId="32307895">
      <w:pPr>
        <w:widowControl/>
        <w:spacing w:after="60" w:line="360" w:lineRule="auto"/>
        <w:ind w:firstLine="420"/>
        <w:rPr>
          <w:kern w:val="0"/>
          <w:sz w:val="24"/>
          <w:szCs w:val="22"/>
        </w:rPr>
      </w:pPr>
      <w:r>
        <w:rPr>
          <w:kern w:val="0"/>
          <w:sz w:val="24"/>
          <w:szCs w:val="22"/>
        </w:rPr>
        <w:t>在32℃高温下，机体代谢加速，渗透调节和能量消耗增加，对游离氨基酸的动员更为活跃。Duan等</w:t>
      </w:r>
      <w:r>
        <w:rPr>
          <w:kern w:val="0"/>
          <w:sz w:val="24"/>
          <w:szCs w:val="22"/>
          <w:vertAlign w:val="superscript"/>
        </w:rPr>
        <w:t>[10]</w:t>
      </w:r>
      <w:r>
        <w:rPr>
          <w:kern w:val="0"/>
          <w:sz w:val="24"/>
          <w:szCs w:val="22"/>
        </w:rPr>
        <w:t>发现氨氮和热应激的联合作用可显著改变凡纳对虾的代谢组学特征，影响氨基酸代谢通路。因此，高温环境下P42.5组适宜的蛋白水平不仅为蛋白质合成提供了充足的游离氨基酸储备，还可能在维持渗透平衡和满足应激条件下的能量需求方面发挥了重要作用。</w:t>
      </w:r>
    </w:p>
    <w:p w14:paraId="088EBCE8">
      <w:pPr>
        <w:widowControl/>
        <w:spacing w:after="60" w:line="360" w:lineRule="auto"/>
        <w:rPr>
          <w:kern w:val="0"/>
          <w:sz w:val="24"/>
          <w:szCs w:val="22"/>
        </w:rPr>
      </w:pPr>
      <w:r>
        <w:rPr>
          <w:kern w:val="0"/>
          <w:sz w:val="24"/>
          <w:szCs w:val="22"/>
        </w:rPr>
        <w:t>3.7</w:t>
      </w:r>
      <w:r>
        <w:rPr>
          <w:rFonts w:hint="eastAsia"/>
          <w:kern w:val="0"/>
          <w:sz w:val="24"/>
          <w:szCs w:val="22"/>
        </w:rPr>
        <w:t xml:space="preserve"> </w:t>
      </w:r>
      <w:r>
        <w:rPr>
          <w:kern w:val="0"/>
          <w:sz w:val="24"/>
          <w:szCs w:val="22"/>
        </w:rPr>
        <w:t>高温下饲料蛋白水平对凡纳对虾物质和能量代谢的影响</w:t>
      </w:r>
    </w:p>
    <w:p w14:paraId="66F1BC69">
      <w:pPr>
        <w:widowControl/>
        <w:spacing w:after="60" w:line="360" w:lineRule="auto"/>
        <w:ind w:firstLine="420"/>
        <w:rPr>
          <w:kern w:val="0"/>
          <w:sz w:val="24"/>
          <w:szCs w:val="22"/>
        </w:rPr>
      </w:pPr>
      <w:r>
        <w:rPr>
          <w:kern w:val="0"/>
          <w:sz w:val="24"/>
          <w:szCs w:val="22"/>
        </w:rPr>
        <w:t>TCA循环是营养物质氧化分解的共同最终通路，也是机体ATP生成的核心场所</w:t>
      </w:r>
      <w:r>
        <w:rPr>
          <w:kern w:val="0"/>
          <w:sz w:val="24"/>
          <w:szCs w:val="22"/>
          <w:vertAlign w:val="superscript"/>
        </w:rPr>
        <w:t>[8]</w:t>
      </w:r>
      <w:r>
        <w:rPr>
          <w:kern w:val="0"/>
          <w:sz w:val="24"/>
          <w:szCs w:val="22"/>
        </w:rPr>
        <w:t>。在本研究中，随饲料蛋白水平升高，凡纳对虾肝胰腺IDH、MDH和Cyt C基因表达整体上调，柠檬酸、</w:t>
      </w:r>
      <w:r>
        <w:rPr>
          <w:kern w:val="0"/>
          <w:sz w:val="24"/>
          <w:szCs w:val="22"/>
          <w:lang w:eastAsia="en-US"/>
        </w:rPr>
        <w:t>α</w:t>
      </w:r>
      <w:r>
        <w:rPr>
          <w:kern w:val="0"/>
          <w:sz w:val="24"/>
          <w:szCs w:val="22"/>
        </w:rPr>
        <w:t>-酮戊二酸和ATP含量增加，说明高蛋白摄入为TCA循环提供了充足的碳骨架来源。García-Pérez等</w:t>
      </w:r>
      <w:r>
        <w:rPr>
          <w:kern w:val="0"/>
          <w:sz w:val="24"/>
          <w:szCs w:val="22"/>
          <w:vertAlign w:val="superscript"/>
        </w:rPr>
        <w:t>[48]</w:t>
      </w:r>
      <w:r>
        <w:rPr>
          <w:kern w:val="0"/>
          <w:sz w:val="24"/>
          <w:szCs w:val="22"/>
        </w:rPr>
        <w:t>在金头鲷（</w:t>
      </w:r>
      <w:r>
        <w:rPr>
          <w:i/>
          <w:iCs/>
          <w:kern w:val="0"/>
          <w:sz w:val="24"/>
          <w:szCs w:val="22"/>
        </w:rPr>
        <w:t>Sparus aurata</w:t>
      </w:r>
      <w:r>
        <w:rPr>
          <w:kern w:val="0"/>
          <w:sz w:val="24"/>
          <w:szCs w:val="22"/>
        </w:rPr>
        <w:t>）幼鱼上也证实，高蛋白饲料显著提高了肝脏CS活性，并上调了能量代谢相关基因表达。CPT1作为脂肪酸</w:t>
      </w:r>
      <w:r>
        <w:rPr>
          <w:kern w:val="0"/>
          <w:sz w:val="24"/>
          <w:szCs w:val="22"/>
          <w:lang w:eastAsia="en-US"/>
        </w:rPr>
        <w:t>β</w:t>
      </w:r>
      <w:r>
        <w:rPr>
          <w:kern w:val="0"/>
          <w:sz w:val="24"/>
          <w:szCs w:val="22"/>
        </w:rPr>
        <w:t>-氧化的限速酶，其表达水平常用于反映脂质供能能力，本研究中各组</w:t>
      </w:r>
      <w:r>
        <w:rPr>
          <w:i/>
          <w:iCs/>
          <w:kern w:val="0"/>
          <w:sz w:val="24"/>
          <w:szCs w:val="22"/>
        </w:rPr>
        <w:t>CPT1</w:t>
      </w:r>
      <w:r>
        <w:rPr>
          <w:kern w:val="0"/>
          <w:sz w:val="24"/>
          <w:szCs w:val="22"/>
        </w:rPr>
        <w:t>基因表达无显著差异，提示在32℃条件下，脂肪酸氧化途径对本研究中蛋白水平变化响应有限。肝胰腺是脂类、糖类及蛋白质代谢的中心器官，其代谢状态可直接反映机体整体营养和能量代谢水平</w:t>
      </w:r>
      <w:r>
        <w:rPr>
          <w:kern w:val="0"/>
          <w:sz w:val="24"/>
          <w:szCs w:val="22"/>
          <w:vertAlign w:val="superscript"/>
        </w:rPr>
        <w:t>[49]</w:t>
      </w:r>
      <w:r>
        <w:rPr>
          <w:kern w:val="0"/>
          <w:sz w:val="24"/>
          <w:szCs w:val="22"/>
        </w:rPr>
        <w:t>。基于肝胰腺在甲壳类动物中的核心代谢功能，本研究主要关注肝胰腺中能量代谢相关变化。</w:t>
      </w:r>
    </w:p>
    <w:p w14:paraId="62D607D2">
      <w:pPr>
        <w:widowControl/>
        <w:spacing w:after="60" w:line="360" w:lineRule="auto"/>
        <w:ind w:firstLine="420"/>
        <w:rPr>
          <w:kern w:val="0"/>
          <w:sz w:val="24"/>
          <w:szCs w:val="22"/>
        </w:rPr>
      </w:pPr>
      <w:r>
        <w:rPr>
          <w:kern w:val="0"/>
          <w:sz w:val="24"/>
          <w:szCs w:val="22"/>
        </w:rPr>
        <w:t>蛋白质分解产生的氨基酸经脱氨后形成碳骨架，可直接进入TCA循环氧化供能。P45组</w:t>
      </w:r>
      <w:r>
        <w:rPr>
          <w:kern w:val="0"/>
          <w:sz w:val="24"/>
          <w:szCs w:val="22"/>
          <w:lang w:eastAsia="en-US"/>
        </w:rPr>
        <w:t>α</w:t>
      </w:r>
      <w:r>
        <w:rPr>
          <w:kern w:val="0"/>
          <w:sz w:val="24"/>
          <w:szCs w:val="22"/>
        </w:rPr>
        <w:t>-酮戊二酸含量显著升高，可能反映了谷氨酸等生糖氨基酸大量脱氨进入TCA循环的代谢特征。Wu</w:t>
      </w:r>
      <w:r>
        <w:rPr>
          <w:kern w:val="0"/>
          <w:sz w:val="24"/>
          <w:szCs w:val="22"/>
          <w:vertAlign w:val="superscript"/>
        </w:rPr>
        <w:t>[50]</w:t>
      </w:r>
      <w:r>
        <w:rPr>
          <w:kern w:val="0"/>
          <w:sz w:val="24"/>
          <w:szCs w:val="22"/>
        </w:rPr>
        <w:t>在其关于氨基酸代谢的综述中指出，谷氨酸脱氨生成</w:t>
      </w:r>
      <w:r>
        <w:rPr>
          <w:kern w:val="0"/>
          <w:sz w:val="24"/>
          <w:szCs w:val="22"/>
          <w:lang w:eastAsia="en-US"/>
        </w:rPr>
        <w:t>α</w:t>
      </w:r>
      <w:r>
        <w:rPr>
          <w:kern w:val="0"/>
          <w:sz w:val="24"/>
          <w:szCs w:val="22"/>
        </w:rPr>
        <w:t>-酮戊二酸是连接氨基酸分解代谢与三羧酸循环的重要枢纽。因此，在高蛋白摄入条件下，</w:t>
      </w:r>
      <w:r>
        <w:rPr>
          <w:kern w:val="0"/>
          <w:sz w:val="24"/>
          <w:szCs w:val="22"/>
          <w:lang w:eastAsia="en-US"/>
        </w:rPr>
        <w:t>α</w:t>
      </w:r>
      <w:r>
        <w:rPr>
          <w:kern w:val="0"/>
          <w:sz w:val="24"/>
          <w:szCs w:val="22"/>
        </w:rPr>
        <w:t>-酮戊二酸含量升高不仅可能反映TCA循环通量增强，也可能来源于氨基酸分解代谢的加强。</w:t>
      </w:r>
    </w:p>
    <w:p w14:paraId="47F6F0E9">
      <w:pPr>
        <w:widowControl/>
        <w:spacing w:after="60" w:line="360" w:lineRule="auto"/>
        <w:ind w:firstLine="420"/>
        <w:rPr>
          <w:kern w:val="0"/>
          <w:sz w:val="24"/>
          <w:szCs w:val="22"/>
        </w:rPr>
      </w:pPr>
      <w:r>
        <w:rPr>
          <w:kern w:val="0"/>
          <w:sz w:val="24"/>
          <w:szCs w:val="22"/>
        </w:rPr>
        <w:t>在32℃高温下，机体ATP周转需求增加，对能量供应的要求更高。Zhang等</w:t>
      </w:r>
      <w:r>
        <w:rPr>
          <w:kern w:val="0"/>
          <w:sz w:val="24"/>
          <w:szCs w:val="22"/>
          <w:vertAlign w:val="superscript"/>
        </w:rPr>
        <w:t>[51]</w:t>
      </w:r>
      <w:r>
        <w:rPr>
          <w:kern w:val="0"/>
          <w:sz w:val="24"/>
          <w:szCs w:val="22"/>
        </w:rPr>
        <w:t>利用转录组和代谢组联合分析揭示，对虾生长性能差异与TCA循环通量和氨基酸代谢效率密切相关。适宜的蛋白水平（42.5%）可能恰好满足高温环境下TCA循环对碳骨架的需求，既保证充足的ATP合成以应对热应激下增加的能量消耗，又不至于过度消耗氨基酸导致代谢负担加重。而蛋白水平过高时（45%），过量蛋白代谢产生的氨氮可能对线粒体功能和TCA循环的正常运转产生不利影响，最终导致能量利用效率下降，与生长性能降低的结果相一致。</w:t>
      </w:r>
    </w:p>
    <w:p w14:paraId="6784EA84">
      <w:pPr>
        <w:widowControl/>
        <w:spacing w:after="60" w:line="360" w:lineRule="auto"/>
        <w:rPr>
          <w:kern w:val="0"/>
          <w:sz w:val="24"/>
          <w:szCs w:val="22"/>
        </w:rPr>
      </w:pPr>
      <w:r>
        <w:rPr>
          <w:kern w:val="0"/>
          <w:sz w:val="24"/>
          <w:szCs w:val="22"/>
        </w:rPr>
        <w:t>4</w:t>
      </w:r>
      <w:r>
        <w:rPr>
          <w:rFonts w:hint="eastAsia"/>
          <w:kern w:val="0"/>
          <w:sz w:val="24"/>
          <w:szCs w:val="22"/>
        </w:rPr>
        <w:t xml:space="preserve"> </w:t>
      </w:r>
      <w:r>
        <w:rPr>
          <w:kern w:val="0"/>
          <w:sz w:val="24"/>
          <w:szCs w:val="22"/>
        </w:rPr>
        <w:t>结论</w:t>
      </w:r>
    </w:p>
    <w:p w14:paraId="7125BBEB">
      <w:pPr>
        <w:widowControl/>
        <w:spacing w:after="60" w:line="360" w:lineRule="auto"/>
        <w:ind w:firstLine="420"/>
        <w:rPr>
          <w:kern w:val="0"/>
          <w:sz w:val="24"/>
          <w:szCs w:val="22"/>
        </w:rPr>
      </w:pPr>
      <w:r>
        <w:rPr>
          <w:kern w:val="0"/>
          <w:sz w:val="24"/>
          <w:szCs w:val="22"/>
        </w:rPr>
        <w:t>综上所述，在32℃高温条件下，饲料蛋白水平对凡纳对虾的生长性能、抗氧化能力、肠道健康、蛋白质合成及能量代谢均具有显著影响。</w:t>
      </w:r>
    </w:p>
    <w:p w14:paraId="23127DFA">
      <w:pPr>
        <w:spacing w:line="360" w:lineRule="auto"/>
        <w:ind w:firstLine="420"/>
        <w:rPr>
          <w:sz w:val="24"/>
        </w:rPr>
      </w:pPr>
      <w:r>
        <w:rPr>
          <w:kern w:val="0"/>
          <w:sz w:val="24"/>
          <w:szCs w:val="22"/>
        </w:rPr>
        <w:t>在42.5%蛋白水平下，对虾获得了最优的增重率和特定生长率，肝胰腺抗氧化酶活性最高，MDA含量最低，肠绒毛高度及紧密连接蛋白基因表达量均达到最大值，翻译起始因子</w:t>
      </w:r>
      <w:r>
        <w:rPr>
          <w:i/>
          <w:iCs/>
          <w:kern w:val="0"/>
          <w:sz w:val="24"/>
          <w:szCs w:val="22"/>
        </w:rPr>
        <w:t>eIF3K</w:t>
      </w:r>
      <w:r>
        <w:rPr>
          <w:kern w:val="0"/>
          <w:sz w:val="24"/>
          <w:szCs w:val="22"/>
        </w:rPr>
        <w:t>和</w:t>
      </w:r>
      <w:r>
        <w:rPr>
          <w:i/>
          <w:iCs/>
          <w:kern w:val="0"/>
          <w:sz w:val="24"/>
          <w:szCs w:val="22"/>
        </w:rPr>
        <w:t>eIF4E</w:t>
      </w:r>
      <w:r>
        <w:rPr>
          <w:kern w:val="0"/>
          <w:sz w:val="24"/>
          <w:szCs w:val="22"/>
        </w:rPr>
        <w:t>表达上调，而</w:t>
      </w:r>
      <w:r>
        <w:rPr>
          <w:i/>
          <w:iCs/>
          <w:kern w:val="0"/>
          <w:sz w:val="24"/>
          <w:szCs w:val="22"/>
        </w:rPr>
        <w:t>4EBP1</w:t>
      </w:r>
      <w:r>
        <w:rPr>
          <w:kern w:val="0"/>
          <w:sz w:val="24"/>
          <w:szCs w:val="22"/>
        </w:rPr>
        <w:t>表达下调，TCA循环通量和ATP合成均维持在较高水平，表明该蛋白水平在高温环境下实现了营养供给与代谢需求之间的最佳平衡。饲料蛋白水平过高（45%）虽可增强TCA循环通量，但导致血氨水平升高、氧化应激加剧、肠道屏障功能受损及蛋白质合成效率降低，最终导致生长性能下降。饲料蛋白水平不足（40%）则因氨基酸供应有限，无法满足高温条件下机体对蛋白质合成和能量代谢的需求，同样限制了对虾的生长。基于此，后续研究可进一步结合转录组、代谢组及肠道微生物组等多组学技术，解析高温下蛋白质水平调控对虾营养代谢、氧化应激和肠道屏障功能的分子机制；同时，应在不同生长阶段、养殖模式和蛋白源条件下开展验证，以完善高温环境下凡纳对虾的精准营养调控策略</w:t>
      </w:r>
      <w:r>
        <w:rPr>
          <w:sz w:val="24"/>
        </w:rPr>
        <w:t>。</w:t>
      </w:r>
    </w:p>
    <w:p w14:paraId="42208AE2">
      <w:pPr>
        <w:widowControl/>
        <w:spacing w:after="60" w:line="360" w:lineRule="auto"/>
        <w:rPr>
          <w:rFonts w:hint="eastAsia"/>
          <w:kern w:val="0"/>
          <w:sz w:val="24"/>
          <w:szCs w:val="22"/>
        </w:rPr>
      </w:pPr>
      <w:r>
        <w:rPr>
          <w:kern w:val="0"/>
          <w:sz w:val="24"/>
          <w:szCs w:val="22"/>
        </w:rPr>
        <w:t>（作者声明本文符合出版伦理要求）</w:t>
      </w:r>
    </w:p>
    <w:p w14:paraId="64B90C7C">
      <w:pPr>
        <w:spacing w:line="360" w:lineRule="auto"/>
        <w:rPr>
          <w:sz w:val="24"/>
          <w:szCs w:val="21"/>
        </w:rPr>
      </w:pPr>
      <w:r>
        <w:rPr>
          <w:rFonts w:hint="eastAsia"/>
          <w:sz w:val="24"/>
          <w:szCs w:val="21"/>
        </w:rPr>
        <w:t>参考文献：略</w:t>
      </w:r>
    </w:p>
    <w:p w14:paraId="2EE7E524">
      <w:pPr>
        <w:spacing w:line="360" w:lineRule="auto"/>
        <w:jc w:val="right"/>
        <w:rPr>
          <w:szCs w:val="21"/>
        </w:rPr>
      </w:pPr>
      <w:r>
        <w:rPr>
          <w:szCs w:val="21"/>
        </w:rPr>
        <w:t>原文刊登在</w:t>
      </w:r>
      <w:bookmarkStart w:id="24" w:name="OLE_LINK3"/>
      <w:r>
        <w:rPr>
          <w:szCs w:val="21"/>
        </w:rPr>
        <w:t>《</w:t>
      </w:r>
      <w:r>
        <w:rPr>
          <w:rFonts w:hint="eastAsia"/>
          <w:szCs w:val="21"/>
        </w:rPr>
        <w:t>水生生物学报</w:t>
      </w:r>
      <w:r>
        <w:rPr>
          <w:szCs w:val="21"/>
        </w:rPr>
        <w:t>》</w:t>
      </w:r>
      <w:bookmarkEnd w:id="24"/>
      <w:r>
        <w:rPr>
          <w:rFonts w:hint="eastAsia"/>
          <w:szCs w:val="21"/>
        </w:rPr>
        <w:t>2026年第9期</w:t>
      </w:r>
    </w:p>
    <w:p w14:paraId="114E5D57">
      <w:pPr>
        <w:jc w:val="center"/>
        <w:outlineLvl w:val="1"/>
        <w:rPr>
          <w:rFonts w:hint="eastAsia" w:ascii="黑体" w:hAnsi="黑体" w:eastAsia="黑体" w:cs="黑体"/>
          <w:b/>
          <w:bCs/>
          <w:sz w:val="32"/>
          <w:szCs w:val="32"/>
        </w:rPr>
      </w:pPr>
      <w:bookmarkStart w:id="25" w:name="_Toc241496787"/>
      <w:r>
        <w:rPr>
          <w:rFonts w:ascii="黑体" w:hAnsi="黑体" w:eastAsia="黑体" w:cs="黑体"/>
          <w:b/>
          <w:bCs/>
          <w:sz w:val="32"/>
          <w:szCs w:val="32"/>
        </w:rPr>
        <w:t>三种酶解鸡浆替代鱼粉对乌鳢（</w:t>
      </w:r>
      <w:r>
        <w:rPr>
          <w:rFonts w:ascii="黑体" w:hAnsi="黑体" w:eastAsia="黑体" w:cs="黑体"/>
          <w:b/>
          <w:bCs/>
          <w:i/>
          <w:iCs/>
          <w:sz w:val="32"/>
          <w:szCs w:val="32"/>
        </w:rPr>
        <w:t>Channa argus</w:t>
      </w:r>
      <w:r>
        <w:rPr>
          <w:rFonts w:ascii="黑体" w:hAnsi="黑体" w:eastAsia="黑体" w:cs="黑体"/>
          <w:b/>
          <w:bCs/>
          <w:sz w:val="32"/>
          <w:szCs w:val="32"/>
        </w:rPr>
        <w:t>）生长性能、肠道免疫及抗氧化能力的影响</w:t>
      </w:r>
      <w:bookmarkEnd w:id="25"/>
    </w:p>
    <w:p w14:paraId="7A328AAD">
      <w:pPr>
        <w:jc w:val="center"/>
        <w:rPr>
          <w:rFonts w:hint="eastAsia"/>
          <w:szCs w:val="21"/>
        </w:rPr>
      </w:pPr>
      <w:r>
        <w:rPr>
          <w:szCs w:val="21"/>
        </w:rPr>
        <w:t>李林昌</w:t>
      </w:r>
      <w:r>
        <w:rPr>
          <w:szCs w:val="21"/>
          <w:vertAlign w:val="superscript"/>
        </w:rPr>
        <w:t>1</w:t>
      </w:r>
      <w:r>
        <w:rPr>
          <w:szCs w:val="21"/>
        </w:rPr>
        <w:t>，刘梦飞</w:t>
      </w:r>
      <w:r>
        <w:rPr>
          <w:szCs w:val="21"/>
          <w:vertAlign w:val="superscript"/>
        </w:rPr>
        <w:t>1,2</w:t>
      </w:r>
      <w:r>
        <w:rPr>
          <w:szCs w:val="21"/>
        </w:rPr>
        <w:t>，吕萌</w:t>
      </w:r>
      <w:r>
        <w:rPr>
          <w:szCs w:val="21"/>
          <w:vertAlign w:val="superscript"/>
        </w:rPr>
        <w:t>3</w:t>
      </w:r>
      <w:r>
        <w:rPr>
          <w:szCs w:val="21"/>
        </w:rPr>
        <w:t>，迟淑艳</w:t>
      </w:r>
      <w:r>
        <w:rPr>
          <w:szCs w:val="21"/>
          <w:vertAlign w:val="superscript"/>
        </w:rPr>
        <w:t>1</w:t>
      </w:r>
      <w:r>
        <w:rPr>
          <w:rFonts w:hint="eastAsia"/>
          <w:szCs w:val="21"/>
          <w:vertAlign w:val="superscript"/>
        </w:rPr>
        <w:t>*</w:t>
      </w:r>
      <w:r>
        <w:rPr>
          <w:szCs w:val="21"/>
        </w:rPr>
        <w:t>，王甘翔</w:t>
      </w:r>
      <w:r>
        <w:rPr>
          <w:szCs w:val="21"/>
          <w:vertAlign w:val="superscript"/>
        </w:rPr>
        <w:t>4</w:t>
      </w:r>
      <w:r>
        <w:rPr>
          <w:rFonts w:hint="eastAsia"/>
          <w:szCs w:val="21"/>
          <w:vertAlign w:val="superscript"/>
        </w:rPr>
        <w:t>*</w:t>
      </w:r>
    </w:p>
    <w:p w14:paraId="0F242718">
      <w:pPr>
        <w:jc w:val="center"/>
        <w:rPr>
          <w:szCs w:val="21"/>
        </w:rPr>
      </w:pPr>
      <w:r>
        <w:rPr>
          <w:szCs w:val="21"/>
        </w:rPr>
        <w:t>（1.广东海洋大学水产动物营养与饲料实验室，广东湛江 524088；2.深圳市澳华集团股份有限公司，广东深圳 518051；3.青岛佰伟英格生物科技有限公司，山东青岛 266102；4.平湖市渔业技术推广中心，浙江平湖 314200）</w:t>
      </w:r>
    </w:p>
    <w:p w14:paraId="04E850E8">
      <w:pPr>
        <w:rPr>
          <w:szCs w:val="21"/>
        </w:rPr>
      </w:pPr>
      <w:r>
        <w:rPr>
          <w:rFonts w:hint="eastAsia"/>
          <w:b/>
          <w:bCs/>
          <w:szCs w:val="21"/>
        </w:rPr>
        <w:t>摘要</w:t>
      </w:r>
      <w:r>
        <w:rPr>
          <w:b/>
          <w:bCs/>
          <w:szCs w:val="21"/>
        </w:rPr>
        <w:t>：</w:t>
      </w:r>
      <w:r>
        <w:rPr>
          <w:rFonts w:cs="宋体"/>
          <w:bCs/>
          <w:szCs w:val="21"/>
        </w:rPr>
        <w:t>试验旨在评估不同生产工艺获得的酶解鸡浆在乌鳢饲料中的应用效果。降低饲料鱼粉后分别补充不同营养品质的酶解鸡浆，记为对照组（FM组）和试验组（EC组、ECN组、ECP组），配制4组等氮等脂的低鱼粉试验饲料。养殖试验持续8周，评估乌鳢（</w:t>
      </w:r>
      <w:r>
        <w:rPr>
          <w:rFonts w:cs="宋体"/>
          <w:bCs/>
          <w:i/>
          <w:iCs/>
          <w:szCs w:val="21"/>
        </w:rPr>
        <w:t>Channa argus</w:t>
      </w:r>
      <w:r>
        <w:rPr>
          <w:rFonts w:cs="宋体"/>
          <w:bCs/>
          <w:szCs w:val="21"/>
        </w:rPr>
        <w:t>）（初始体质量为9.85 g）生长性能、肠道免疫及抗氧化能力的变化。结果显示：与FM组相比，各试验组乌鳢饲料系数、摄食率无显著差异（</w:t>
      </w:r>
      <w:r>
        <w:rPr>
          <w:rFonts w:cs="宋体"/>
          <w:bCs/>
          <w:i/>
          <w:iCs/>
          <w:szCs w:val="21"/>
        </w:rPr>
        <w:t>P</w:t>
      </w:r>
      <w:r>
        <w:rPr>
          <w:rFonts w:cs="宋体"/>
          <w:bCs/>
          <w:szCs w:val="21"/>
        </w:rPr>
        <w:t>&gt;0.05），各试验组末均重、增重率、特定生长率均显著提高</w:t>
      </w:r>
      <w:r>
        <w:rPr>
          <w:rFonts w:hint="eastAsia" w:cs="宋体"/>
          <w:bCs/>
          <w:szCs w:val="21"/>
        </w:rPr>
        <w:t>（</w:t>
      </w:r>
      <w:r>
        <w:rPr>
          <w:rFonts w:cs="宋体"/>
          <w:bCs/>
          <w:i/>
          <w:iCs/>
          <w:szCs w:val="21"/>
        </w:rPr>
        <w:t>P</w:t>
      </w:r>
      <w:r>
        <w:rPr>
          <w:rFonts w:cs="宋体"/>
          <w:bCs/>
          <w:szCs w:val="21"/>
        </w:rPr>
        <w:t>&lt;0.05</w:t>
      </w:r>
      <w:r>
        <w:rPr>
          <w:rFonts w:hint="eastAsia" w:cs="宋体"/>
          <w:bCs/>
          <w:szCs w:val="21"/>
        </w:rPr>
        <w:t>）</w:t>
      </w:r>
      <w:r>
        <w:rPr>
          <w:rFonts w:cs="宋体"/>
          <w:bCs/>
          <w:szCs w:val="21"/>
        </w:rPr>
        <w:t>。ECN组肥满度和FM组无显著性差异（</w:t>
      </w:r>
      <w:r>
        <w:rPr>
          <w:rFonts w:cs="宋体"/>
          <w:bCs/>
          <w:i/>
          <w:iCs/>
          <w:szCs w:val="21"/>
        </w:rPr>
        <w:t>P</w:t>
      </w:r>
      <w:r>
        <w:rPr>
          <w:rFonts w:cs="宋体"/>
          <w:bCs/>
          <w:szCs w:val="21"/>
        </w:rPr>
        <w:t>&gt;0.05），显著高于EC组和ECP组</w:t>
      </w:r>
      <w:r>
        <w:rPr>
          <w:rFonts w:hint="eastAsia" w:cs="宋体"/>
          <w:bCs/>
          <w:szCs w:val="21"/>
        </w:rPr>
        <w:t>（</w:t>
      </w:r>
      <w:r>
        <w:rPr>
          <w:rFonts w:cs="宋体"/>
          <w:bCs/>
          <w:i/>
          <w:iCs/>
          <w:szCs w:val="21"/>
        </w:rPr>
        <w:t>P</w:t>
      </w:r>
      <w:r>
        <w:rPr>
          <w:rFonts w:cs="宋体"/>
          <w:bCs/>
          <w:szCs w:val="21"/>
        </w:rPr>
        <w:t>&lt;0.05</w:t>
      </w:r>
      <w:r>
        <w:rPr>
          <w:rFonts w:hint="eastAsia" w:cs="宋体"/>
          <w:bCs/>
          <w:szCs w:val="21"/>
        </w:rPr>
        <w:t>）</w:t>
      </w:r>
      <w:r>
        <w:rPr>
          <w:rFonts w:cs="宋体"/>
          <w:bCs/>
          <w:szCs w:val="21"/>
        </w:rPr>
        <w:t>；ECN组全鱼粗蛋白显著高于其余各组</w:t>
      </w:r>
      <w:r>
        <w:rPr>
          <w:rFonts w:hint="eastAsia" w:cs="宋体"/>
          <w:bCs/>
          <w:szCs w:val="21"/>
        </w:rPr>
        <w:t>（</w:t>
      </w:r>
      <w:r>
        <w:rPr>
          <w:rFonts w:cs="宋体"/>
          <w:bCs/>
          <w:i/>
          <w:iCs/>
          <w:szCs w:val="21"/>
        </w:rPr>
        <w:t>P</w:t>
      </w:r>
      <w:r>
        <w:rPr>
          <w:rFonts w:cs="宋体"/>
          <w:bCs/>
          <w:szCs w:val="21"/>
        </w:rPr>
        <w:t>&lt;0.05</w:t>
      </w:r>
      <w:r>
        <w:rPr>
          <w:rFonts w:hint="eastAsia" w:cs="宋体"/>
          <w:bCs/>
          <w:szCs w:val="21"/>
        </w:rPr>
        <w:t>）</w:t>
      </w:r>
      <w:r>
        <w:rPr>
          <w:rFonts w:cs="宋体"/>
          <w:bCs/>
          <w:szCs w:val="21"/>
        </w:rPr>
        <w:t>，EC组全鱼粗脂肪显著高于其余组</w:t>
      </w:r>
      <w:r>
        <w:rPr>
          <w:rFonts w:hint="eastAsia" w:cs="宋体"/>
          <w:bCs/>
          <w:szCs w:val="21"/>
        </w:rPr>
        <w:t>（</w:t>
      </w:r>
      <w:r>
        <w:rPr>
          <w:rFonts w:cs="宋体"/>
          <w:bCs/>
          <w:i/>
          <w:iCs/>
          <w:szCs w:val="21"/>
        </w:rPr>
        <w:t>P</w:t>
      </w:r>
      <w:r>
        <w:rPr>
          <w:rFonts w:cs="宋体"/>
          <w:bCs/>
          <w:szCs w:val="21"/>
        </w:rPr>
        <w:t>&lt;0.05</w:t>
      </w:r>
      <w:r>
        <w:rPr>
          <w:rFonts w:hint="eastAsia" w:cs="宋体"/>
          <w:bCs/>
          <w:szCs w:val="21"/>
        </w:rPr>
        <w:t>）</w:t>
      </w:r>
      <w:r>
        <w:rPr>
          <w:rFonts w:cs="宋体"/>
          <w:bCs/>
          <w:szCs w:val="21"/>
        </w:rPr>
        <w:t>。FM组血清酸性磷酸酶显著低于试验组</w:t>
      </w:r>
      <w:r>
        <w:rPr>
          <w:rFonts w:hint="eastAsia" w:cs="宋体"/>
          <w:bCs/>
          <w:szCs w:val="21"/>
        </w:rPr>
        <w:t>（</w:t>
      </w:r>
      <w:r>
        <w:rPr>
          <w:rFonts w:cs="宋体"/>
          <w:bCs/>
          <w:i/>
          <w:iCs/>
          <w:szCs w:val="21"/>
        </w:rPr>
        <w:t>P</w:t>
      </w:r>
      <w:r>
        <w:rPr>
          <w:rFonts w:cs="宋体"/>
          <w:bCs/>
          <w:szCs w:val="21"/>
        </w:rPr>
        <w:t>&lt;0.05</w:t>
      </w:r>
      <w:r>
        <w:rPr>
          <w:rFonts w:hint="eastAsia" w:cs="宋体"/>
          <w:bCs/>
          <w:szCs w:val="21"/>
        </w:rPr>
        <w:t>）</w:t>
      </w:r>
      <w:r>
        <w:rPr>
          <w:rFonts w:cs="宋体"/>
          <w:bCs/>
          <w:szCs w:val="21"/>
        </w:rPr>
        <w:t>，丙二醛显著高于ECN组和ECP组</w:t>
      </w:r>
      <w:r>
        <w:rPr>
          <w:rFonts w:hint="eastAsia" w:cs="宋体"/>
          <w:bCs/>
          <w:szCs w:val="21"/>
        </w:rPr>
        <w:t>（</w:t>
      </w:r>
      <w:r>
        <w:rPr>
          <w:rFonts w:cs="宋体"/>
          <w:bCs/>
          <w:i/>
          <w:iCs/>
          <w:szCs w:val="21"/>
        </w:rPr>
        <w:t>P</w:t>
      </w:r>
      <w:r>
        <w:rPr>
          <w:rFonts w:cs="宋体"/>
          <w:bCs/>
          <w:szCs w:val="21"/>
        </w:rPr>
        <w:t>&lt;0.05</w:t>
      </w:r>
      <w:r>
        <w:rPr>
          <w:rFonts w:hint="eastAsia" w:cs="宋体"/>
          <w:bCs/>
          <w:szCs w:val="21"/>
        </w:rPr>
        <w:t>）</w:t>
      </w:r>
      <w:r>
        <w:rPr>
          <w:rFonts w:cs="宋体"/>
          <w:bCs/>
          <w:szCs w:val="21"/>
        </w:rPr>
        <w:t>。EC组血清溶菌酶和多酚氧化酶显著高于FM组和ECP组，蛋白质羰基含量显著低于FM组和ECP组</w:t>
      </w:r>
      <w:r>
        <w:rPr>
          <w:rFonts w:hint="eastAsia" w:cs="宋体"/>
          <w:bCs/>
          <w:szCs w:val="21"/>
        </w:rPr>
        <w:t>（</w:t>
      </w:r>
      <w:r>
        <w:rPr>
          <w:rFonts w:cs="宋体"/>
          <w:bCs/>
          <w:i/>
          <w:iCs/>
          <w:szCs w:val="21"/>
        </w:rPr>
        <w:t>P</w:t>
      </w:r>
      <w:r>
        <w:rPr>
          <w:rFonts w:cs="宋体"/>
          <w:bCs/>
          <w:szCs w:val="21"/>
        </w:rPr>
        <w:t>&lt;0.05</w:t>
      </w:r>
      <w:r>
        <w:rPr>
          <w:rFonts w:hint="eastAsia" w:cs="宋体"/>
          <w:bCs/>
          <w:szCs w:val="21"/>
        </w:rPr>
        <w:t>）</w:t>
      </w:r>
      <w:r>
        <w:rPr>
          <w:rFonts w:cs="宋体"/>
          <w:bCs/>
          <w:szCs w:val="21"/>
        </w:rPr>
        <w:t>。试验组肠道总抗氧化能力显著提高</w:t>
      </w:r>
      <w:r>
        <w:rPr>
          <w:rFonts w:hint="eastAsia" w:cs="宋体"/>
          <w:bCs/>
          <w:szCs w:val="21"/>
        </w:rPr>
        <w:t>（</w:t>
      </w:r>
      <w:r>
        <w:rPr>
          <w:rFonts w:cs="宋体"/>
          <w:bCs/>
          <w:i/>
          <w:iCs/>
          <w:szCs w:val="21"/>
        </w:rPr>
        <w:t>P</w:t>
      </w:r>
      <w:r>
        <w:rPr>
          <w:rFonts w:cs="宋体"/>
          <w:bCs/>
          <w:szCs w:val="21"/>
        </w:rPr>
        <w:t>&lt;0.05</w:t>
      </w:r>
      <w:r>
        <w:rPr>
          <w:rFonts w:hint="eastAsia" w:cs="宋体"/>
          <w:bCs/>
          <w:szCs w:val="21"/>
        </w:rPr>
        <w:t>）</w:t>
      </w:r>
      <w:r>
        <w:rPr>
          <w:rFonts w:cs="宋体"/>
          <w:bCs/>
          <w:szCs w:val="21"/>
        </w:rPr>
        <w:t>；肠道促炎因子相对表达量降低，抑炎因子相对表达量提高。综上所述，低鱼粉饲料补充酶解鸡浆可增强肠道免疫和抗氧化能力，促进乌鳢的生长，其中ECN组表现最优</w:t>
      </w:r>
      <w:r>
        <w:rPr>
          <w:rFonts w:hint="eastAsia"/>
          <w:szCs w:val="21"/>
        </w:rPr>
        <w:t>。</w:t>
      </w:r>
    </w:p>
    <w:p w14:paraId="5F74970A">
      <w:pPr>
        <w:rPr>
          <w:rFonts w:cs="宋体"/>
          <w:szCs w:val="21"/>
        </w:rPr>
      </w:pPr>
      <w:r>
        <w:rPr>
          <w:rFonts w:hint="eastAsia"/>
          <w:b/>
          <w:bCs/>
          <w:szCs w:val="21"/>
        </w:rPr>
        <w:t>关键词</w:t>
      </w:r>
      <w:r>
        <w:rPr>
          <w:b/>
          <w:bCs/>
          <w:szCs w:val="21"/>
        </w:rPr>
        <w:t>：</w:t>
      </w:r>
      <w:r>
        <w:rPr>
          <w:rFonts w:cs="宋体"/>
          <w:bCs/>
          <w:szCs w:val="21"/>
        </w:rPr>
        <w:t>乌鳢；酶解鸡浆；生长性能；肠道免疫；抗氧化能力</w:t>
      </w:r>
    </w:p>
    <w:p w14:paraId="2BE07A74">
      <w:pPr>
        <w:jc w:val="center"/>
        <w:rPr>
          <w:rFonts w:cs="宋体"/>
          <w:b/>
          <w:bCs/>
          <w:sz w:val="24"/>
        </w:rPr>
      </w:pPr>
      <w:r>
        <w:rPr>
          <w:rFonts w:cs="宋体"/>
          <w:b/>
          <w:bCs/>
          <w:sz w:val="24"/>
        </w:rPr>
        <w:t xml:space="preserve">Effects of Enzymatic Chicken Pulp Replacement for Fishmeal on Growth Performance, Immunity and Antioxidant Capacity of Intestine for Snakehead </w:t>
      </w:r>
      <w:r>
        <w:rPr>
          <w:rFonts w:hint="eastAsia" w:cs="宋体"/>
          <w:b/>
          <w:bCs/>
          <w:sz w:val="24"/>
        </w:rPr>
        <w:t>(</w:t>
      </w:r>
      <w:r>
        <w:rPr>
          <w:rFonts w:cs="宋体"/>
          <w:b/>
          <w:bCs/>
          <w:i/>
          <w:iCs/>
          <w:sz w:val="24"/>
        </w:rPr>
        <w:t>Channa argus</w:t>
      </w:r>
      <w:r>
        <w:rPr>
          <w:rFonts w:hint="eastAsia" w:cs="宋体"/>
          <w:b/>
          <w:bCs/>
          <w:sz w:val="24"/>
        </w:rPr>
        <w:t>)</w:t>
      </w:r>
    </w:p>
    <w:p w14:paraId="36B6AEEA">
      <w:pPr>
        <w:jc w:val="center"/>
        <w:rPr>
          <w:rFonts w:cs="宋体"/>
          <w:szCs w:val="21"/>
        </w:rPr>
      </w:pPr>
      <w:r>
        <w:rPr>
          <w:rFonts w:cs="宋体"/>
          <w:szCs w:val="21"/>
        </w:rPr>
        <w:t>LI Linchang</w:t>
      </w:r>
      <w:r>
        <w:rPr>
          <w:rFonts w:cs="宋体"/>
          <w:szCs w:val="21"/>
          <w:vertAlign w:val="superscript"/>
        </w:rPr>
        <w:t>1</w:t>
      </w:r>
      <w:r>
        <w:rPr>
          <w:rFonts w:cs="宋体"/>
          <w:szCs w:val="21"/>
        </w:rPr>
        <w:t xml:space="preserve">   LIU Mengfei</w:t>
      </w:r>
      <w:r>
        <w:rPr>
          <w:rFonts w:cs="宋体"/>
          <w:szCs w:val="21"/>
          <w:vertAlign w:val="superscript"/>
        </w:rPr>
        <w:t>1,2</w:t>
      </w:r>
      <w:r>
        <w:rPr>
          <w:rFonts w:cs="宋体"/>
          <w:szCs w:val="21"/>
        </w:rPr>
        <w:t xml:space="preserve">   LYU Meng</w:t>
      </w:r>
      <w:r>
        <w:rPr>
          <w:rFonts w:cs="宋体"/>
          <w:szCs w:val="21"/>
          <w:vertAlign w:val="superscript"/>
        </w:rPr>
        <w:t>3</w:t>
      </w:r>
      <w:r>
        <w:rPr>
          <w:rFonts w:cs="宋体"/>
          <w:szCs w:val="21"/>
        </w:rPr>
        <w:t xml:space="preserve">   CHI Shuyan</w:t>
      </w:r>
      <w:r>
        <w:rPr>
          <w:rFonts w:cs="宋体"/>
          <w:szCs w:val="21"/>
          <w:vertAlign w:val="superscript"/>
        </w:rPr>
        <w:t>1*</w:t>
      </w:r>
      <w:r>
        <w:rPr>
          <w:rFonts w:cs="宋体"/>
          <w:szCs w:val="21"/>
        </w:rPr>
        <w:t xml:space="preserve">   WANG Ganxiang</w:t>
      </w:r>
      <w:r>
        <w:rPr>
          <w:rFonts w:cs="宋体"/>
          <w:szCs w:val="21"/>
          <w:vertAlign w:val="superscript"/>
        </w:rPr>
        <w:t>4*</w:t>
      </w:r>
    </w:p>
    <w:p w14:paraId="60D509B3">
      <w:pPr>
        <w:jc w:val="center"/>
        <w:rPr>
          <w:rFonts w:cs="宋体"/>
          <w:szCs w:val="21"/>
        </w:rPr>
      </w:pPr>
      <w:r>
        <w:rPr>
          <w:rFonts w:hint="eastAsia"/>
          <w:szCs w:val="21"/>
        </w:rPr>
        <w:t>(</w:t>
      </w:r>
      <w:r>
        <w:rPr>
          <w:rFonts w:cs="宋体"/>
          <w:szCs w:val="21"/>
        </w:rPr>
        <w:t xml:space="preserve">1. </w:t>
      </w:r>
      <w:r>
        <w:rPr>
          <w:rFonts w:cs="宋体"/>
          <w:i/>
          <w:iCs/>
          <w:szCs w:val="21"/>
        </w:rPr>
        <w:t>Aquatic Animal Nutrition and Feed Laboratory, Guangdong Ocean University, Guangdong Zhanjiang</w:t>
      </w:r>
      <w:r>
        <w:rPr>
          <w:rFonts w:cs="宋体"/>
          <w:szCs w:val="21"/>
        </w:rPr>
        <w:t xml:space="preserve"> 524088, </w:t>
      </w:r>
      <w:r>
        <w:rPr>
          <w:rFonts w:cs="宋体"/>
          <w:i/>
          <w:iCs/>
          <w:szCs w:val="21"/>
        </w:rPr>
        <w:t>China</w:t>
      </w:r>
      <w:r>
        <w:rPr>
          <w:rFonts w:cs="宋体"/>
          <w:szCs w:val="21"/>
        </w:rPr>
        <w:t xml:space="preserve">; 2. </w:t>
      </w:r>
      <w:r>
        <w:rPr>
          <w:rFonts w:cs="宋体"/>
          <w:i/>
          <w:iCs/>
          <w:szCs w:val="21"/>
        </w:rPr>
        <w:t>Shenzhen Alpha Feed Co., Ltd., Guangdong Shenzhen</w:t>
      </w:r>
      <w:r>
        <w:rPr>
          <w:rFonts w:cs="宋体"/>
          <w:szCs w:val="21"/>
        </w:rPr>
        <w:t xml:space="preserve"> 518051, </w:t>
      </w:r>
      <w:r>
        <w:rPr>
          <w:rFonts w:cs="宋体"/>
          <w:i/>
          <w:iCs/>
          <w:szCs w:val="21"/>
        </w:rPr>
        <w:t>China</w:t>
      </w:r>
      <w:r>
        <w:rPr>
          <w:rFonts w:cs="宋体"/>
          <w:szCs w:val="21"/>
        </w:rPr>
        <w:t xml:space="preserve">; 3. </w:t>
      </w:r>
      <w:r>
        <w:rPr>
          <w:rFonts w:cs="宋体"/>
          <w:i/>
          <w:iCs/>
          <w:szCs w:val="21"/>
        </w:rPr>
        <w:t>Qingdao Bio-Ways Ingredients Bio-Technology Co., Ltd., Shandong Qingdao</w:t>
      </w:r>
      <w:r>
        <w:rPr>
          <w:rFonts w:cs="宋体"/>
          <w:szCs w:val="21"/>
        </w:rPr>
        <w:t xml:space="preserve"> 266102, </w:t>
      </w:r>
      <w:r>
        <w:rPr>
          <w:rFonts w:cs="宋体"/>
          <w:i/>
          <w:iCs/>
          <w:szCs w:val="21"/>
        </w:rPr>
        <w:t>China</w:t>
      </w:r>
      <w:r>
        <w:rPr>
          <w:rFonts w:cs="宋体"/>
          <w:szCs w:val="21"/>
        </w:rPr>
        <w:t xml:space="preserve">; 4. </w:t>
      </w:r>
      <w:r>
        <w:rPr>
          <w:rFonts w:cs="宋体"/>
          <w:i/>
          <w:iCs/>
          <w:szCs w:val="21"/>
        </w:rPr>
        <w:t>Pinghu Fishers Technology Promotion Center, Zhejiang Pinghu</w:t>
      </w:r>
      <w:r>
        <w:rPr>
          <w:rFonts w:cs="宋体"/>
          <w:szCs w:val="21"/>
        </w:rPr>
        <w:t xml:space="preserve"> 314200, </w:t>
      </w:r>
      <w:r>
        <w:rPr>
          <w:rFonts w:cs="宋体"/>
          <w:i/>
          <w:iCs/>
          <w:szCs w:val="21"/>
        </w:rPr>
        <w:t>China</w:t>
      </w:r>
      <w:r>
        <w:rPr>
          <w:rFonts w:hint="eastAsia"/>
          <w:szCs w:val="21"/>
        </w:rPr>
        <w:t>)</w:t>
      </w:r>
    </w:p>
    <w:p w14:paraId="6358F430">
      <w:pPr>
        <w:rPr>
          <w:rFonts w:cs="宋体"/>
          <w:szCs w:val="21"/>
        </w:rPr>
      </w:pPr>
      <w:r>
        <w:rPr>
          <w:rFonts w:hint="eastAsia" w:cs="宋体"/>
          <w:b/>
          <w:bCs/>
          <w:szCs w:val="21"/>
        </w:rPr>
        <w:t xml:space="preserve">Abstract: </w:t>
      </w:r>
      <w:r>
        <w:rPr>
          <w:rFonts w:cs="宋体"/>
          <w:bCs/>
          <w:szCs w:val="21"/>
        </w:rPr>
        <w:t>The experiment aimed to evaluate the application effect of enzymatically hydrolyzed chicken pulp obtained through different production processes in snakehead</w:t>
      </w:r>
      <w:r>
        <w:rPr>
          <w:rFonts w:hint="eastAsia" w:cs="宋体"/>
          <w:bCs/>
          <w:szCs w:val="21"/>
        </w:rPr>
        <w:t xml:space="preserve"> (</w:t>
      </w:r>
      <w:r>
        <w:rPr>
          <w:rFonts w:hint="eastAsia" w:cs="宋体"/>
          <w:bCs/>
          <w:i/>
          <w:iCs/>
          <w:szCs w:val="21"/>
        </w:rPr>
        <w:t>C</w:t>
      </w:r>
      <w:r>
        <w:rPr>
          <w:rFonts w:cs="宋体"/>
          <w:bCs/>
          <w:i/>
          <w:iCs/>
          <w:szCs w:val="21"/>
        </w:rPr>
        <w:t>hanna argus</w:t>
      </w:r>
      <w:r>
        <w:rPr>
          <w:rFonts w:hint="eastAsia" w:cs="宋体"/>
          <w:bCs/>
          <w:szCs w:val="21"/>
        </w:rPr>
        <w:t xml:space="preserve">) </w:t>
      </w:r>
      <w:r>
        <w:rPr>
          <w:rFonts w:cs="宋体"/>
          <w:bCs/>
          <w:szCs w:val="21"/>
        </w:rPr>
        <w:t xml:space="preserve">feed. After reducing the feed fishmeal, the enzymatic chicken pulp with different nutritional qualities were supplemented respectively, which was recorded as the control group </w:t>
      </w:r>
      <w:r>
        <w:rPr>
          <w:rFonts w:hint="eastAsia" w:cs="宋体"/>
          <w:bCs/>
          <w:szCs w:val="21"/>
        </w:rPr>
        <w:t>(</w:t>
      </w:r>
      <w:r>
        <w:rPr>
          <w:rFonts w:cs="宋体"/>
          <w:bCs/>
          <w:szCs w:val="21"/>
        </w:rPr>
        <w:t>FM group</w:t>
      </w:r>
      <w:r>
        <w:rPr>
          <w:rFonts w:hint="eastAsia" w:cs="宋体"/>
          <w:bCs/>
          <w:szCs w:val="21"/>
        </w:rPr>
        <w:t>)</w:t>
      </w:r>
      <w:r>
        <w:rPr>
          <w:rFonts w:cs="宋体"/>
          <w:bCs/>
          <w:szCs w:val="21"/>
        </w:rPr>
        <w:t xml:space="preserve">, EC group, ECN group and ECP group, and then, 4 groups of isonitrogenous and isolipidic diets were prepared. The fish were fed the experimental diets for 8 weeks, and the changes in growth performance, intestinal immunity and antioxidant capacity of </w:t>
      </w:r>
      <w:r>
        <w:rPr>
          <w:rFonts w:cs="宋体"/>
          <w:bCs/>
          <w:i/>
          <w:iCs/>
          <w:szCs w:val="21"/>
        </w:rPr>
        <w:t>Channa argus</w:t>
      </w:r>
      <w:r>
        <w:rPr>
          <w:rFonts w:hint="eastAsia" w:cs="宋体"/>
          <w:bCs/>
          <w:szCs w:val="21"/>
        </w:rPr>
        <w:t xml:space="preserve"> (</w:t>
      </w:r>
      <w:r>
        <w:rPr>
          <w:rFonts w:cs="宋体"/>
          <w:bCs/>
          <w:szCs w:val="21"/>
        </w:rPr>
        <w:t>initial body weight 9.85 g) were evaluated. The results showed that it was no significant difference in feed coefficient rate and feeding rate among the groups (</w:t>
      </w:r>
      <w:r>
        <w:rPr>
          <w:rFonts w:cs="宋体"/>
          <w:bCs/>
          <w:i/>
          <w:iCs/>
          <w:szCs w:val="21"/>
        </w:rPr>
        <w:t>P</w:t>
      </w:r>
      <w:r>
        <w:rPr>
          <w:rFonts w:cs="宋体"/>
          <w:bCs/>
          <w:szCs w:val="21"/>
        </w:rPr>
        <w:t>&gt;0.05). The final average weight, weight gain rate, and specific growth rate of the fish fed diets supplemented with enzymatic chicken pulp were significantly higher than those of fish fed the FM diet (</w:t>
      </w:r>
      <w:r>
        <w:rPr>
          <w:rFonts w:cs="宋体"/>
          <w:bCs/>
          <w:i/>
          <w:iCs/>
          <w:szCs w:val="21"/>
        </w:rPr>
        <w:t>P</w:t>
      </w:r>
      <w:r>
        <w:rPr>
          <w:rFonts w:cs="宋体"/>
          <w:bCs/>
          <w:szCs w:val="21"/>
        </w:rPr>
        <w:t>&lt;0.05). Condition factors of the ECN group were not significantly different from that of the FM group (</w:t>
      </w:r>
      <w:r>
        <w:rPr>
          <w:rFonts w:cs="宋体"/>
          <w:bCs/>
          <w:i/>
          <w:iCs/>
          <w:szCs w:val="21"/>
        </w:rPr>
        <w:t>P</w:t>
      </w:r>
      <w:r>
        <w:rPr>
          <w:rFonts w:cs="宋体"/>
          <w:bCs/>
          <w:szCs w:val="21"/>
        </w:rPr>
        <w:t>&gt;0.05) and were significantly higher than those of the EC and ECP groups (</w:t>
      </w:r>
      <w:r>
        <w:rPr>
          <w:rFonts w:cs="宋体"/>
          <w:bCs/>
          <w:i/>
          <w:iCs/>
          <w:szCs w:val="21"/>
        </w:rPr>
        <w:t>P</w:t>
      </w:r>
      <w:r>
        <w:rPr>
          <w:rFonts w:cs="宋体"/>
          <w:bCs/>
          <w:szCs w:val="21"/>
        </w:rPr>
        <w:t>&lt;0.05). Crude protein of the whole fish of the ECN group was significantly higher than that of the rest of the groups (</w:t>
      </w:r>
      <w:r>
        <w:rPr>
          <w:rFonts w:cs="宋体"/>
          <w:bCs/>
          <w:i/>
          <w:iCs/>
          <w:szCs w:val="21"/>
        </w:rPr>
        <w:t>P</w:t>
      </w:r>
      <w:r>
        <w:rPr>
          <w:rFonts w:cs="宋体"/>
          <w:bCs/>
          <w:szCs w:val="21"/>
        </w:rPr>
        <w:t>&lt;0.05), and the crude lipid of the whole fish of the EC group was significantly higher than that of the other treatment groups (</w:t>
      </w:r>
      <w:r>
        <w:rPr>
          <w:rFonts w:cs="宋体"/>
          <w:bCs/>
          <w:i/>
          <w:iCs/>
          <w:szCs w:val="21"/>
        </w:rPr>
        <w:t>P</w:t>
      </w:r>
      <w:r>
        <w:rPr>
          <w:rFonts w:cs="宋体"/>
          <w:bCs/>
          <w:szCs w:val="21"/>
        </w:rPr>
        <w:t>&lt;0.05). The FM group′s serum acid phosphatase was significantly lower than that of the groups with the addition of enzymatic chicken pulp (</w:t>
      </w:r>
      <w:r>
        <w:rPr>
          <w:rFonts w:cs="宋体"/>
          <w:bCs/>
          <w:i/>
          <w:iCs/>
          <w:szCs w:val="21"/>
        </w:rPr>
        <w:t>P</w:t>
      </w:r>
      <w:r>
        <w:rPr>
          <w:rFonts w:cs="宋体"/>
          <w:bCs/>
          <w:szCs w:val="21"/>
        </w:rPr>
        <w:t>&lt;0.05). And malondialdehyde was significantly higher than in the ECN and ECP groups (</w:t>
      </w:r>
      <w:r>
        <w:rPr>
          <w:rFonts w:cs="宋体"/>
          <w:bCs/>
          <w:i/>
          <w:iCs/>
          <w:szCs w:val="21"/>
        </w:rPr>
        <w:t>P</w:t>
      </w:r>
      <w:r>
        <w:rPr>
          <w:rFonts w:cs="宋体"/>
          <w:bCs/>
          <w:szCs w:val="21"/>
        </w:rPr>
        <w:t>&lt;0.05). In the EC group, serum lysozyme and polyphenol oxidase were significantly higher than those in the FM and ECP groups, and protein carbonyl content was significantly lower than those in the FM and ECP groups (</w:t>
      </w:r>
      <w:r>
        <w:rPr>
          <w:rFonts w:cs="宋体"/>
          <w:bCs/>
          <w:i/>
          <w:iCs/>
          <w:szCs w:val="21"/>
        </w:rPr>
        <w:t>P</w:t>
      </w:r>
      <w:r>
        <w:rPr>
          <w:rFonts w:cs="宋体"/>
          <w:bCs/>
          <w:szCs w:val="21"/>
        </w:rPr>
        <w:t>&lt;0.05). Total intestinal antioxidant capacity was significantly higher (</w:t>
      </w:r>
      <w:r>
        <w:rPr>
          <w:rFonts w:cs="宋体"/>
          <w:bCs/>
          <w:i/>
          <w:iCs/>
          <w:szCs w:val="21"/>
        </w:rPr>
        <w:t>P</w:t>
      </w:r>
      <w:r>
        <w:rPr>
          <w:rFonts w:cs="宋体"/>
          <w:bCs/>
          <w:szCs w:val="21"/>
        </w:rPr>
        <w:t xml:space="preserve">&lt;0.05) in the enzymatic chicken pulp groups; the relative gene expression of intestinal pro-inflammatory factors was decreased, and the relative gene expression of anti-inflammatory factors was increased. In conclusion, low fishmeal feed supplemented with enzymatic chicken pulp could enhance intestinal immunity and antioxidant capacity and promote the growth of </w:t>
      </w:r>
      <w:r>
        <w:rPr>
          <w:rFonts w:cs="宋体"/>
          <w:bCs/>
          <w:i/>
          <w:iCs/>
          <w:szCs w:val="21"/>
        </w:rPr>
        <w:t>Channa argus</w:t>
      </w:r>
      <w:r>
        <w:rPr>
          <w:rFonts w:cs="宋体"/>
          <w:bCs/>
          <w:szCs w:val="21"/>
        </w:rPr>
        <w:t>, the ECN performed the best</w:t>
      </w:r>
      <w:r>
        <w:rPr>
          <w:rFonts w:hint="eastAsia" w:cs="宋体"/>
          <w:szCs w:val="21"/>
        </w:rPr>
        <w:t>.</w:t>
      </w:r>
    </w:p>
    <w:p w14:paraId="669CBF62">
      <w:pPr>
        <w:rPr>
          <w:rFonts w:cs="宋体"/>
          <w:szCs w:val="21"/>
        </w:rPr>
      </w:pPr>
      <w:r>
        <w:rPr>
          <w:rFonts w:hint="eastAsia" w:cs="宋体"/>
          <w:b/>
          <w:bCs/>
          <w:szCs w:val="21"/>
        </w:rPr>
        <w:t>Key words:</w:t>
      </w:r>
      <w:r>
        <w:rPr>
          <w:rFonts w:hint="eastAsia" w:cs="宋体"/>
          <w:szCs w:val="21"/>
        </w:rPr>
        <w:t xml:space="preserve"> </w:t>
      </w:r>
      <w:r>
        <w:rPr>
          <w:bCs/>
          <w:i/>
          <w:iCs/>
          <w:szCs w:val="21"/>
        </w:rPr>
        <w:t>Channa argus</w:t>
      </w:r>
      <w:r>
        <w:rPr>
          <w:bCs/>
          <w:szCs w:val="21"/>
        </w:rPr>
        <w:t>; enzymatic chicken pulp; growth performance; intestinal immunity; antioxidant capacity</w:t>
      </w:r>
    </w:p>
    <w:p w14:paraId="26670CA9">
      <w:pPr>
        <w:spacing w:line="360" w:lineRule="auto"/>
        <w:ind w:firstLine="480" w:firstLineChars="200"/>
        <w:rPr>
          <w:rFonts w:cs="宋体"/>
          <w:sz w:val="24"/>
        </w:rPr>
      </w:pPr>
    </w:p>
    <w:p w14:paraId="0427DDED">
      <w:pPr>
        <w:spacing w:line="360" w:lineRule="auto"/>
        <w:ind w:firstLine="420"/>
        <w:rPr>
          <w:sz w:val="24"/>
          <w:szCs w:val="32"/>
        </w:rPr>
      </w:pPr>
      <w:r>
        <w:rPr>
          <w:sz w:val="24"/>
          <w:szCs w:val="32"/>
        </w:rPr>
        <w:t>随着水产养殖业快速发展，我国每年水产用鱼粉消耗量大于150万吨</w:t>
      </w:r>
      <w:r>
        <w:rPr>
          <w:sz w:val="24"/>
          <w:szCs w:val="32"/>
          <w:vertAlign w:val="superscript"/>
        </w:rPr>
        <w:t>[1]</w:t>
      </w:r>
      <w:r>
        <w:rPr>
          <w:sz w:val="24"/>
          <w:szCs w:val="32"/>
        </w:rPr>
        <w:t>，产量供不应求，对鱼粉的品质要求提高，难以满足不断增长的市场需求，严重影响了水产养殖业的可持续发展</w:t>
      </w:r>
      <w:r>
        <w:rPr>
          <w:sz w:val="24"/>
          <w:szCs w:val="32"/>
          <w:vertAlign w:val="superscript"/>
        </w:rPr>
        <w:t>[2]</w:t>
      </w:r>
      <w:r>
        <w:rPr>
          <w:sz w:val="24"/>
          <w:szCs w:val="32"/>
        </w:rPr>
        <w:t>。因此，开发新型蛋白源，降低对鱼粉的依赖是我国水产饲料研究重要方向之一</w:t>
      </w:r>
      <w:r>
        <w:rPr>
          <w:sz w:val="24"/>
          <w:szCs w:val="32"/>
          <w:vertAlign w:val="superscript"/>
        </w:rPr>
        <w:t>[3]</w:t>
      </w:r>
      <w:r>
        <w:rPr>
          <w:sz w:val="24"/>
          <w:szCs w:val="32"/>
        </w:rPr>
        <w:t>。</w:t>
      </w:r>
    </w:p>
    <w:p w14:paraId="08797CC1">
      <w:pPr>
        <w:spacing w:line="360" w:lineRule="auto"/>
        <w:ind w:firstLine="420"/>
        <w:rPr>
          <w:sz w:val="24"/>
          <w:szCs w:val="32"/>
        </w:rPr>
      </w:pPr>
      <w:r>
        <w:rPr>
          <w:sz w:val="24"/>
          <w:szCs w:val="32"/>
        </w:rPr>
        <w:t>近年来研究表明，动物加工副产品可替代鱼粉作为动物蛋白源</w:t>
      </w:r>
      <w:r>
        <w:rPr>
          <w:sz w:val="24"/>
          <w:szCs w:val="32"/>
          <w:vertAlign w:val="superscript"/>
        </w:rPr>
        <w:t>[4]</w:t>
      </w:r>
      <w:r>
        <w:rPr>
          <w:sz w:val="24"/>
          <w:szCs w:val="32"/>
        </w:rPr>
        <w:t>。我国肉类加工业年产生约1700万吨畜禽骨副产物（以鸡骨、猪骨、牛骨为主），但当前利用率不足10%，大量通过填埋焚烧处理，导致环境污染与资源浪费</w:t>
      </w:r>
      <w:r>
        <w:rPr>
          <w:sz w:val="24"/>
          <w:szCs w:val="32"/>
          <w:vertAlign w:val="superscript"/>
        </w:rPr>
        <w:t>[</w:t>
      </w:r>
      <w:r>
        <w:rPr>
          <w:sz w:val="24"/>
          <w:szCs w:val="32"/>
        </w:rPr>
        <w:t>5-6</w:t>
      </w:r>
      <w:r>
        <w:rPr>
          <w:sz w:val="24"/>
          <w:szCs w:val="32"/>
          <w:vertAlign w:val="superscript"/>
        </w:rPr>
        <w:t>]</w:t>
      </w:r>
      <w:r>
        <w:rPr>
          <w:sz w:val="24"/>
          <w:szCs w:val="32"/>
        </w:rPr>
        <w:t>。这类副产物富含胶原蛋白等生物活性物质，经化学水解或酶解技术可转化为胶原蛋白肽等小分子活性物质，消化吸收率与生物效价显著提升</w:t>
      </w:r>
      <w:r>
        <w:rPr>
          <w:sz w:val="24"/>
          <w:szCs w:val="32"/>
          <w:vertAlign w:val="superscript"/>
        </w:rPr>
        <w:t>[7]</w:t>
      </w:r>
      <w:r>
        <w:rPr>
          <w:sz w:val="24"/>
          <w:szCs w:val="32"/>
        </w:rPr>
        <w:t>。</w:t>
      </w:r>
    </w:p>
    <w:p w14:paraId="37B3BFAC">
      <w:pPr>
        <w:spacing w:line="360" w:lineRule="auto"/>
        <w:ind w:firstLine="420"/>
        <w:rPr>
          <w:sz w:val="24"/>
          <w:szCs w:val="32"/>
        </w:rPr>
      </w:pPr>
      <w:r>
        <w:rPr>
          <w:sz w:val="24"/>
          <w:szCs w:val="32"/>
        </w:rPr>
        <w:t>酶解技术作为一种有效的蛋白质改性手段，能够提高蛋白质的消化率和生物利用度，同时释放生物活性肽，具有促进动物健康和提高生产性能的潜力</w:t>
      </w:r>
      <w:r>
        <w:rPr>
          <w:sz w:val="24"/>
          <w:szCs w:val="32"/>
          <w:vertAlign w:val="superscript"/>
        </w:rPr>
        <w:t>[8-9]</w:t>
      </w:r>
      <w:r>
        <w:rPr>
          <w:sz w:val="24"/>
          <w:szCs w:val="32"/>
        </w:rPr>
        <w:t>。我国家禽养殖规模庞大，鸡肉加工过程中产生的副产品鸡骨架，每年可达数百万吨，其蛋白质含量高且氨基酸比例相对均衡</w:t>
      </w:r>
      <w:r>
        <w:rPr>
          <w:sz w:val="24"/>
          <w:szCs w:val="32"/>
          <w:vertAlign w:val="superscript"/>
        </w:rPr>
        <w:t>[10-11]</w:t>
      </w:r>
      <w:r>
        <w:rPr>
          <w:sz w:val="24"/>
          <w:szCs w:val="32"/>
        </w:rPr>
        <w:t>。鸡骨架由鸡肉、鸡骨和鸡皮等肉鸡加工过程中的副产物组成，家禽骨中富含胶原蛋白，利用酶解技术可以打开蛋白质空间结构，使胶原蛋白分解，大分子蛋白降解，产生大量小肽和游离的氨基酸，能够被机体直接吸收利用，改善养殖对象的生长性能，提高了蛋白质的吸收</w:t>
      </w:r>
      <w:r>
        <w:rPr>
          <w:sz w:val="24"/>
          <w:szCs w:val="32"/>
          <w:vertAlign w:val="superscript"/>
        </w:rPr>
        <w:t>[12-14]</w:t>
      </w:r>
      <w:r>
        <w:rPr>
          <w:sz w:val="24"/>
          <w:szCs w:val="32"/>
        </w:rPr>
        <w:t>。研究表明，酶解鸡浆是以新鲜无变质的鸡屠宰、分割可食用鲜肉过程中余下部分为原料，经蒸煮、压榨、离心后得到有可溶性固形物的液体作为酶解原料，采用酶解技术，浓缩制备得到。因其富含多肽而具有抗高血压、抗氧化、抗菌及促进钙吸收等生物活性与功能</w:t>
      </w:r>
      <w:r>
        <w:rPr>
          <w:sz w:val="24"/>
          <w:szCs w:val="32"/>
          <w:vertAlign w:val="superscript"/>
        </w:rPr>
        <w:t>[15]</w:t>
      </w:r>
      <w:r>
        <w:rPr>
          <w:sz w:val="24"/>
          <w:szCs w:val="32"/>
        </w:rPr>
        <w:t>。</w:t>
      </w:r>
    </w:p>
    <w:p w14:paraId="05CCEEDF">
      <w:pPr>
        <w:spacing w:line="360" w:lineRule="auto"/>
        <w:ind w:firstLine="420"/>
        <w:rPr>
          <w:sz w:val="24"/>
          <w:szCs w:val="32"/>
        </w:rPr>
      </w:pPr>
      <w:r>
        <w:rPr>
          <w:sz w:val="24"/>
          <w:szCs w:val="32"/>
        </w:rPr>
        <w:t>通过优选特异性蛋白酶、采用不同蛋白酶的复合及梯度酶解、精准控制酶解深度分别得到不同品质的酶解鸡浆。乌鳢（</w:t>
      </w:r>
      <w:r>
        <w:rPr>
          <w:i/>
          <w:iCs/>
          <w:sz w:val="24"/>
          <w:szCs w:val="32"/>
        </w:rPr>
        <w:t>Channa argus</w:t>
      </w:r>
      <w:r>
        <w:rPr>
          <w:sz w:val="24"/>
          <w:szCs w:val="32"/>
        </w:rPr>
        <w:t>），生长快和适应性强，是一种经济价值较高的淡水鱼类</w:t>
      </w:r>
      <w:r>
        <w:rPr>
          <w:sz w:val="24"/>
          <w:szCs w:val="32"/>
          <w:vertAlign w:val="superscript"/>
        </w:rPr>
        <w:t>[16]</w:t>
      </w:r>
      <w:r>
        <w:rPr>
          <w:sz w:val="24"/>
          <w:szCs w:val="32"/>
        </w:rPr>
        <w:t>。本研究通过对比分析不同品质的酶解鸡浆替代鱼粉对乌鳢生长性能的影响，旨在为乌鳢饲料配方的优化和新型蛋白源的开发应用提供科学依据。</w:t>
      </w:r>
    </w:p>
    <w:p w14:paraId="21F49C22">
      <w:pPr>
        <w:spacing w:before="160" w:after="80" w:line="360" w:lineRule="auto"/>
        <w:rPr>
          <w:sz w:val="24"/>
          <w:szCs w:val="32"/>
        </w:rPr>
      </w:pPr>
      <w:r>
        <w:rPr>
          <w:sz w:val="24"/>
          <w:szCs w:val="32"/>
        </w:rPr>
        <w:t>1 材料与方法</w:t>
      </w:r>
    </w:p>
    <w:p w14:paraId="401683E4">
      <w:pPr>
        <w:spacing w:before="120" w:after="60" w:line="360" w:lineRule="auto"/>
        <w:rPr>
          <w:sz w:val="24"/>
          <w:szCs w:val="32"/>
        </w:rPr>
      </w:pPr>
      <w:r>
        <w:rPr>
          <w:sz w:val="24"/>
          <w:szCs w:val="32"/>
        </w:rPr>
        <w:t>1.1 试验饲料</w:t>
      </w:r>
    </w:p>
    <w:p w14:paraId="3ACE9CDE">
      <w:pPr>
        <w:spacing w:line="360" w:lineRule="auto"/>
        <w:ind w:firstLine="420"/>
        <w:rPr>
          <w:sz w:val="24"/>
          <w:szCs w:val="32"/>
        </w:rPr>
      </w:pPr>
      <w:r>
        <w:rPr>
          <w:sz w:val="24"/>
          <w:szCs w:val="32"/>
        </w:rPr>
        <w:t>分别使用3种工艺获得的酶解鸡浆（青岛佰伟英格生物科技有限公司）替代对照组饲料中5%的鱼粉，配制4组等氮等脂的试验饲料，分别为对照组（FM组）和3个试验组。通过酶的不同组合及作用温度和时间，分别获得酶解鸡浆（EC）、酶解鸡浆N（ECN）和酶解鸡浆P（ECP）产品，形成相应的3个试验组EC、ECN组和ECP组。饲粮组成及营养水平见表1，酶解鸡浆的营养水平见表2。将所需原料粉碎过60目筛，根据试验配方，逐级混合均匀，经膨化机2 mm和3 mm模板分别针对生长阶段制成两种粒径饲料，自然风干后‑20 ℃冰箱中储存备用。</w:t>
      </w:r>
    </w:p>
    <w:p w14:paraId="2364BEBA">
      <w:pPr>
        <w:spacing w:line="360" w:lineRule="auto"/>
        <w:ind w:firstLine="420"/>
        <w:jc w:val="center"/>
        <w:rPr>
          <w:sz w:val="24"/>
          <w:szCs w:val="32"/>
        </w:rPr>
      </w:pPr>
      <w:r>
        <w:rPr>
          <w:sz w:val="24"/>
          <w:szCs w:val="32"/>
        </w:rPr>
        <w:drawing>
          <wp:inline distT="0" distB="0" distL="114300" distR="114300">
            <wp:extent cx="2678430" cy="4453255"/>
            <wp:effectExtent l="0" t="0" r="7620" b="4445"/>
            <wp:docPr id="1034239113" name="图片 1034239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39113" name="图片 1034239113"/>
                    <pic:cNvPicPr>
                      <a:picLocks noChangeAspect="1"/>
                    </pic:cNvPicPr>
                  </pic:nvPicPr>
                  <pic:blipFill>
                    <a:blip r:embed="rId27"/>
                    <a:stretch>
                      <a:fillRect/>
                    </a:stretch>
                  </pic:blipFill>
                  <pic:spPr>
                    <a:xfrm>
                      <a:off x="0" y="0"/>
                      <a:ext cx="2681470" cy="4458399"/>
                    </a:xfrm>
                    <a:prstGeom prst="rect">
                      <a:avLst/>
                    </a:prstGeom>
                    <a:noFill/>
                    <a:ln>
                      <a:noFill/>
                    </a:ln>
                  </pic:spPr>
                </pic:pic>
              </a:graphicData>
            </a:graphic>
          </wp:inline>
        </w:drawing>
      </w:r>
      <w:r>
        <w:rPr>
          <w:sz w:val="24"/>
          <w:szCs w:val="32"/>
        </w:rPr>
        <w:drawing>
          <wp:inline distT="0" distB="0" distL="114300" distR="114300">
            <wp:extent cx="2999740" cy="1634490"/>
            <wp:effectExtent l="0" t="0" r="0" b="3810"/>
            <wp:docPr id="747766113" name="图片 747766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66113" name="图片 747766113"/>
                    <pic:cNvPicPr>
                      <a:picLocks noChangeAspect="1"/>
                    </pic:cNvPicPr>
                  </pic:nvPicPr>
                  <pic:blipFill>
                    <a:blip r:embed="rId28"/>
                    <a:stretch>
                      <a:fillRect/>
                    </a:stretch>
                  </pic:blipFill>
                  <pic:spPr>
                    <a:xfrm>
                      <a:off x="0" y="0"/>
                      <a:ext cx="3011179" cy="1641018"/>
                    </a:xfrm>
                    <a:prstGeom prst="rect">
                      <a:avLst/>
                    </a:prstGeom>
                    <a:noFill/>
                    <a:ln>
                      <a:noFill/>
                    </a:ln>
                  </pic:spPr>
                </pic:pic>
              </a:graphicData>
            </a:graphic>
          </wp:inline>
        </w:drawing>
      </w:r>
    </w:p>
    <w:p w14:paraId="6AF5A362">
      <w:pPr>
        <w:spacing w:before="120" w:after="60" w:line="360" w:lineRule="auto"/>
        <w:rPr>
          <w:sz w:val="24"/>
          <w:szCs w:val="32"/>
        </w:rPr>
      </w:pPr>
      <w:r>
        <w:rPr>
          <w:sz w:val="24"/>
          <w:szCs w:val="32"/>
        </w:rPr>
        <w:t>1.2 试验用鱼及养殖管理</w:t>
      </w:r>
    </w:p>
    <w:p w14:paraId="6C89E12F">
      <w:pPr>
        <w:spacing w:line="360" w:lineRule="auto"/>
        <w:ind w:firstLine="420"/>
        <w:rPr>
          <w:sz w:val="24"/>
          <w:szCs w:val="32"/>
        </w:rPr>
      </w:pPr>
      <w:r>
        <w:rPr>
          <w:sz w:val="24"/>
          <w:szCs w:val="32"/>
        </w:rPr>
        <w:t>将试验用乌鳢鱼苗（茂名英熙鱼虾苗厂）暂养于广东海洋大学淡水基地水泥池（5.5 m×5.5 m）中，投喂商品料，暂养1周。试验开始前，禁饲24 h，挑选活力好，规格均一的乌鳢鱼苗540尾（初始体质量约9.85 g），随机分为4组，每组3个重复（1.0 m³的网箱），每个重复45尾鱼，养殖试验在淡水基地的室外养殖系统中进行。每天8:00和17:00投喂对应组的试验饲料至表观饱食，养殖期8周。</w:t>
      </w:r>
    </w:p>
    <w:p w14:paraId="0090A836">
      <w:pPr>
        <w:spacing w:before="120" w:after="60" w:line="360" w:lineRule="auto"/>
        <w:rPr>
          <w:sz w:val="24"/>
          <w:szCs w:val="32"/>
        </w:rPr>
      </w:pPr>
      <w:r>
        <w:rPr>
          <w:sz w:val="24"/>
          <w:szCs w:val="32"/>
        </w:rPr>
        <w:t>1.3 生长性能与形态学指标</w:t>
      </w:r>
    </w:p>
    <w:p w14:paraId="4891D4E4">
      <w:pPr>
        <w:spacing w:line="360" w:lineRule="auto"/>
        <w:ind w:firstLine="420"/>
        <w:rPr>
          <w:sz w:val="24"/>
          <w:szCs w:val="32"/>
        </w:rPr>
      </w:pPr>
      <w:r>
        <w:rPr>
          <w:sz w:val="24"/>
          <w:szCs w:val="32"/>
        </w:rPr>
        <w:t>存活率（SR，%）=N</w:t>
      </w:r>
      <w:r>
        <w:rPr>
          <w:sz w:val="24"/>
          <w:szCs w:val="32"/>
          <w:vertAlign w:val="subscript"/>
        </w:rPr>
        <w:t>t</w:t>
      </w:r>
      <w:r>
        <w:rPr>
          <w:sz w:val="24"/>
          <w:szCs w:val="32"/>
        </w:rPr>
        <w:t>/N</w:t>
      </w:r>
      <w:r>
        <w:rPr>
          <w:sz w:val="24"/>
          <w:szCs w:val="32"/>
          <w:vertAlign w:val="subscript"/>
        </w:rPr>
        <w:t>0</w:t>
      </w:r>
      <w:r>
        <w:rPr>
          <w:sz w:val="24"/>
          <w:szCs w:val="32"/>
        </w:rPr>
        <w:t>×100</w:t>
      </w:r>
    </w:p>
    <w:p w14:paraId="1DA10E4A">
      <w:pPr>
        <w:spacing w:line="360" w:lineRule="auto"/>
        <w:ind w:firstLine="420"/>
        <w:rPr>
          <w:sz w:val="24"/>
          <w:szCs w:val="32"/>
        </w:rPr>
      </w:pPr>
      <w:r>
        <w:rPr>
          <w:sz w:val="24"/>
          <w:szCs w:val="32"/>
        </w:rPr>
        <w:t>增重率（WGR，%）=</w:t>
      </w:r>
      <w:r>
        <w:rPr>
          <w:sz w:val="24"/>
          <w:szCs w:val="32"/>
          <w:vertAlign w:val="superscript"/>
        </w:rPr>
        <w:t>[</w:t>
      </w:r>
      <w:r>
        <w:rPr>
          <w:sz w:val="24"/>
          <w:szCs w:val="32"/>
        </w:rPr>
        <w:t>（W</w:t>
      </w:r>
      <w:r>
        <w:rPr>
          <w:sz w:val="24"/>
          <w:szCs w:val="32"/>
          <w:vertAlign w:val="subscript"/>
        </w:rPr>
        <w:t>t</w:t>
      </w:r>
      <w:r>
        <w:rPr>
          <w:sz w:val="24"/>
          <w:szCs w:val="32"/>
        </w:rPr>
        <w:t>−W</w:t>
      </w:r>
      <w:r>
        <w:rPr>
          <w:sz w:val="24"/>
          <w:szCs w:val="32"/>
          <w:vertAlign w:val="subscript"/>
        </w:rPr>
        <w:t>0</w:t>
      </w:r>
      <w:r>
        <w:rPr>
          <w:sz w:val="24"/>
          <w:szCs w:val="32"/>
        </w:rPr>
        <w:t>）/W</w:t>
      </w:r>
      <w:r>
        <w:rPr>
          <w:sz w:val="24"/>
          <w:szCs w:val="32"/>
          <w:vertAlign w:val="subscript"/>
        </w:rPr>
        <w:t>0</w:t>
      </w:r>
      <w:r>
        <w:rPr>
          <w:sz w:val="24"/>
          <w:szCs w:val="32"/>
          <w:vertAlign w:val="superscript"/>
        </w:rPr>
        <w:t>]</w:t>
      </w:r>
      <w:r>
        <w:rPr>
          <w:sz w:val="24"/>
          <w:szCs w:val="32"/>
        </w:rPr>
        <w:t>×100</w:t>
      </w:r>
    </w:p>
    <w:p w14:paraId="46ADFB8F">
      <w:pPr>
        <w:spacing w:line="360" w:lineRule="auto"/>
        <w:ind w:firstLine="420"/>
        <w:rPr>
          <w:sz w:val="24"/>
          <w:szCs w:val="32"/>
        </w:rPr>
      </w:pPr>
      <w:r>
        <w:rPr>
          <w:sz w:val="24"/>
          <w:szCs w:val="32"/>
        </w:rPr>
        <w:t>特定生长率（SGR，%/d）=（lnW</w:t>
      </w:r>
      <w:r>
        <w:rPr>
          <w:sz w:val="24"/>
          <w:szCs w:val="32"/>
          <w:vertAlign w:val="subscript"/>
        </w:rPr>
        <w:t>f</w:t>
      </w:r>
      <w:r>
        <w:rPr>
          <w:sz w:val="24"/>
          <w:szCs w:val="32"/>
        </w:rPr>
        <w:t xml:space="preserve"> −lnW</w:t>
      </w:r>
      <w:r>
        <w:rPr>
          <w:sz w:val="24"/>
          <w:szCs w:val="32"/>
          <w:vertAlign w:val="subscript"/>
        </w:rPr>
        <w:t>i</w:t>
      </w:r>
      <w:r>
        <w:rPr>
          <w:sz w:val="24"/>
          <w:szCs w:val="32"/>
        </w:rPr>
        <w:t>）/t×100</w:t>
      </w:r>
    </w:p>
    <w:p w14:paraId="1B986C27">
      <w:pPr>
        <w:spacing w:line="360" w:lineRule="auto"/>
        <w:ind w:firstLine="420"/>
        <w:rPr>
          <w:sz w:val="24"/>
          <w:szCs w:val="32"/>
        </w:rPr>
      </w:pPr>
      <w:r>
        <w:rPr>
          <w:sz w:val="24"/>
          <w:szCs w:val="32"/>
        </w:rPr>
        <w:t>饲料系数（FCR）=F/（W</w:t>
      </w:r>
      <w:r>
        <w:rPr>
          <w:sz w:val="24"/>
          <w:szCs w:val="32"/>
          <w:vertAlign w:val="subscript"/>
        </w:rPr>
        <w:t>t</w:t>
      </w:r>
      <w:r>
        <w:rPr>
          <w:sz w:val="24"/>
          <w:szCs w:val="32"/>
        </w:rPr>
        <w:t>−W</w:t>
      </w:r>
      <w:r>
        <w:rPr>
          <w:sz w:val="24"/>
          <w:szCs w:val="32"/>
          <w:vertAlign w:val="subscript"/>
        </w:rPr>
        <w:t>0</w:t>
      </w:r>
      <w:r>
        <w:rPr>
          <w:sz w:val="24"/>
          <w:szCs w:val="32"/>
        </w:rPr>
        <w:t>＋W</w:t>
      </w:r>
      <w:r>
        <w:rPr>
          <w:sz w:val="24"/>
          <w:szCs w:val="32"/>
          <w:vertAlign w:val="subscript"/>
        </w:rPr>
        <w:t>d</w:t>
      </w:r>
      <w:r>
        <w:rPr>
          <w:sz w:val="24"/>
          <w:szCs w:val="32"/>
        </w:rPr>
        <w:t>）</w:t>
      </w:r>
    </w:p>
    <w:p w14:paraId="4179C76B">
      <w:pPr>
        <w:spacing w:line="360" w:lineRule="auto"/>
        <w:ind w:firstLine="420"/>
        <w:rPr>
          <w:sz w:val="24"/>
          <w:szCs w:val="32"/>
        </w:rPr>
      </w:pPr>
      <w:r>
        <w:rPr>
          <w:sz w:val="24"/>
          <w:szCs w:val="32"/>
        </w:rPr>
        <w:t>摄食率（FI，%）=F/</w:t>
      </w:r>
      <w:r>
        <w:rPr>
          <w:sz w:val="24"/>
          <w:szCs w:val="32"/>
          <w:vertAlign w:val="superscript"/>
        </w:rPr>
        <w:t>[</w:t>
      </w:r>
      <w:r>
        <w:rPr>
          <w:sz w:val="24"/>
          <w:szCs w:val="32"/>
        </w:rPr>
        <w:t>t×（W</w:t>
      </w:r>
      <w:r>
        <w:rPr>
          <w:sz w:val="24"/>
          <w:szCs w:val="32"/>
          <w:vertAlign w:val="subscript"/>
        </w:rPr>
        <w:t>t</w:t>
      </w:r>
      <w:r>
        <w:rPr>
          <w:sz w:val="24"/>
          <w:szCs w:val="32"/>
        </w:rPr>
        <w:t>+W</w:t>
      </w:r>
      <w:r>
        <w:rPr>
          <w:sz w:val="24"/>
          <w:szCs w:val="32"/>
          <w:vertAlign w:val="subscript"/>
        </w:rPr>
        <w:t>0</w:t>
      </w:r>
      <w:r>
        <w:rPr>
          <w:sz w:val="24"/>
          <w:szCs w:val="32"/>
        </w:rPr>
        <w:t>）/2</w:t>
      </w:r>
      <w:r>
        <w:rPr>
          <w:sz w:val="24"/>
          <w:szCs w:val="32"/>
          <w:vertAlign w:val="superscript"/>
        </w:rPr>
        <w:t>]</w:t>
      </w:r>
      <w:r>
        <w:rPr>
          <w:sz w:val="24"/>
          <w:szCs w:val="32"/>
        </w:rPr>
        <w:t>×100</w:t>
      </w:r>
    </w:p>
    <w:p w14:paraId="77E43700">
      <w:pPr>
        <w:spacing w:line="360" w:lineRule="auto"/>
        <w:ind w:firstLine="420"/>
        <w:rPr>
          <w:sz w:val="24"/>
          <w:szCs w:val="32"/>
        </w:rPr>
      </w:pPr>
      <w:r>
        <w:rPr>
          <w:sz w:val="24"/>
          <w:szCs w:val="32"/>
        </w:rPr>
        <w:t>肥满度（CF，g/cm</w:t>
      </w:r>
      <w:r>
        <w:rPr>
          <w:sz w:val="24"/>
          <w:szCs w:val="32"/>
          <w:vertAlign w:val="superscript"/>
        </w:rPr>
        <w:t>3</w:t>
      </w:r>
      <w:r>
        <w:rPr>
          <w:sz w:val="24"/>
          <w:szCs w:val="32"/>
        </w:rPr>
        <w:t>）=100×W/L</w:t>
      </w:r>
      <w:r>
        <w:rPr>
          <w:sz w:val="24"/>
          <w:szCs w:val="32"/>
          <w:vertAlign w:val="superscript"/>
        </w:rPr>
        <w:t>3</w:t>
      </w:r>
    </w:p>
    <w:p w14:paraId="091EE0C2">
      <w:pPr>
        <w:spacing w:line="360" w:lineRule="auto"/>
        <w:ind w:firstLine="420"/>
        <w:rPr>
          <w:sz w:val="24"/>
          <w:szCs w:val="32"/>
        </w:rPr>
      </w:pPr>
      <w:r>
        <w:rPr>
          <w:sz w:val="24"/>
          <w:szCs w:val="32"/>
        </w:rPr>
        <w:t>肝体比（HSI，%）=W</w:t>
      </w:r>
      <w:r>
        <w:rPr>
          <w:sz w:val="24"/>
          <w:szCs w:val="32"/>
          <w:vertAlign w:val="subscript"/>
        </w:rPr>
        <w:t>L</w:t>
      </w:r>
      <w:r>
        <w:rPr>
          <w:sz w:val="24"/>
          <w:szCs w:val="32"/>
        </w:rPr>
        <w:t>/W×100</w:t>
      </w:r>
    </w:p>
    <w:p w14:paraId="00A1195E">
      <w:pPr>
        <w:spacing w:line="360" w:lineRule="auto"/>
        <w:ind w:firstLine="420"/>
        <w:rPr>
          <w:sz w:val="24"/>
          <w:szCs w:val="32"/>
        </w:rPr>
      </w:pPr>
      <w:r>
        <w:rPr>
          <w:sz w:val="24"/>
          <w:szCs w:val="32"/>
        </w:rPr>
        <w:t>脏体比（VSI，%）=WV/W×100</w:t>
      </w:r>
    </w:p>
    <w:p w14:paraId="3F56E90A">
      <w:pPr>
        <w:spacing w:line="360" w:lineRule="auto"/>
        <w:ind w:firstLine="420"/>
        <w:rPr>
          <w:sz w:val="24"/>
          <w:szCs w:val="32"/>
        </w:rPr>
      </w:pPr>
      <w:r>
        <w:rPr>
          <w:sz w:val="24"/>
          <w:szCs w:val="32"/>
        </w:rPr>
        <w:t>肠体指数（VI，%）=100×W</w:t>
      </w:r>
      <w:r>
        <w:rPr>
          <w:sz w:val="24"/>
          <w:szCs w:val="32"/>
          <w:vertAlign w:val="subscript"/>
        </w:rPr>
        <w:t>I</w:t>
      </w:r>
      <w:r>
        <w:rPr>
          <w:sz w:val="24"/>
          <w:szCs w:val="32"/>
        </w:rPr>
        <w:t>/W</w:t>
      </w:r>
    </w:p>
    <w:p w14:paraId="0436FFD3">
      <w:pPr>
        <w:spacing w:line="360" w:lineRule="auto"/>
        <w:ind w:firstLine="420"/>
        <w:rPr>
          <w:sz w:val="24"/>
          <w:szCs w:val="32"/>
        </w:rPr>
      </w:pPr>
      <w:r>
        <w:rPr>
          <w:sz w:val="24"/>
          <w:szCs w:val="32"/>
        </w:rPr>
        <w:t>肠长指数（ILI，%）=100×L</w:t>
      </w:r>
      <w:r>
        <w:rPr>
          <w:sz w:val="24"/>
          <w:szCs w:val="32"/>
          <w:vertAlign w:val="subscript"/>
        </w:rPr>
        <w:t>I</w:t>
      </w:r>
      <w:r>
        <w:rPr>
          <w:sz w:val="24"/>
          <w:szCs w:val="32"/>
        </w:rPr>
        <w:t>/L</w:t>
      </w:r>
    </w:p>
    <w:p w14:paraId="4D0102C4">
      <w:pPr>
        <w:spacing w:line="360" w:lineRule="auto"/>
        <w:ind w:firstLine="420"/>
        <w:rPr>
          <w:sz w:val="24"/>
          <w:szCs w:val="32"/>
        </w:rPr>
      </w:pPr>
      <w:r>
        <w:rPr>
          <w:sz w:val="24"/>
          <w:szCs w:val="32"/>
        </w:rPr>
        <w:t>式中：N</w:t>
      </w:r>
      <w:r>
        <w:rPr>
          <w:sz w:val="24"/>
          <w:szCs w:val="32"/>
          <w:vertAlign w:val="subscript"/>
        </w:rPr>
        <w:t>t</w:t>
      </w:r>
      <w:r>
        <w:rPr>
          <w:sz w:val="24"/>
          <w:szCs w:val="32"/>
        </w:rPr>
        <w:t>、N</w:t>
      </w:r>
      <w:r>
        <w:rPr>
          <w:sz w:val="24"/>
          <w:szCs w:val="32"/>
          <w:vertAlign w:val="subscript"/>
        </w:rPr>
        <w:t>0</w:t>
      </w:r>
      <w:r>
        <w:rPr>
          <w:sz w:val="24"/>
          <w:szCs w:val="32"/>
        </w:rPr>
        <w:t>—试验开始和试验结束鱼的数量；W</w:t>
      </w:r>
      <w:r>
        <w:rPr>
          <w:sz w:val="24"/>
          <w:szCs w:val="32"/>
          <w:vertAlign w:val="subscript"/>
        </w:rPr>
        <w:t>t</w:t>
      </w:r>
      <w:r>
        <w:rPr>
          <w:sz w:val="24"/>
          <w:szCs w:val="32"/>
        </w:rPr>
        <w:t>和W</w:t>
      </w:r>
      <w:r>
        <w:rPr>
          <w:sz w:val="24"/>
          <w:szCs w:val="32"/>
          <w:vertAlign w:val="subscript"/>
        </w:rPr>
        <w:t>0</w:t>
      </w:r>
      <w:r>
        <w:rPr>
          <w:sz w:val="24"/>
          <w:szCs w:val="32"/>
        </w:rPr>
        <w:t>—终末鱼体重和初始鱼体重（g）；t—试验时间（d）；W</w:t>
      </w:r>
      <w:r>
        <w:rPr>
          <w:sz w:val="24"/>
          <w:szCs w:val="32"/>
          <w:vertAlign w:val="subscript"/>
        </w:rPr>
        <w:t>f</w:t>
      </w:r>
      <w:r>
        <w:rPr>
          <w:sz w:val="24"/>
          <w:szCs w:val="32"/>
        </w:rPr>
        <w:t>—末均重（g）；W</w:t>
      </w:r>
      <w:r>
        <w:rPr>
          <w:sz w:val="24"/>
          <w:szCs w:val="32"/>
          <w:vertAlign w:val="subscript"/>
        </w:rPr>
        <w:t>i</w:t>
      </w:r>
      <w:r>
        <w:rPr>
          <w:sz w:val="24"/>
          <w:szCs w:val="32"/>
        </w:rPr>
        <w:t>—初均重（g）；W—个体重（g）；L—体长（cm）；W</w:t>
      </w:r>
      <w:r>
        <w:rPr>
          <w:sz w:val="24"/>
          <w:szCs w:val="32"/>
          <w:vertAlign w:val="subscript"/>
        </w:rPr>
        <w:t>d</w:t>
      </w:r>
      <w:r>
        <w:rPr>
          <w:sz w:val="24"/>
          <w:szCs w:val="32"/>
        </w:rPr>
        <w:t>—试验中死亡鱼体重（g）；F—摄食饲料干重量（g）；W</w:t>
      </w:r>
      <w:r>
        <w:rPr>
          <w:sz w:val="24"/>
          <w:szCs w:val="32"/>
          <w:vertAlign w:val="subscript"/>
        </w:rPr>
        <w:t>L</w:t>
      </w:r>
      <w:r>
        <w:rPr>
          <w:sz w:val="24"/>
          <w:szCs w:val="32"/>
        </w:rPr>
        <w:t>—肝脏重量（g）；W</w:t>
      </w:r>
      <w:r>
        <w:rPr>
          <w:sz w:val="24"/>
          <w:szCs w:val="32"/>
          <w:vertAlign w:val="subscript"/>
        </w:rPr>
        <w:t>V</w:t>
      </w:r>
      <w:r>
        <w:rPr>
          <w:sz w:val="24"/>
          <w:szCs w:val="32"/>
        </w:rPr>
        <w:t>—内脏团重量（g）；W</w:t>
      </w:r>
      <w:r>
        <w:rPr>
          <w:sz w:val="24"/>
          <w:szCs w:val="32"/>
          <w:vertAlign w:val="subscript"/>
        </w:rPr>
        <w:t>I</w:t>
      </w:r>
      <w:r>
        <w:rPr>
          <w:sz w:val="24"/>
          <w:szCs w:val="32"/>
        </w:rPr>
        <w:t>—W</w:t>
      </w:r>
      <w:r>
        <w:rPr>
          <w:sz w:val="24"/>
          <w:szCs w:val="32"/>
          <w:vertAlign w:val="subscript"/>
        </w:rPr>
        <w:t>I</w:t>
      </w:r>
      <w:r>
        <w:rPr>
          <w:sz w:val="24"/>
          <w:szCs w:val="32"/>
        </w:rPr>
        <w:t>肠重（g）；L</w:t>
      </w:r>
      <w:r>
        <w:rPr>
          <w:sz w:val="24"/>
          <w:szCs w:val="32"/>
          <w:vertAlign w:val="subscript"/>
        </w:rPr>
        <w:t>I</w:t>
      </w:r>
      <w:r>
        <w:rPr>
          <w:sz w:val="24"/>
          <w:szCs w:val="32"/>
        </w:rPr>
        <w:t>—L</w:t>
      </w:r>
      <w:r>
        <w:rPr>
          <w:sz w:val="24"/>
          <w:szCs w:val="32"/>
          <w:vertAlign w:val="subscript"/>
        </w:rPr>
        <w:t>I</w:t>
      </w:r>
      <w:r>
        <w:rPr>
          <w:sz w:val="24"/>
          <w:szCs w:val="32"/>
        </w:rPr>
        <w:t>肠长（cm）。</w:t>
      </w:r>
    </w:p>
    <w:p w14:paraId="3AD3ED20">
      <w:pPr>
        <w:spacing w:before="120" w:after="60" w:line="360" w:lineRule="auto"/>
        <w:rPr>
          <w:sz w:val="24"/>
          <w:szCs w:val="32"/>
        </w:rPr>
      </w:pPr>
      <w:r>
        <w:rPr>
          <w:sz w:val="24"/>
          <w:szCs w:val="32"/>
        </w:rPr>
        <w:t>1.4 样本采集</w:t>
      </w:r>
    </w:p>
    <w:p w14:paraId="6F3CA8E2">
      <w:pPr>
        <w:spacing w:line="360" w:lineRule="auto"/>
        <w:ind w:firstLine="420"/>
        <w:rPr>
          <w:sz w:val="24"/>
          <w:szCs w:val="32"/>
        </w:rPr>
      </w:pPr>
      <w:r>
        <w:rPr>
          <w:sz w:val="24"/>
          <w:szCs w:val="32"/>
        </w:rPr>
        <w:t>养殖试验结束后停食24 h，进行样品采集。用0.01%MS‑222麻醉后称重，称取每桶试验鱼重量和记录尾数，用于生长指标的测定；每个重复随机取3尾鱼，测量每尾鱼的体长和体重后于‑20 ℃保存，用于分析全鱼常规成分的测定；每个重复再随机取3尾鱼，测量体重、体长后分离出肠道、内脏团和肝脏后称重，用于形体指标的测定；另取5尾鱼，用1 mL无菌注射器从尾静脉取血，装于1.5 mL无菌离心管中，4℃静置过夜后3500 r/min离心10 min，吸取上清液，分装于1.5 mL无菌离心管中，保存在‑80 ℃冰箱，用于血清指标测定。将取完血的试验鱼迅速解剖，取出肠道组织，装于1.5 mL的无菌离心管中，于‑80℃保存，用于肠道指标的测定；每个重复再单独随机取2尾，取0.5 cm的肠道组织（中肠中段），分别放入1.5 mL无RNA酶离心管装的RNA/DNA样品保护液中，液氮速冻后保存于超低温冰箱，用于基因相对表达量的测定。</w:t>
      </w:r>
    </w:p>
    <w:p w14:paraId="0527D227">
      <w:pPr>
        <w:spacing w:before="120" w:after="60" w:line="360" w:lineRule="auto"/>
        <w:rPr>
          <w:sz w:val="24"/>
          <w:szCs w:val="32"/>
        </w:rPr>
      </w:pPr>
      <w:r>
        <w:rPr>
          <w:sz w:val="24"/>
          <w:szCs w:val="32"/>
        </w:rPr>
        <w:t>1.5 饲料和全鱼常规营养成分测定</w:t>
      </w:r>
    </w:p>
    <w:p w14:paraId="63B5D2F2">
      <w:pPr>
        <w:spacing w:line="360" w:lineRule="auto"/>
        <w:ind w:firstLine="420"/>
        <w:rPr>
          <w:sz w:val="24"/>
          <w:szCs w:val="32"/>
        </w:rPr>
      </w:pPr>
      <w:r>
        <w:rPr>
          <w:sz w:val="24"/>
          <w:szCs w:val="32"/>
        </w:rPr>
        <w:t>试验饲料、全鱼样本的水分、粗蛋白、粗脂肪和粗灰分含量测定分别采用《饲料中水分的测定》（GB/T64352014）、《饲料中粗蛋白测定 凯氏定氮法》（GB/T6432—2018）、《饲料中粗脂肪的测定》（GB/T 6433—2025）和《饲料中粗灰分的测定》（GB/T 6438—2025）的方法。</w:t>
      </w:r>
    </w:p>
    <w:p w14:paraId="516A7145">
      <w:pPr>
        <w:spacing w:before="120" w:after="60" w:line="360" w:lineRule="auto"/>
        <w:rPr>
          <w:sz w:val="24"/>
          <w:szCs w:val="32"/>
        </w:rPr>
      </w:pPr>
      <w:r>
        <w:rPr>
          <w:sz w:val="24"/>
          <w:szCs w:val="32"/>
        </w:rPr>
        <w:t>1.6 血清、肠道抗氧化能力指标测定</w:t>
      </w:r>
    </w:p>
    <w:p w14:paraId="7B88385C">
      <w:pPr>
        <w:spacing w:line="360" w:lineRule="auto"/>
        <w:ind w:firstLine="420"/>
        <w:rPr>
          <w:sz w:val="24"/>
          <w:szCs w:val="32"/>
        </w:rPr>
      </w:pPr>
      <w:r>
        <w:rPr>
          <w:sz w:val="24"/>
          <w:szCs w:val="32"/>
        </w:rPr>
        <w:t>采用试剂盒（南京建成生物工程研究所有限公司）测定丙二醛（MDA）、蛋白质羰基（PC）、溶菌酶（LZM）含量，总抗氧化能力（T‑AOC）及碱性磷酸酶（ALP）、酸性磷酸酶（ACP）、多酚氧化酶（PPO）、超氧化物歧化酶（SOD）活性。</w:t>
      </w:r>
    </w:p>
    <w:p w14:paraId="33E70886">
      <w:pPr>
        <w:spacing w:before="120" w:after="60" w:line="360" w:lineRule="auto"/>
        <w:rPr>
          <w:sz w:val="24"/>
          <w:szCs w:val="32"/>
        </w:rPr>
      </w:pPr>
      <w:r>
        <w:rPr>
          <w:sz w:val="24"/>
          <w:szCs w:val="32"/>
        </w:rPr>
        <w:t>1.7 肠道基因相对表达量测定</w:t>
      </w:r>
    </w:p>
    <w:p w14:paraId="413ED41F">
      <w:pPr>
        <w:spacing w:line="360" w:lineRule="auto"/>
        <w:ind w:firstLine="420"/>
        <w:rPr>
          <w:sz w:val="24"/>
          <w:szCs w:val="32"/>
        </w:rPr>
      </w:pPr>
      <w:r>
        <w:rPr>
          <w:sz w:val="24"/>
          <w:szCs w:val="32"/>
        </w:rPr>
        <w:t>采用Trizol试剂盒（TransGen，中国）提取肠道组织总RNA，使用1%琼脂糖凝胶检测RNA样品的完整性。取RNA样品在超微分光光度计（Nano Drop‑1000，USA）上测定核酸浓度，用反转录试剂盒EvoM‑MLV（Accurate Biology，中国）制备cDNA，将cDNA保存在‑20 ℃待用。使用实时荧光定量PCR仪（罗氏LightCycler 480，瑞士）采用两步法测定基因表达量。使用Primer Premier 5.0软件进行引物设计，交由生工生物工程股份有限公司合成。</w:t>
      </w:r>
    </w:p>
    <w:p w14:paraId="225C8221">
      <w:pPr>
        <w:spacing w:line="360" w:lineRule="auto"/>
        <w:ind w:firstLine="420"/>
        <w:jc w:val="center"/>
        <w:rPr>
          <w:sz w:val="24"/>
          <w:szCs w:val="32"/>
        </w:rPr>
      </w:pPr>
      <w:r>
        <w:rPr>
          <w:sz w:val="24"/>
          <w:szCs w:val="32"/>
        </w:rPr>
        <w:drawing>
          <wp:inline distT="0" distB="0" distL="114300" distR="114300">
            <wp:extent cx="2966720" cy="3657600"/>
            <wp:effectExtent l="0" t="0" r="5080" b="0"/>
            <wp:docPr id="188902124" name="图片 188902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2124" name="图片 188902124"/>
                    <pic:cNvPicPr>
                      <a:picLocks noChangeAspect="1"/>
                    </pic:cNvPicPr>
                  </pic:nvPicPr>
                  <pic:blipFill>
                    <a:blip r:embed="rId29"/>
                    <a:stretch>
                      <a:fillRect/>
                    </a:stretch>
                  </pic:blipFill>
                  <pic:spPr>
                    <a:xfrm>
                      <a:off x="0" y="0"/>
                      <a:ext cx="2975472" cy="3667914"/>
                    </a:xfrm>
                    <a:prstGeom prst="rect">
                      <a:avLst/>
                    </a:prstGeom>
                    <a:noFill/>
                    <a:ln>
                      <a:noFill/>
                    </a:ln>
                  </pic:spPr>
                </pic:pic>
              </a:graphicData>
            </a:graphic>
          </wp:inline>
        </w:drawing>
      </w:r>
    </w:p>
    <w:p w14:paraId="51F8EFCC">
      <w:pPr>
        <w:spacing w:before="120" w:after="60" w:line="360" w:lineRule="auto"/>
        <w:rPr>
          <w:sz w:val="24"/>
          <w:szCs w:val="32"/>
        </w:rPr>
      </w:pPr>
      <w:r>
        <w:rPr>
          <w:sz w:val="24"/>
          <w:szCs w:val="32"/>
        </w:rPr>
        <w:t>1.8 数据统计分析</w:t>
      </w:r>
    </w:p>
    <w:p w14:paraId="56144DB5">
      <w:pPr>
        <w:spacing w:line="360" w:lineRule="auto"/>
        <w:ind w:firstLine="420"/>
        <w:rPr>
          <w:sz w:val="24"/>
          <w:szCs w:val="32"/>
        </w:rPr>
      </w:pPr>
      <w:r>
        <w:rPr>
          <w:sz w:val="24"/>
          <w:szCs w:val="32"/>
        </w:rPr>
        <w:t>采用SPSS 21.0统计软件对数据进行单因素方差分析（one way ANOVA），若存在显著性差异，则采用Duncan’s法多重比较检验组间的差异显著性。试验数据用“平均值±标准误”表示。</w:t>
      </w:r>
      <w:r>
        <w:rPr>
          <w:i/>
          <w:iCs/>
          <w:sz w:val="24"/>
          <w:szCs w:val="32"/>
        </w:rPr>
        <w:t>P</w:t>
      </w:r>
      <w:r>
        <w:rPr>
          <w:sz w:val="24"/>
          <w:szCs w:val="32"/>
        </w:rPr>
        <w:t>&lt;0.05表示差异显著。</w:t>
      </w:r>
    </w:p>
    <w:p w14:paraId="63F60878">
      <w:pPr>
        <w:spacing w:before="160" w:after="80" w:line="360" w:lineRule="auto"/>
        <w:rPr>
          <w:sz w:val="24"/>
          <w:szCs w:val="32"/>
        </w:rPr>
      </w:pPr>
      <w:r>
        <w:rPr>
          <w:sz w:val="24"/>
          <w:szCs w:val="32"/>
        </w:rPr>
        <w:t>2 结果与分析</w:t>
      </w:r>
    </w:p>
    <w:p w14:paraId="70AFDD20">
      <w:pPr>
        <w:spacing w:before="120" w:after="60" w:line="360" w:lineRule="auto"/>
        <w:rPr>
          <w:sz w:val="24"/>
          <w:szCs w:val="32"/>
        </w:rPr>
      </w:pPr>
      <w:r>
        <w:rPr>
          <w:sz w:val="24"/>
          <w:szCs w:val="32"/>
        </w:rPr>
        <w:t>2.1 3种酶解鸡浆替代鱼粉对乌鳢生长性能、全鱼体成分及形态学指标的影响</w:t>
      </w:r>
    </w:p>
    <w:p w14:paraId="25C3064B">
      <w:pPr>
        <w:spacing w:line="360" w:lineRule="auto"/>
        <w:ind w:firstLine="420"/>
        <w:rPr>
          <w:sz w:val="24"/>
          <w:szCs w:val="32"/>
        </w:rPr>
      </w:pPr>
      <w:r>
        <w:rPr>
          <w:sz w:val="24"/>
          <w:szCs w:val="32"/>
        </w:rPr>
        <w:t>由表4可知，各处理组间FCR、FI无显著差异（</w:t>
      </w:r>
      <w:r>
        <w:rPr>
          <w:i/>
          <w:iCs/>
          <w:sz w:val="24"/>
          <w:szCs w:val="32"/>
        </w:rPr>
        <w:t>P</w:t>
      </w:r>
      <w:r>
        <w:rPr>
          <w:sz w:val="24"/>
          <w:szCs w:val="32"/>
        </w:rPr>
        <w:t>&gt;0.05）。FM组鱼体FBW、WGR和SGR均显著低于EC、ECN、ECP组（</w:t>
      </w:r>
      <w:r>
        <w:rPr>
          <w:i/>
          <w:iCs/>
          <w:sz w:val="24"/>
          <w:szCs w:val="32"/>
        </w:rPr>
        <w:t>P</w:t>
      </w:r>
      <w:r>
        <w:rPr>
          <w:sz w:val="24"/>
          <w:szCs w:val="32"/>
        </w:rPr>
        <w:t>&lt;0.05），EC、ECN、ECP组之间无显著差异（</w:t>
      </w:r>
      <w:r>
        <w:rPr>
          <w:i/>
          <w:iCs/>
          <w:sz w:val="24"/>
          <w:szCs w:val="32"/>
        </w:rPr>
        <w:t>P</w:t>
      </w:r>
      <w:r>
        <w:rPr>
          <w:sz w:val="24"/>
          <w:szCs w:val="32"/>
        </w:rPr>
        <w:t>&gt;0.05）。EC组和ECN组SR与ECP组相比差异不显著（</w:t>
      </w:r>
      <w:r>
        <w:rPr>
          <w:i/>
          <w:iCs/>
          <w:sz w:val="24"/>
          <w:szCs w:val="32"/>
        </w:rPr>
        <w:t>P</w:t>
      </w:r>
      <w:r>
        <w:rPr>
          <w:sz w:val="24"/>
          <w:szCs w:val="32"/>
        </w:rPr>
        <w:t>&gt;0.05），显著高于FM组（</w:t>
      </w:r>
      <w:r>
        <w:rPr>
          <w:i/>
          <w:iCs/>
          <w:sz w:val="24"/>
          <w:szCs w:val="32"/>
        </w:rPr>
        <w:t>P</w:t>
      </w:r>
      <w:r>
        <w:rPr>
          <w:sz w:val="24"/>
          <w:szCs w:val="32"/>
        </w:rPr>
        <w:t>&lt;0.05）。</w:t>
      </w:r>
    </w:p>
    <w:p w14:paraId="45D533DA">
      <w:pPr>
        <w:spacing w:line="360" w:lineRule="auto"/>
        <w:ind w:firstLine="420"/>
        <w:rPr>
          <w:sz w:val="24"/>
          <w:szCs w:val="32"/>
        </w:rPr>
      </w:pPr>
      <w:r>
        <w:rPr>
          <w:sz w:val="24"/>
          <w:szCs w:val="32"/>
        </w:rPr>
        <w:t>由表5可知，低鱼粉饲料中分别补充3种酶解鸡浆，各组乌鳢全鱼水分无显著差异（</w:t>
      </w:r>
      <w:r>
        <w:rPr>
          <w:i/>
          <w:iCs/>
          <w:sz w:val="24"/>
          <w:szCs w:val="32"/>
        </w:rPr>
        <w:t>P</w:t>
      </w:r>
      <w:r>
        <w:rPr>
          <w:sz w:val="24"/>
          <w:szCs w:val="32"/>
        </w:rPr>
        <w:t>&gt;0.05）。ECN组全鱼粗蛋白含量显著高于其他处理组（</w:t>
      </w:r>
      <w:r>
        <w:rPr>
          <w:i/>
          <w:iCs/>
          <w:sz w:val="24"/>
          <w:szCs w:val="32"/>
        </w:rPr>
        <w:t>P</w:t>
      </w:r>
      <w:r>
        <w:rPr>
          <w:sz w:val="24"/>
          <w:szCs w:val="32"/>
        </w:rPr>
        <w:t>&lt;0.05），粗脂肪含量与ECP组差异不显著，显著低于FM组和EC组（</w:t>
      </w:r>
      <w:r>
        <w:rPr>
          <w:i/>
          <w:iCs/>
          <w:sz w:val="24"/>
          <w:szCs w:val="32"/>
        </w:rPr>
        <w:t>P</w:t>
      </w:r>
      <w:r>
        <w:rPr>
          <w:sz w:val="24"/>
          <w:szCs w:val="32"/>
        </w:rPr>
        <w:t>&lt;0.05）。</w:t>
      </w:r>
    </w:p>
    <w:p w14:paraId="1F330C69">
      <w:pPr>
        <w:spacing w:line="360" w:lineRule="auto"/>
        <w:ind w:firstLine="420"/>
        <w:rPr>
          <w:sz w:val="24"/>
          <w:szCs w:val="32"/>
        </w:rPr>
      </w:pPr>
      <w:r>
        <w:rPr>
          <w:sz w:val="24"/>
          <w:szCs w:val="32"/>
        </w:rPr>
        <w:t>由表6可知，与FM组相比，EC、ECN组和ECP组CF和ILI无显著差异（</w:t>
      </w:r>
      <w:r>
        <w:rPr>
          <w:i/>
          <w:iCs/>
          <w:sz w:val="24"/>
          <w:szCs w:val="32"/>
        </w:rPr>
        <w:t>P</w:t>
      </w:r>
      <w:r>
        <w:rPr>
          <w:sz w:val="24"/>
          <w:szCs w:val="32"/>
        </w:rPr>
        <w:t>&gt;0.05）。ECN组HSI、VI、VSI与ECP组无显著差异（</w:t>
      </w:r>
      <w:r>
        <w:rPr>
          <w:i/>
          <w:iCs/>
          <w:sz w:val="24"/>
          <w:szCs w:val="32"/>
        </w:rPr>
        <w:t>P</w:t>
      </w:r>
      <w:r>
        <w:rPr>
          <w:sz w:val="24"/>
          <w:szCs w:val="32"/>
        </w:rPr>
        <w:t>&gt;0.05），但显著高于FM组（</w:t>
      </w:r>
      <w:r>
        <w:rPr>
          <w:i/>
          <w:iCs/>
          <w:sz w:val="24"/>
          <w:szCs w:val="32"/>
        </w:rPr>
        <w:t>P</w:t>
      </w:r>
      <w:r>
        <w:rPr>
          <w:sz w:val="24"/>
          <w:szCs w:val="32"/>
        </w:rPr>
        <w:t>&lt;0.05）。</w:t>
      </w:r>
    </w:p>
    <w:p w14:paraId="046FE64C">
      <w:pPr>
        <w:spacing w:line="360" w:lineRule="auto"/>
        <w:rPr>
          <w:sz w:val="24"/>
          <w:szCs w:val="32"/>
        </w:rPr>
      </w:pPr>
      <w:r>
        <w:rPr>
          <w:sz w:val="24"/>
          <w:szCs w:val="32"/>
        </w:rPr>
        <w:drawing>
          <wp:inline distT="0" distB="0" distL="114300" distR="114300">
            <wp:extent cx="6033135" cy="2190750"/>
            <wp:effectExtent l="0" t="0" r="5715" b="0"/>
            <wp:docPr id="2036615028" name="图片 203661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15028" name="图片 2036615028"/>
                    <pic:cNvPicPr>
                      <a:picLocks noChangeAspect="1"/>
                    </pic:cNvPicPr>
                  </pic:nvPicPr>
                  <pic:blipFill>
                    <a:blip r:embed="rId30"/>
                    <a:srcRect l="4211" r="7033"/>
                    <a:stretch>
                      <a:fillRect/>
                    </a:stretch>
                  </pic:blipFill>
                  <pic:spPr>
                    <a:xfrm>
                      <a:off x="0" y="0"/>
                      <a:ext cx="6044694" cy="2194947"/>
                    </a:xfrm>
                    <a:prstGeom prst="rect">
                      <a:avLst/>
                    </a:prstGeom>
                    <a:noFill/>
                    <a:ln>
                      <a:noFill/>
                    </a:ln>
                  </pic:spPr>
                </pic:pic>
              </a:graphicData>
            </a:graphic>
          </wp:inline>
        </w:drawing>
      </w:r>
    </w:p>
    <w:p w14:paraId="53E2B665">
      <w:pPr>
        <w:spacing w:line="360" w:lineRule="auto"/>
        <w:rPr>
          <w:sz w:val="24"/>
          <w:szCs w:val="32"/>
        </w:rPr>
      </w:pPr>
      <w:r>
        <w:rPr>
          <w:sz w:val="24"/>
          <w:szCs w:val="32"/>
        </w:rPr>
        <w:drawing>
          <wp:inline distT="0" distB="0" distL="114300" distR="114300">
            <wp:extent cx="5948045" cy="2590800"/>
            <wp:effectExtent l="0" t="0" r="0" b="0"/>
            <wp:docPr id="575227979" name="图片 575227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227979" name="图片 575227979"/>
                    <pic:cNvPicPr>
                      <a:picLocks noChangeAspect="1"/>
                    </pic:cNvPicPr>
                  </pic:nvPicPr>
                  <pic:blipFill>
                    <a:blip r:embed="rId31"/>
                    <a:stretch>
                      <a:fillRect/>
                    </a:stretch>
                  </pic:blipFill>
                  <pic:spPr>
                    <a:xfrm>
                      <a:off x="0" y="0"/>
                      <a:ext cx="5968563" cy="2599718"/>
                    </a:xfrm>
                    <a:prstGeom prst="rect">
                      <a:avLst/>
                    </a:prstGeom>
                    <a:noFill/>
                    <a:ln>
                      <a:noFill/>
                    </a:ln>
                  </pic:spPr>
                </pic:pic>
              </a:graphicData>
            </a:graphic>
          </wp:inline>
        </w:drawing>
      </w:r>
    </w:p>
    <w:p w14:paraId="3B7C10CA">
      <w:pPr>
        <w:spacing w:before="120" w:after="60" w:line="360" w:lineRule="auto"/>
        <w:rPr>
          <w:sz w:val="24"/>
          <w:szCs w:val="32"/>
        </w:rPr>
      </w:pPr>
      <w:r>
        <w:rPr>
          <w:sz w:val="24"/>
          <w:szCs w:val="32"/>
        </w:rPr>
        <w:t>2.2 3种酶解鸡浆替代鱼粉对乌鳢血清、肠道抗氧化能力的影响</w:t>
      </w:r>
    </w:p>
    <w:p w14:paraId="219CF5E5">
      <w:pPr>
        <w:spacing w:line="360" w:lineRule="auto"/>
        <w:ind w:firstLine="420"/>
        <w:rPr>
          <w:sz w:val="24"/>
          <w:szCs w:val="32"/>
        </w:rPr>
      </w:pPr>
      <w:r>
        <w:rPr>
          <w:sz w:val="24"/>
          <w:szCs w:val="32"/>
        </w:rPr>
        <w:t>由表7可知，各组ALP无显著差异（</w:t>
      </w:r>
      <w:r>
        <w:rPr>
          <w:i/>
          <w:iCs/>
          <w:sz w:val="24"/>
          <w:szCs w:val="32"/>
        </w:rPr>
        <w:t>P</w:t>
      </w:r>
      <w:r>
        <w:rPr>
          <w:sz w:val="24"/>
          <w:szCs w:val="32"/>
        </w:rPr>
        <w:t>&gt;0.05）。FM组ACP活性显著低于各试验组（</w:t>
      </w:r>
      <w:r>
        <w:rPr>
          <w:i/>
          <w:iCs/>
          <w:sz w:val="24"/>
          <w:szCs w:val="32"/>
        </w:rPr>
        <w:t>P</w:t>
      </w:r>
      <w:r>
        <w:rPr>
          <w:sz w:val="24"/>
          <w:szCs w:val="32"/>
        </w:rPr>
        <w:t>&lt;0.05），MDA含量显著高于ECN组和ECP组（</w:t>
      </w:r>
      <w:r>
        <w:rPr>
          <w:i/>
          <w:iCs/>
          <w:sz w:val="24"/>
          <w:szCs w:val="32"/>
        </w:rPr>
        <w:t>P</w:t>
      </w:r>
      <w:r>
        <w:rPr>
          <w:sz w:val="24"/>
          <w:szCs w:val="32"/>
        </w:rPr>
        <w:t>&lt;0.05）。EC组LZM含量和PPO活性显著高于FM组和ECP组（</w:t>
      </w:r>
      <w:r>
        <w:rPr>
          <w:i/>
          <w:iCs/>
          <w:sz w:val="24"/>
          <w:szCs w:val="32"/>
        </w:rPr>
        <w:t>P</w:t>
      </w:r>
      <w:r>
        <w:rPr>
          <w:sz w:val="24"/>
          <w:szCs w:val="32"/>
        </w:rPr>
        <w:t>&lt;0.05），PC与ECN组差异不显著（</w:t>
      </w:r>
      <w:r>
        <w:rPr>
          <w:i/>
          <w:iCs/>
          <w:sz w:val="24"/>
          <w:szCs w:val="32"/>
        </w:rPr>
        <w:t>P</w:t>
      </w:r>
      <w:r>
        <w:rPr>
          <w:sz w:val="24"/>
          <w:szCs w:val="32"/>
        </w:rPr>
        <w:t>&gt;0.05），显著低于FM组和ECP组（</w:t>
      </w:r>
      <w:r>
        <w:rPr>
          <w:i/>
          <w:iCs/>
          <w:sz w:val="24"/>
          <w:szCs w:val="32"/>
        </w:rPr>
        <w:t>P</w:t>
      </w:r>
      <w:r>
        <w:rPr>
          <w:sz w:val="24"/>
          <w:szCs w:val="32"/>
        </w:rPr>
        <w:t>&lt;0.05）。</w:t>
      </w:r>
    </w:p>
    <w:p w14:paraId="1D9203DF">
      <w:pPr>
        <w:spacing w:line="360" w:lineRule="auto"/>
        <w:ind w:firstLine="420"/>
        <w:rPr>
          <w:sz w:val="24"/>
          <w:szCs w:val="32"/>
        </w:rPr>
      </w:pPr>
      <w:r>
        <w:rPr>
          <w:sz w:val="24"/>
          <w:szCs w:val="32"/>
        </w:rPr>
        <w:t>由表8可知，肠道中SOD、CAT活性各组间无显著差异（</w:t>
      </w:r>
      <w:r>
        <w:rPr>
          <w:i/>
          <w:iCs/>
          <w:sz w:val="24"/>
          <w:szCs w:val="32"/>
        </w:rPr>
        <w:t>P</w:t>
      </w:r>
      <w:r>
        <w:rPr>
          <w:sz w:val="24"/>
          <w:szCs w:val="32"/>
        </w:rPr>
        <w:t>&gt;0.05）。EC、ECN组和ECP组之间肠道TAOC无显著差异（</w:t>
      </w:r>
      <w:r>
        <w:rPr>
          <w:i/>
          <w:iCs/>
          <w:sz w:val="24"/>
          <w:szCs w:val="32"/>
        </w:rPr>
        <w:t>P</w:t>
      </w:r>
      <w:r>
        <w:rPr>
          <w:sz w:val="24"/>
          <w:szCs w:val="32"/>
        </w:rPr>
        <w:t>&gt;0.05），但均显著高于FM组（</w:t>
      </w:r>
      <w:r>
        <w:rPr>
          <w:i/>
          <w:iCs/>
          <w:sz w:val="24"/>
          <w:szCs w:val="32"/>
        </w:rPr>
        <w:t>P</w:t>
      </w:r>
      <w:r>
        <w:rPr>
          <w:sz w:val="24"/>
          <w:szCs w:val="32"/>
        </w:rPr>
        <w:t>&lt;0.05）。</w:t>
      </w:r>
    </w:p>
    <w:p w14:paraId="05AB45E7">
      <w:pPr>
        <w:spacing w:line="360" w:lineRule="auto"/>
        <w:jc w:val="center"/>
        <w:rPr>
          <w:sz w:val="24"/>
          <w:szCs w:val="32"/>
        </w:rPr>
      </w:pPr>
      <w:r>
        <w:rPr>
          <w:sz w:val="24"/>
          <w:szCs w:val="32"/>
        </w:rPr>
        <w:drawing>
          <wp:inline distT="0" distB="0" distL="114300" distR="114300">
            <wp:extent cx="5615940" cy="1583055"/>
            <wp:effectExtent l="0" t="0" r="3810" b="0"/>
            <wp:docPr id="1513220494" name="图片 151322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20494" name="图片 1513220494"/>
                    <pic:cNvPicPr>
                      <a:picLocks noChangeAspect="1"/>
                    </pic:cNvPicPr>
                  </pic:nvPicPr>
                  <pic:blipFill>
                    <a:blip r:embed="rId32"/>
                    <a:srcRect l="2321" r="3482"/>
                    <a:stretch>
                      <a:fillRect/>
                    </a:stretch>
                  </pic:blipFill>
                  <pic:spPr>
                    <a:xfrm>
                      <a:off x="0" y="0"/>
                      <a:ext cx="5627508" cy="1586464"/>
                    </a:xfrm>
                    <a:prstGeom prst="rect">
                      <a:avLst/>
                    </a:prstGeom>
                    <a:noFill/>
                    <a:ln>
                      <a:noFill/>
                    </a:ln>
                  </pic:spPr>
                </pic:pic>
              </a:graphicData>
            </a:graphic>
          </wp:inline>
        </w:drawing>
      </w:r>
      <w:r>
        <w:rPr>
          <w:sz w:val="24"/>
          <w:szCs w:val="32"/>
        </w:rPr>
        <w:drawing>
          <wp:inline distT="0" distB="0" distL="114300" distR="114300">
            <wp:extent cx="5718810" cy="1193800"/>
            <wp:effectExtent l="0" t="0" r="0" b="6350"/>
            <wp:docPr id="1793162313" name="图片 179316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162313" name="图片 1793162313"/>
                    <pic:cNvPicPr>
                      <a:picLocks noChangeAspect="1"/>
                    </pic:cNvPicPr>
                  </pic:nvPicPr>
                  <pic:blipFill>
                    <a:blip r:embed="rId33"/>
                    <a:stretch>
                      <a:fillRect/>
                    </a:stretch>
                  </pic:blipFill>
                  <pic:spPr>
                    <a:xfrm>
                      <a:off x="0" y="0"/>
                      <a:ext cx="5744126" cy="1198953"/>
                    </a:xfrm>
                    <a:prstGeom prst="rect">
                      <a:avLst/>
                    </a:prstGeom>
                    <a:noFill/>
                    <a:ln>
                      <a:noFill/>
                    </a:ln>
                  </pic:spPr>
                </pic:pic>
              </a:graphicData>
            </a:graphic>
          </wp:inline>
        </w:drawing>
      </w:r>
    </w:p>
    <w:p w14:paraId="16A551C3">
      <w:pPr>
        <w:spacing w:before="120" w:after="60" w:line="360" w:lineRule="auto"/>
        <w:rPr>
          <w:sz w:val="24"/>
          <w:szCs w:val="32"/>
        </w:rPr>
      </w:pPr>
      <w:r>
        <w:rPr>
          <w:sz w:val="24"/>
          <w:szCs w:val="32"/>
        </w:rPr>
        <w:t>2.3 3种酶解鸡浆替代鱼粉对乌鳢肠道物理屏障相关基因相对表达量的影响</w:t>
      </w:r>
    </w:p>
    <w:p w14:paraId="5F3E6B12">
      <w:pPr>
        <w:spacing w:line="360" w:lineRule="auto"/>
        <w:ind w:firstLine="420"/>
        <w:rPr>
          <w:sz w:val="24"/>
          <w:szCs w:val="32"/>
        </w:rPr>
      </w:pPr>
      <w:r>
        <w:rPr>
          <w:sz w:val="24"/>
          <w:szCs w:val="32"/>
        </w:rPr>
        <w:t>由图1可知，ECN组肠道紧密连接蛋白</w:t>
      </w:r>
      <w:r>
        <w:rPr>
          <w:i/>
          <w:iCs/>
          <w:sz w:val="24"/>
          <w:szCs w:val="32"/>
        </w:rPr>
        <w:t>Claudin4</w:t>
      </w:r>
      <w:r>
        <w:rPr>
          <w:sz w:val="24"/>
          <w:szCs w:val="32"/>
        </w:rPr>
        <w:t>和</w:t>
      </w:r>
      <w:r>
        <w:rPr>
          <w:i/>
          <w:iCs/>
          <w:sz w:val="24"/>
          <w:szCs w:val="32"/>
        </w:rPr>
        <w:t xml:space="preserve">Claudin7 </w:t>
      </w:r>
      <w:r>
        <w:rPr>
          <w:sz w:val="24"/>
          <w:szCs w:val="32"/>
        </w:rPr>
        <w:t>mRNA相对表达量显著高于其他各组（</w:t>
      </w:r>
      <w:r>
        <w:rPr>
          <w:i/>
          <w:iCs/>
          <w:sz w:val="24"/>
          <w:szCs w:val="32"/>
        </w:rPr>
        <w:t>P</w:t>
      </w:r>
      <w:r>
        <w:rPr>
          <w:sz w:val="24"/>
          <w:szCs w:val="32"/>
        </w:rPr>
        <w:t>&lt;0.05），其他各组间差异不显著（</w:t>
      </w:r>
      <w:r>
        <w:rPr>
          <w:i/>
          <w:iCs/>
          <w:sz w:val="24"/>
          <w:szCs w:val="32"/>
        </w:rPr>
        <w:t>P</w:t>
      </w:r>
      <w:r>
        <w:rPr>
          <w:sz w:val="24"/>
          <w:szCs w:val="32"/>
        </w:rPr>
        <w:t>&gt;0.05）。EC组和EC</w:t>
      </w:r>
      <w:r>
        <w:rPr>
          <w:i/>
          <w:iCs/>
          <w:sz w:val="24"/>
          <w:szCs w:val="32"/>
        </w:rPr>
        <w:t>P</w:t>
      </w:r>
      <w:r>
        <w:rPr>
          <w:sz w:val="24"/>
          <w:szCs w:val="32"/>
        </w:rPr>
        <w:t>组肠道</w:t>
      </w:r>
      <w:r>
        <w:rPr>
          <w:i/>
          <w:iCs/>
          <w:sz w:val="24"/>
          <w:szCs w:val="32"/>
        </w:rPr>
        <w:t xml:space="preserve">ZO-1 </w:t>
      </w:r>
      <w:r>
        <w:rPr>
          <w:sz w:val="24"/>
          <w:szCs w:val="32"/>
        </w:rPr>
        <w:t>mRNA相对表达量与ECN组相比差异不显著（</w:t>
      </w:r>
      <w:r>
        <w:rPr>
          <w:i/>
          <w:iCs/>
          <w:sz w:val="24"/>
          <w:szCs w:val="32"/>
        </w:rPr>
        <w:t>P</w:t>
      </w:r>
      <w:r>
        <w:rPr>
          <w:sz w:val="24"/>
          <w:szCs w:val="32"/>
        </w:rPr>
        <w:t>&gt;0.05），但显著高于FM组（</w:t>
      </w:r>
      <w:r>
        <w:rPr>
          <w:i/>
          <w:iCs/>
          <w:sz w:val="24"/>
          <w:szCs w:val="32"/>
        </w:rPr>
        <w:t>P</w:t>
      </w:r>
      <w:r>
        <w:rPr>
          <w:sz w:val="24"/>
          <w:szCs w:val="32"/>
        </w:rPr>
        <w:t>&lt;0.05）。</w:t>
      </w:r>
    </w:p>
    <w:p w14:paraId="789E8B72">
      <w:pPr>
        <w:spacing w:before="120" w:after="60" w:line="360" w:lineRule="auto"/>
        <w:rPr>
          <w:sz w:val="24"/>
          <w:szCs w:val="32"/>
        </w:rPr>
      </w:pPr>
      <w:r>
        <w:rPr>
          <w:sz w:val="24"/>
          <w:szCs w:val="32"/>
        </w:rPr>
        <w:t>2.4 3种酶解鸡浆替代鱼粉对乌鳢肠道免疫相关基因相对表达量的影响</w:t>
      </w:r>
    </w:p>
    <w:p w14:paraId="7558828E">
      <w:pPr>
        <w:spacing w:line="360" w:lineRule="auto"/>
        <w:ind w:firstLine="420"/>
        <w:rPr>
          <w:sz w:val="24"/>
          <w:szCs w:val="32"/>
        </w:rPr>
      </w:pPr>
      <w:r>
        <w:rPr>
          <w:sz w:val="24"/>
          <w:szCs w:val="32"/>
        </w:rPr>
        <w:t>由图2可知，在肠道促炎因子相关基因方面，EC</w:t>
      </w:r>
      <w:r>
        <w:rPr>
          <w:i/>
          <w:iCs/>
          <w:sz w:val="24"/>
          <w:szCs w:val="32"/>
        </w:rPr>
        <w:t>P</w:t>
      </w:r>
      <w:r>
        <w:rPr>
          <w:sz w:val="24"/>
          <w:szCs w:val="32"/>
        </w:rPr>
        <w:t>组肠道促炎因子</w:t>
      </w:r>
      <w:r>
        <w:rPr>
          <w:i/>
          <w:iCs/>
          <w:sz w:val="24"/>
          <w:szCs w:val="32"/>
        </w:rPr>
        <w:t xml:space="preserve">IL-8、IL-1β、TNF-α、MyD88 </w:t>
      </w:r>
      <w:r>
        <w:rPr>
          <w:sz w:val="24"/>
          <w:szCs w:val="32"/>
        </w:rPr>
        <w:t>mRNA相对表达量显著低于FM组（</w:t>
      </w:r>
      <w:r>
        <w:rPr>
          <w:i/>
          <w:iCs/>
          <w:sz w:val="24"/>
          <w:szCs w:val="32"/>
        </w:rPr>
        <w:t>P</w:t>
      </w:r>
      <w:r>
        <w:rPr>
          <w:sz w:val="24"/>
          <w:szCs w:val="32"/>
        </w:rPr>
        <w:t>&lt;0.05）。在肠道抑炎因子相关基因方面，EC组肠道抑炎因子</w:t>
      </w:r>
      <w:r>
        <w:rPr>
          <w:i/>
          <w:iCs/>
          <w:sz w:val="24"/>
          <w:szCs w:val="32"/>
        </w:rPr>
        <w:t>IL-10、TGF-β</w:t>
      </w:r>
      <w:r>
        <w:rPr>
          <w:sz w:val="24"/>
          <w:szCs w:val="32"/>
        </w:rPr>
        <w:t xml:space="preserve"> mRNA相对表达量显著高于FM组（</w:t>
      </w:r>
      <w:r>
        <w:rPr>
          <w:i/>
          <w:iCs/>
          <w:sz w:val="24"/>
          <w:szCs w:val="32"/>
        </w:rPr>
        <w:t>P</w:t>
      </w:r>
      <w:r>
        <w:rPr>
          <w:sz w:val="24"/>
          <w:szCs w:val="32"/>
        </w:rPr>
        <w:t>&lt;0.05），与EC</w:t>
      </w:r>
      <w:r>
        <w:rPr>
          <w:i/>
          <w:iCs/>
          <w:sz w:val="24"/>
          <w:szCs w:val="32"/>
        </w:rPr>
        <w:t>P</w:t>
      </w:r>
      <w:r>
        <w:rPr>
          <w:sz w:val="24"/>
          <w:szCs w:val="32"/>
        </w:rPr>
        <w:t>组无显著差异（</w:t>
      </w:r>
      <w:r>
        <w:rPr>
          <w:i/>
          <w:iCs/>
          <w:sz w:val="24"/>
          <w:szCs w:val="32"/>
        </w:rPr>
        <w:t>P</w:t>
      </w:r>
      <w:r>
        <w:rPr>
          <w:sz w:val="24"/>
          <w:szCs w:val="32"/>
        </w:rPr>
        <w:t>&gt;0.05）。</w:t>
      </w:r>
    </w:p>
    <w:p w14:paraId="5F958263">
      <w:pPr>
        <w:spacing w:line="360" w:lineRule="auto"/>
        <w:ind w:firstLine="420"/>
        <w:rPr>
          <w:sz w:val="24"/>
          <w:szCs w:val="32"/>
        </w:rPr>
      </w:pPr>
      <w:r>
        <w:rPr>
          <w:sz w:val="24"/>
          <w:szCs w:val="32"/>
        </w:rPr>
        <w:drawing>
          <wp:inline distT="0" distB="0" distL="114300" distR="114300">
            <wp:extent cx="2560320" cy="1976120"/>
            <wp:effectExtent l="0" t="0" r="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34"/>
                    <a:srcRect b="48101"/>
                    <a:stretch>
                      <a:fillRect/>
                    </a:stretch>
                  </pic:blipFill>
                  <pic:spPr>
                    <a:xfrm>
                      <a:off x="0" y="0"/>
                      <a:ext cx="2566711" cy="1981241"/>
                    </a:xfrm>
                    <a:prstGeom prst="rect">
                      <a:avLst/>
                    </a:prstGeom>
                    <a:noFill/>
                    <a:ln>
                      <a:noFill/>
                    </a:ln>
                  </pic:spPr>
                </pic:pic>
              </a:graphicData>
            </a:graphic>
          </wp:inline>
        </w:drawing>
      </w:r>
      <w:r>
        <w:rPr>
          <w:sz w:val="24"/>
          <w:szCs w:val="32"/>
        </w:rPr>
        <w:drawing>
          <wp:inline distT="0" distB="0" distL="114300" distR="114300">
            <wp:extent cx="2806700" cy="1997710"/>
            <wp:effectExtent l="0" t="0" r="0" b="2540"/>
            <wp:docPr id="1683257768" name="图片 1683257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257768" name="图片 1683257768"/>
                    <pic:cNvPicPr>
                      <a:picLocks noChangeAspect="1"/>
                    </pic:cNvPicPr>
                  </pic:nvPicPr>
                  <pic:blipFill>
                    <a:blip r:embed="rId34"/>
                    <a:srcRect t="52120"/>
                    <a:stretch>
                      <a:fillRect/>
                    </a:stretch>
                  </pic:blipFill>
                  <pic:spPr>
                    <a:xfrm>
                      <a:off x="0" y="0"/>
                      <a:ext cx="2816344" cy="2004686"/>
                    </a:xfrm>
                    <a:prstGeom prst="rect">
                      <a:avLst/>
                    </a:prstGeom>
                    <a:noFill/>
                    <a:ln>
                      <a:noFill/>
                    </a:ln>
                  </pic:spPr>
                </pic:pic>
              </a:graphicData>
            </a:graphic>
          </wp:inline>
        </w:drawing>
      </w:r>
    </w:p>
    <w:p w14:paraId="05B7F319">
      <w:pPr>
        <w:spacing w:before="160" w:after="80" w:line="360" w:lineRule="auto"/>
        <w:rPr>
          <w:sz w:val="24"/>
          <w:szCs w:val="32"/>
        </w:rPr>
      </w:pPr>
      <w:r>
        <w:rPr>
          <w:sz w:val="24"/>
          <w:szCs w:val="32"/>
        </w:rPr>
        <w:t>3 讨论</w:t>
      </w:r>
    </w:p>
    <w:p w14:paraId="7CF5C578">
      <w:pPr>
        <w:spacing w:before="120" w:after="60" w:line="360" w:lineRule="auto"/>
        <w:rPr>
          <w:sz w:val="24"/>
          <w:szCs w:val="32"/>
        </w:rPr>
      </w:pPr>
      <w:r>
        <w:rPr>
          <w:sz w:val="24"/>
          <w:szCs w:val="32"/>
        </w:rPr>
        <w:t>3.1 3种酶解鸡浆替代鱼粉对乌鳢生长性能及形态学指标的影响</w:t>
      </w:r>
    </w:p>
    <w:p w14:paraId="7BA5800E">
      <w:pPr>
        <w:spacing w:line="360" w:lineRule="auto"/>
        <w:ind w:firstLine="420"/>
        <w:rPr>
          <w:sz w:val="24"/>
          <w:szCs w:val="32"/>
        </w:rPr>
      </w:pPr>
      <w:r>
        <w:rPr>
          <w:sz w:val="24"/>
          <w:szCs w:val="32"/>
        </w:rPr>
        <w:t>酶解工艺参数不同，导致产品品质不同。已有研究表明，添加适宜的酶解鸡浆替代鱼粉对大口黑鲈</w:t>
      </w:r>
      <w:r>
        <w:rPr>
          <w:sz w:val="24"/>
          <w:szCs w:val="32"/>
          <w:vertAlign w:val="superscript"/>
        </w:rPr>
        <w:t>[12]</w:t>
      </w:r>
      <w:r>
        <w:rPr>
          <w:sz w:val="24"/>
          <w:szCs w:val="32"/>
        </w:rPr>
        <w:t>、珍珠龙胆石斑鱼</w:t>
      </w:r>
      <w:r>
        <w:rPr>
          <w:sz w:val="24"/>
          <w:szCs w:val="32"/>
          <w:vertAlign w:val="superscript"/>
        </w:rPr>
        <w:t>[17]</w:t>
      </w:r>
      <w:r>
        <w:rPr>
          <w:sz w:val="24"/>
          <w:szCs w:val="32"/>
        </w:rPr>
        <w:t>具有同样的生长效果。本试验在饲料中添加3种酶解鸡浆均可以提高乌鳢的生长性能，其中ECP组表现最佳。原因可能是：其一，酶解过程中产生丰富的小肽和游离的氨基酸，不依赖于肠道消化酶作用，可以直接通过转运载体被小肠吸收利用。同时，氨基酸浓度的增加，也提高了氨基酸与转运载体的结合，在体内的吸收利用率可能比完整蛋白质再分解的吸收快上3倍</w:t>
      </w:r>
      <w:r>
        <w:rPr>
          <w:sz w:val="24"/>
          <w:szCs w:val="32"/>
          <w:vertAlign w:val="superscript"/>
        </w:rPr>
        <w:t>[15]</w:t>
      </w:r>
      <w:r>
        <w:rPr>
          <w:sz w:val="24"/>
          <w:szCs w:val="32"/>
        </w:rPr>
        <w:t>，有效提高了蛋白质的利用效率。其二，养殖动物更容易消化吸收水溶性蛋白质，酶解鸡浆提高了大分子蛋白质和非水溶性蛋白质的溶解度，从而提高了养殖动物的蛋白利用率</w:t>
      </w:r>
      <w:r>
        <w:rPr>
          <w:sz w:val="24"/>
          <w:szCs w:val="32"/>
          <w:vertAlign w:val="superscript"/>
        </w:rPr>
        <w:t>[18-19]</w:t>
      </w:r>
      <w:r>
        <w:rPr>
          <w:sz w:val="24"/>
          <w:szCs w:val="32"/>
        </w:rPr>
        <w:t>。3种酶解鸡浆对生长性能造成差异的原因可能是酶解过程中不同工艺使酶解鸡浆中的小肽分子量和游离氨基酸含量有所差异。ECP组的生长效果表明乌鳢对该酶解鸡浆消化吸收最强。</w:t>
      </w:r>
    </w:p>
    <w:p w14:paraId="172E95D8">
      <w:pPr>
        <w:spacing w:line="360" w:lineRule="auto"/>
        <w:ind w:firstLine="420"/>
        <w:rPr>
          <w:sz w:val="24"/>
          <w:szCs w:val="32"/>
        </w:rPr>
      </w:pPr>
      <w:r>
        <w:rPr>
          <w:sz w:val="24"/>
          <w:szCs w:val="32"/>
        </w:rPr>
        <w:t>脏体比、肠体比、肝体比和肥满度可作为评价鱼类状况的重要指标</w:t>
      </w:r>
      <w:r>
        <w:rPr>
          <w:sz w:val="24"/>
          <w:szCs w:val="32"/>
          <w:vertAlign w:val="superscript"/>
        </w:rPr>
        <w:t>[20]</w:t>
      </w:r>
      <w:r>
        <w:rPr>
          <w:sz w:val="24"/>
          <w:szCs w:val="32"/>
        </w:rPr>
        <w:t>。养殖鱼体腹部膨大，可食用的部分减少，因此在养殖过程中，应提高鱼体肥满度，适当降低肝体比、脏体比等</w:t>
      </w:r>
      <w:r>
        <w:rPr>
          <w:sz w:val="24"/>
          <w:szCs w:val="32"/>
          <w:vertAlign w:val="superscript"/>
        </w:rPr>
        <w:t>[8]</w:t>
      </w:r>
      <w:r>
        <w:rPr>
          <w:sz w:val="24"/>
          <w:szCs w:val="32"/>
        </w:rPr>
        <w:t>。添加了酶解鸡浆的处理组均有脏器增大的表现，ECN组肥满度提高，而大口黑鲈</w:t>
      </w:r>
      <w:r>
        <w:rPr>
          <w:sz w:val="24"/>
          <w:szCs w:val="32"/>
          <w:vertAlign w:val="superscript"/>
        </w:rPr>
        <w:t>[21]</w:t>
      </w:r>
      <w:r>
        <w:rPr>
          <w:sz w:val="24"/>
          <w:szCs w:val="32"/>
        </w:rPr>
        <w:t>、珍珠龙胆石斑</w:t>
      </w:r>
      <w:r>
        <w:rPr>
          <w:sz w:val="24"/>
          <w:szCs w:val="32"/>
          <w:vertAlign w:val="superscript"/>
        </w:rPr>
        <w:t>[17]</w:t>
      </w:r>
      <w:r>
        <w:rPr>
          <w:sz w:val="24"/>
          <w:szCs w:val="32"/>
        </w:rPr>
        <w:t>在脏体比等方面没有显著差异，说明乌鳢饲料中添加酶解鸡浆可能会增大肝脏。贾高旺等</w:t>
      </w:r>
      <w:r>
        <w:rPr>
          <w:sz w:val="24"/>
          <w:szCs w:val="32"/>
          <w:vertAlign w:val="superscript"/>
        </w:rPr>
        <w:t>[22]</w:t>
      </w:r>
      <w:r>
        <w:rPr>
          <w:sz w:val="24"/>
          <w:szCs w:val="32"/>
        </w:rPr>
        <w:t>研究发现，在大菱鲆饲料中添加过量的家禽副产物酶解肽会增大肝体比和脏体比。本次试验中乌鳢的生长性能提高，酶解鸡浆释放的小肽或游离氨基酸加速了蛋白质合成与分解代谢。肝脏作为物质代谢的核心器官，需处理更多蛋白质和脂质代谢需求，负荷增加而代偿性肥大。</w:t>
      </w:r>
    </w:p>
    <w:p w14:paraId="71374393">
      <w:pPr>
        <w:spacing w:before="120" w:after="60" w:line="360" w:lineRule="auto"/>
        <w:rPr>
          <w:sz w:val="24"/>
          <w:szCs w:val="32"/>
        </w:rPr>
      </w:pPr>
      <w:r>
        <w:rPr>
          <w:sz w:val="24"/>
          <w:szCs w:val="32"/>
        </w:rPr>
        <w:t>3.2 3种酶解鸡浆替代鱼粉对乌鳢体成分的影响</w:t>
      </w:r>
    </w:p>
    <w:p w14:paraId="702862DF">
      <w:pPr>
        <w:spacing w:line="360" w:lineRule="auto"/>
        <w:ind w:firstLine="420"/>
        <w:rPr>
          <w:sz w:val="24"/>
          <w:szCs w:val="32"/>
        </w:rPr>
      </w:pPr>
      <w:r>
        <w:rPr>
          <w:sz w:val="24"/>
          <w:szCs w:val="32"/>
        </w:rPr>
        <w:t>摄食适当的酶解产物能降低血脂水平，阻碍鱼体脂肪积累的现象已在多种鱼类上发现。ECN和ECP组全鱼粗脂肪含量降低，EC组反而升高。牟玉超</w:t>
      </w:r>
      <w:r>
        <w:rPr>
          <w:sz w:val="24"/>
          <w:szCs w:val="32"/>
          <w:vertAlign w:val="superscript"/>
        </w:rPr>
        <w:t>[13]</w:t>
      </w:r>
      <w:r>
        <w:rPr>
          <w:sz w:val="24"/>
          <w:szCs w:val="32"/>
        </w:rPr>
        <w:t>研究发现，在大菱鲆饲料中适量添加鱼水解蛋白能够显著提高鱼体粗脂肪含量。鲍清华等</w:t>
      </w:r>
      <w:r>
        <w:rPr>
          <w:sz w:val="24"/>
          <w:szCs w:val="32"/>
          <w:vertAlign w:val="superscript"/>
        </w:rPr>
        <w:t>[18]</w:t>
      </w:r>
      <w:r>
        <w:rPr>
          <w:sz w:val="24"/>
          <w:szCs w:val="32"/>
        </w:rPr>
        <w:t>研究表明，添加5%酶解鸡肽显著提高凡纳滨对虾幼虾的粗脂肪含量。EC组饲料粗脂肪略高于FM组，生长发育中脂肪累积速率大于脂肪消耗速率，脂肪在体内堆积，从而导致全鱼粗脂肪含量升高。其具体效果和作用机制可待深入探讨。</w:t>
      </w:r>
    </w:p>
    <w:p w14:paraId="58660A9C">
      <w:pPr>
        <w:spacing w:line="360" w:lineRule="auto"/>
        <w:ind w:firstLine="420"/>
        <w:rPr>
          <w:sz w:val="24"/>
          <w:szCs w:val="32"/>
        </w:rPr>
      </w:pPr>
      <w:r>
        <w:rPr>
          <w:sz w:val="24"/>
          <w:szCs w:val="32"/>
        </w:rPr>
        <w:t>酶解鸡浆含有丰富的可溶蛋白、小肽和游离氨基酸</w:t>
      </w:r>
      <w:r>
        <w:rPr>
          <w:sz w:val="24"/>
          <w:szCs w:val="32"/>
          <w:vertAlign w:val="superscript"/>
        </w:rPr>
        <w:t>[10]</w:t>
      </w:r>
      <w:r>
        <w:rPr>
          <w:sz w:val="24"/>
          <w:szCs w:val="32"/>
        </w:rPr>
        <w:t>。动物对氨基酸的吸收，主要借助不同底物特异性的氨基酸转运蛋白及肠道小肽转运蛋白，以二肽与三肽的形式进入肠上皮细胞</w:t>
      </w:r>
      <w:r>
        <w:rPr>
          <w:sz w:val="24"/>
          <w:szCs w:val="32"/>
          <w:vertAlign w:val="superscript"/>
        </w:rPr>
        <w:t>[9]</w:t>
      </w:r>
      <w:r>
        <w:rPr>
          <w:sz w:val="24"/>
          <w:szCs w:val="32"/>
        </w:rPr>
        <w:t>。研究发现，小肽可以直接参与合成组织蛋白质，当饲料中含有大量小肽时，整体蛋白质沉积率高于相应氨基酸日粮或完整的氨基酸日粮</w:t>
      </w:r>
      <w:r>
        <w:rPr>
          <w:sz w:val="24"/>
          <w:szCs w:val="32"/>
          <w:vertAlign w:val="superscript"/>
        </w:rPr>
        <w:t>[23]</w:t>
      </w:r>
      <w:r>
        <w:rPr>
          <w:sz w:val="24"/>
          <w:szCs w:val="32"/>
        </w:rPr>
        <w:t>。Li等</w:t>
      </w:r>
      <w:r>
        <w:rPr>
          <w:sz w:val="24"/>
          <w:szCs w:val="32"/>
          <w:vertAlign w:val="superscript"/>
        </w:rPr>
        <w:t>[24]</w:t>
      </w:r>
      <w:r>
        <w:rPr>
          <w:sz w:val="24"/>
          <w:szCs w:val="32"/>
        </w:rPr>
        <w:t>研究表明，添加小肽会显著增加大口黑鲈肌肉粗蛋白与粗脂肪含量。本研究发现，添加酶解鸡浆使乌鳢全鱼粗蛋白含量升高，这是由小肽和氨基酸的高消化率和高利用率所导致，这与在大口黑鲈</w:t>
      </w:r>
      <w:r>
        <w:rPr>
          <w:sz w:val="24"/>
          <w:szCs w:val="32"/>
          <w:vertAlign w:val="superscript"/>
        </w:rPr>
        <w:t>[21]</w:t>
      </w:r>
      <w:r>
        <w:rPr>
          <w:sz w:val="24"/>
          <w:szCs w:val="32"/>
        </w:rPr>
        <w:t>生长上的发现一致。</w:t>
      </w:r>
    </w:p>
    <w:p w14:paraId="5DB1D76A">
      <w:pPr>
        <w:spacing w:before="120" w:after="60" w:line="360" w:lineRule="auto"/>
        <w:rPr>
          <w:sz w:val="24"/>
          <w:szCs w:val="32"/>
        </w:rPr>
      </w:pPr>
      <w:r>
        <w:rPr>
          <w:sz w:val="24"/>
          <w:szCs w:val="32"/>
        </w:rPr>
        <w:t>3.3 3种酶解鸡浆替代鱼粉对乌鳢血清和肠道抗氧化能力的影响</w:t>
      </w:r>
    </w:p>
    <w:p w14:paraId="0AA1E80F">
      <w:pPr>
        <w:spacing w:line="360" w:lineRule="auto"/>
        <w:ind w:firstLine="420"/>
        <w:rPr>
          <w:sz w:val="24"/>
          <w:szCs w:val="32"/>
        </w:rPr>
      </w:pPr>
      <w:r>
        <w:rPr>
          <w:sz w:val="24"/>
          <w:szCs w:val="32"/>
        </w:rPr>
        <w:t>血清抗氧化能力是指血液中抗氧化物质对抗自由基和氧化应激的能力，能够中和体内的自由基，减少它们对细胞和组织的损伤，从而保护身体免受氧化压力的影响。抗氧化系统在动物的固有免疫系统中起着至关重要的作用，脂质过氧化引发的细胞损伤可能削弱机体的免疫反应，增加对病原体的易感性，一定程度上，动物免疫功能也可以反映出抗氧化能力的水平</w:t>
      </w:r>
      <w:r>
        <w:rPr>
          <w:sz w:val="24"/>
          <w:szCs w:val="32"/>
          <w:vertAlign w:val="superscript"/>
        </w:rPr>
        <w:t>[25-26]</w:t>
      </w:r>
      <w:r>
        <w:rPr>
          <w:sz w:val="24"/>
          <w:szCs w:val="32"/>
        </w:rPr>
        <w:t>。王俊贤</w:t>
      </w:r>
      <w:r>
        <w:rPr>
          <w:sz w:val="24"/>
          <w:szCs w:val="32"/>
          <w:vertAlign w:val="superscript"/>
        </w:rPr>
        <w:t>[17]</w:t>
      </w:r>
      <w:r>
        <w:rPr>
          <w:sz w:val="24"/>
          <w:szCs w:val="32"/>
        </w:rPr>
        <w:t>在饲料中添加3.5％酶解鸡浆，能够显著提高免疫力和抗氧化力。本试验中，添加了酶解鸡浆的试验组血清酸性磷酸酶、碱性磷酸酶和溶菌酶活性均比FM组有提升，说明添加适当的酶解鸡浆还可以提高乌鳢的免疫能力。</w:t>
      </w:r>
    </w:p>
    <w:p w14:paraId="0050462B">
      <w:pPr>
        <w:spacing w:line="360" w:lineRule="auto"/>
        <w:ind w:firstLine="420"/>
        <w:rPr>
          <w:sz w:val="24"/>
          <w:szCs w:val="32"/>
        </w:rPr>
      </w:pPr>
      <w:r>
        <w:rPr>
          <w:sz w:val="24"/>
          <w:szCs w:val="32"/>
        </w:rPr>
        <w:t>丙二醛是一种脂质过氧化产物，常用于反映体内的过氧化程度</w:t>
      </w:r>
      <w:r>
        <w:rPr>
          <w:sz w:val="24"/>
          <w:szCs w:val="32"/>
          <w:vertAlign w:val="superscript"/>
        </w:rPr>
        <w:t>[27]</w:t>
      </w:r>
      <w:r>
        <w:rPr>
          <w:sz w:val="24"/>
          <w:szCs w:val="32"/>
        </w:rPr>
        <w:t>。本试验结果表明，相较于FM组，试验组鱼血清丙二醛含量均降低，说明酶解鸡浆可以提高机体的抗氧化能力，与贾高旺等</w:t>
      </w:r>
      <w:r>
        <w:rPr>
          <w:sz w:val="24"/>
          <w:szCs w:val="32"/>
          <w:vertAlign w:val="superscript"/>
        </w:rPr>
        <w:t>[22]</w:t>
      </w:r>
      <w:r>
        <w:rPr>
          <w:sz w:val="24"/>
          <w:szCs w:val="32"/>
        </w:rPr>
        <w:t>的研究相似，提示酶解鸡浆中的生物活性肽能够清除自由基、抑制氧化物质的生成来发挥抗氧化功能。蛋白质在氧化应激条件下形成蛋白质羰基，其含量可反映蛋白质的氧化状态，是衡量蛋白质功能受损程度的重要指标</w:t>
      </w:r>
      <w:r>
        <w:rPr>
          <w:sz w:val="24"/>
          <w:szCs w:val="32"/>
          <w:vertAlign w:val="superscript"/>
        </w:rPr>
        <w:t>[28]</w:t>
      </w:r>
      <w:r>
        <w:rPr>
          <w:sz w:val="24"/>
          <w:szCs w:val="32"/>
        </w:rPr>
        <w:t>。EC组和ECN组蛋白质羰基含量降低，ECP组升高。在ECP组中超氧化物歧化酶和过氧化氢酶的活性未显著变化，多酚氧化酶活性显著低于FM组，表明特异性抗氧化酶未能有效清除ROS，导致蛋白质氧化损伤累积。</w:t>
      </w:r>
    </w:p>
    <w:p w14:paraId="22A0945F">
      <w:pPr>
        <w:spacing w:line="360" w:lineRule="auto"/>
        <w:ind w:firstLine="420"/>
        <w:rPr>
          <w:sz w:val="24"/>
          <w:szCs w:val="32"/>
        </w:rPr>
      </w:pPr>
      <w:r>
        <w:rPr>
          <w:sz w:val="24"/>
          <w:szCs w:val="32"/>
        </w:rPr>
        <w:t>超氧化物歧化酶能够迅速消除超氧自由基，而过氧化氢酶则负责分解过氧化氢，这两者都具有清除自由基的能力，它们的活性水平可以间接地反映出细胞损伤的程度</w:t>
      </w:r>
      <w:r>
        <w:rPr>
          <w:sz w:val="24"/>
          <w:szCs w:val="32"/>
          <w:vertAlign w:val="superscript"/>
        </w:rPr>
        <w:t>[29]</w:t>
      </w:r>
      <w:r>
        <w:rPr>
          <w:sz w:val="24"/>
          <w:szCs w:val="32"/>
        </w:rPr>
        <w:t>。本次试验结果表明，各试验组总抗氧化能力显著高于FM组，这与大口黑鲈</w:t>
      </w:r>
      <w:r>
        <w:rPr>
          <w:sz w:val="24"/>
          <w:szCs w:val="32"/>
          <w:vertAlign w:val="superscript"/>
        </w:rPr>
        <w:t>[21]</w:t>
      </w:r>
      <w:r>
        <w:rPr>
          <w:sz w:val="24"/>
          <w:szCs w:val="32"/>
        </w:rPr>
        <w:t>结果相似。酶解家禽副产物中的生物活性肽能够清除自由基、抑制氧化物质的生成来发挥抗氧化功能</w:t>
      </w:r>
      <w:r>
        <w:rPr>
          <w:sz w:val="24"/>
          <w:szCs w:val="32"/>
          <w:vertAlign w:val="superscript"/>
        </w:rPr>
        <w:t>[30]</w:t>
      </w:r>
      <w:r>
        <w:rPr>
          <w:sz w:val="24"/>
          <w:szCs w:val="32"/>
        </w:rPr>
        <w:t>。</w:t>
      </w:r>
    </w:p>
    <w:p w14:paraId="0568D590">
      <w:pPr>
        <w:spacing w:before="120" w:after="60" w:line="360" w:lineRule="auto"/>
        <w:rPr>
          <w:sz w:val="24"/>
          <w:szCs w:val="32"/>
        </w:rPr>
      </w:pPr>
      <w:r>
        <w:rPr>
          <w:sz w:val="24"/>
          <w:szCs w:val="32"/>
        </w:rPr>
        <w:t>3.4 3种酶解鸡浆替代鱼粉对乌鳢肠道免疫的影响</w:t>
      </w:r>
    </w:p>
    <w:p w14:paraId="21D59708">
      <w:pPr>
        <w:spacing w:line="360" w:lineRule="auto"/>
        <w:ind w:firstLine="420"/>
        <w:rPr>
          <w:sz w:val="24"/>
          <w:szCs w:val="32"/>
        </w:rPr>
      </w:pPr>
      <w:r>
        <w:rPr>
          <w:sz w:val="24"/>
          <w:szCs w:val="32"/>
        </w:rPr>
        <w:t>肠道作为动物体内主要的分泌和免疫器官，其结构与功能的完整对于保障正常的生理活动至关重要</w:t>
      </w:r>
      <w:r>
        <w:rPr>
          <w:sz w:val="24"/>
          <w:szCs w:val="32"/>
          <w:vertAlign w:val="superscript"/>
        </w:rPr>
        <w:t>[31]</w:t>
      </w:r>
      <w:r>
        <w:rPr>
          <w:sz w:val="24"/>
          <w:szCs w:val="32"/>
        </w:rPr>
        <w:t>。肠道机械屏障由紧密连接、黏附连接等构成，维护着肠上皮细胞间的紧密性。在鱼类养殖中，肠黏膜的机械屏障若受损，通常首先表现为紧密连接的破坏，这不仅会破坏肠道组织结构，还可能削弱肠道的防御机制</w:t>
      </w:r>
      <w:r>
        <w:rPr>
          <w:sz w:val="24"/>
          <w:szCs w:val="32"/>
          <w:vertAlign w:val="superscript"/>
        </w:rPr>
        <w:t>[32]</w:t>
      </w:r>
      <w:r>
        <w:rPr>
          <w:sz w:val="24"/>
          <w:szCs w:val="32"/>
        </w:rPr>
        <w:t>。紧密连接蛋白</w:t>
      </w:r>
      <w:r>
        <w:rPr>
          <w:i/>
          <w:iCs/>
          <w:sz w:val="24"/>
          <w:szCs w:val="32"/>
        </w:rPr>
        <w:t>Claudin-4、Claudin-7</w:t>
      </w:r>
      <w:r>
        <w:rPr>
          <w:sz w:val="24"/>
          <w:szCs w:val="32"/>
        </w:rPr>
        <w:t>和</w:t>
      </w:r>
      <w:r>
        <w:rPr>
          <w:i/>
          <w:iCs/>
          <w:sz w:val="24"/>
          <w:szCs w:val="32"/>
        </w:rPr>
        <w:t>ZO-1</w:t>
      </w:r>
      <w:r>
        <w:rPr>
          <w:sz w:val="24"/>
          <w:szCs w:val="32"/>
        </w:rPr>
        <w:t>是构成肠黏膜屏障的主要成分</w:t>
      </w:r>
      <w:r>
        <w:rPr>
          <w:sz w:val="24"/>
          <w:szCs w:val="32"/>
          <w:vertAlign w:val="superscript"/>
        </w:rPr>
        <w:t>[33-34]</w:t>
      </w:r>
      <w:r>
        <w:rPr>
          <w:sz w:val="24"/>
          <w:szCs w:val="32"/>
        </w:rPr>
        <w:t>。本试验中，添加酶解鸡浆可以提高</w:t>
      </w:r>
      <w:r>
        <w:rPr>
          <w:i/>
          <w:iCs/>
          <w:sz w:val="24"/>
          <w:szCs w:val="32"/>
        </w:rPr>
        <w:t>ZO-1</w:t>
      </w:r>
      <w:r>
        <w:rPr>
          <w:sz w:val="24"/>
          <w:szCs w:val="32"/>
        </w:rPr>
        <w:t>相对表达量，而</w:t>
      </w:r>
      <w:r>
        <w:rPr>
          <w:i/>
          <w:iCs/>
          <w:sz w:val="24"/>
          <w:szCs w:val="32"/>
        </w:rPr>
        <w:t>Claudin-4、Claudin-7</w:t>
      </w:r>
      <w:r>
        <w:rPr>
          <w:sz w:val="24"/>
          <w:szCs w:val="32"/>
        </w:rPr>
        <w:t>除了ECN组显著提高，其他组之间并无显著提升。酶解鸡浆可以改善黄颡鱼幼鱼</w:t>
      </w:r>
      <w:r>
        <w:rPr>
          <w:sz w:val="24"/>
          <w:szCs w:val="32"/>
          <w:vertAlign w:val="superscript"/>
        </w:rPr>
        <w:t>[35]</w:t>
      </w:r>
      <w:r>
        <w:rPr>
          <w:sz w:val="24"/>
          <w:szCs w:val="32"/>
        </w:rPr>
        <w:t>和大口黑鲈</w:t>
      </w:r>
      <w:r>
        <w:rPr>
          <w:sz w:val="24"/>
          <w:szCs w:val="32"/>
          <w:vertAlign w:val="superscript"/>
        </w:rPr>
        <w:t>[12]</w:t>
      </w:r>
      <w:r>
        <w:rPr>
          <w:sz w:val="24"/>
          <w:szCs w:val="32"/>
        </w:rPr>
        <w:t>肠道细胞间的紧密连接和黏附连接，有助于提升肠黏膜的结构完整性，能够促进珍珠龙胆石斑鱼前肠的生长发育</w:t>
      </w:r>
      <w:r>
        <w:rPr>
          <w:sz w:val="24"/>
          <w:szCs w:val="32"/>
          <w:vertAlign w:val="superscript"/>
        </w:rPr>
        <w:t>[17]</w:t>
      </w:r>
      <w:r>
        <w:rPr>
          <w:sz w:val="24"/>
          <w:szCs w:val="32"/>
        </w:rPr>
        <w:t>。因此，适量添加酶解鸡浆有助于提升肠道紧密连接蛋白基因的表达，从而增强肠道的物理屏障功能。</w:t>
      </w:r>
    </w:p>
    <w:p w14:paraId="1A0FDDB5">
      <w:pPr>
        <w:spacing w:line="360" w:lineRule="auto"/>
        <w:ind w:firstLine="420"/>
        <w:rPr>
          <w:sz w:val="24"/>
          <w:szCs w:val="32"/>
        </w:rPr>
      </w:pPr>
      <w:r>
        <w:rPr>
          <w:sz w:val="24"/>
          <w:szCs w:val="32"/>
        </w:rPr>
        <w:t>肠道通过分泌与炎症有关的细胞因子，调节机体免疫应答，刺激细胞的活化</w:t>
      </w:r>
      <w:r>
        <w:rPr>
          <w:sz w:val="24"/>
          <w:szCs w:val="32"/>
          <w:vertAlign w:val="superscript"/>
        </w:rPr>
        <w:t>[36]</w:t>
      </w:r>
      <w:r>
        <w:rPr>
          <w:sz w:val="24"/>
          <w:szCs w:val="32"/>
        </w:rPr>
        <w:t>。这些细胞因子不仅促进了细胞的生长和分化，还对免疫系统的成熟和功能发挥着至关重要的调节作用，是炎症反应的重要组成部分。</w:t>
      </w:r>
      <w:r>
        <w:rPr>
          <w:i/>
          <w:iCs/>
          <w:sz w:val="24"/>
          <w:szCs w:val="32"/>
        </w:rPr>
        <w:t>IL-10、TGF-β</w:t>
      </w:r>
      <w:r>
        <w:rPr>
          <w:sz w:val="24"/>
          <w:szCs w:val="32"/>
        </w:rPr>
        <w:t>作为抗炎症因子，具有抑制炎症并参与自我调节的能力，是先天免疫应答后引起代谢级联改变的主要细胞信使</w:t>
      </w:r>
      <w:r>
        <w:rPr>
          <w:sz w:val="24"/>
          <w:szCs w:val="32"/>
          <w:vertAlign w:val="superscript"/>
        </w:rPr>
        <w:t>[37]</w:t>
      </w:r>
      <w:r>
        <w:rPr>
          <w:sz w:val="24"/>
          <w:szCs w:val="32"/>
        </w:rPr>
        <w:t>。这些因子一般保持动态平衡，但如果平衡失调，则可能引起肠黏膜的损伤，并激发炎症反应</w:t>
      </w:r>
      <w:r>
        <w:rPr>
          <w:sz w:val="24"/>
          <w:szCs w:val="32"/>
          <w:vertAlign w:val="superscript"/>
        </w:rPr>
        <w:t>[38]</w:t>
      </w:r>
      <w:r>
        <w:rPr>
          <w:sz w:val="24"/>
          <w:szCs w:val="32"/>
        </w:rPr>
        <w:t>。本试验通过添加酶解鸡浆可以有效降低促炎症因子基因</w:t>
      </w:r>
      <w:r>
        <w:rPr>
          <w:i/>
          <w:iCs/>
          <w:sz w:val="24"/>
          <w:szCs w:val="32"/>
        </w:rPr>
        <w:t>IL-8、IL-1β、TNF-α、MyD88</w:t>
      </w:r>
      <w:r>
        <w:rPr>
          <w:sz w:val="24"/>
          <w:szCs w:val="32"/>
        </w:rPr>
        <w:t>相对表达量，提高抗炎症因子基因</w:t>
      </w:r>
      <w:r>
        <w:rPr>
          <w:i/>
          <w:iCs/>
          <w:sz w:val="24"/>
          <w:szCs w:val="32"/>
        </w:rPr>
        <w:t>IL-10、TGF-β</w:t>
      </w:r>
      <w:r>
        <w:rPr>
          <w:sz w:val="24"/>
          <w:szCs w:val="32"/>
        </w:rPr>
        <w:t>相对表达量，说明酶解鸡浆可以调控肠道炎症的发生。这一点与冯转东等</w:t>
      </w:r>
      <w:r>
        <w:rPr>
          <w:sz w:val="24"/>
          <w:szCs w:val="32"/>
          <w:vertAlign w:val="superscript"/>
        </w:rPr>
        <w:t>[12]</w:t>
      </w:r>
      <w:r>
        <w:rPr>
          <w:sz w:val="24"/>
          <w:szCs w:val="32"/>
        </w:rPr>
        <w:t>相似，添加酶解鸡浆能够参与调节大口黑鲈的免疫反应，提高肝脏中抗炎细胞因子基因表达，同时降低促炎细胞因子基因表达。酶解鸡浆含有的小肽能够调节肠道炎症反应，提高靶向巨噬细胞的能力，从而减轻炎症并增强动物的免疫反应。小肽还能促使幼龄动物的小肠提前成熟，促进小肠绒毛的生长，进而提升动物的消化吸收效率和整体免疫机能</w:t>
      </w:r>
      <w:r>
        <w:rPr>
          <w:sz w:val="24"/>
          <w:szCs w:val="32"/>
          <w:vertAlign w:val="superscript"/>
        </w:rPr>
        <w:t>[23]</w:t>
      </w:r>
      <w:r>
        <w:rPr>
          <w:sz w:val="24"/>
          <w:szCs w:val="32"/>
        </w:rPr>
        <w:t>。</w:t>
      </w:r>
    </w:p>
    <w:p w14:paraId="6DB92D63">
      <w:pPr>
        <w:spacing w:before="160" w:after="80" w:line="360" w:lineRule="auto"/>
        <w:rPr>
          <w:sz w:val="24"/>
          <w:szCs w:val="32"/>
        </w:rPr>
      </w:pPr>
      <w:r>
        <w:rPr>
          <w:sz w:val="24"/>
          <w:szCs w:val="32"/>
        </w:rPr>
        <w:t>4 结论</w:t>
      </w:r>
    </w:p>
    <w:p w14:paraId="0603FD03">
      <w:pPr>
        <w:spacing w:line="360" w:lineRule="auto"/>
        <w:ind w:firstLine="480" w:firstLineChars="200"/>
        <w:rPr>
          <w:sz w:val="24"/>
        </w:rPr>
      </w:pPr>
      <w:r>
        <w:rPr>
          <w:sz w:val="24"/>
          <w:szCs w:val="32"/>
        </w:rPr>
        <w:t>综上所述，3种酶解鸡浆各有优势，相对于对照组均可提高乌鳢生长性能。在饲料中添加上述3种酶解鸡浆替代5%鱼粉均可以显著提高乌鳢的生长性能，ECP能够抑制肠道促炎因子表达，获得最优的生长性能。从肥满度、抗氧化能力和肠道物理屏障发育角度，优选ECN</w:t>
      </w:r>
      <w:r>
        <w:rPr>
          <w:sz w:val="24"/>
        </w:rPr>
        <w:t>。</w:t>
      </w:r>
    </w:p>
    <w:p w14:paraId="3C6B4214">
      <w:pPr>
        <w:spacing w:line="360" w:lineRule="auto"/>
        <w:rPr>
          <w:sz w:val="24"/>
          <w:szCs w:val="21"/>
        </w:rPr>
      </w:pPr>
      <w:r>
        <w:rPr>
          <w:sz w:val="24"/>
        </w:rPr>
        <w:t>参考文献：略</w:t>
      </w:r>
    </w:p>
    <w:p w14:paraId="79D2C983">
      <w:pPr>
        <w:spacing w:line="360" w:lineRule="auto"/>
        <w:ind w:firstLine="420" w:firstLineChars="200"/>
        <w:jc w:val="right"/>
        <w:rPr>
          <w:szCs w:val="21"/>
        </w:rPr>
      </w:pPr>
      <w:r>
        <w:rPr>
          <w:rFonts w:hint="eastAsia"/>
          <w:szCs w:val="21"/>
        </w:rPr>
        <w:t>原文刊登在《饲料工业》2026年第17</w:t>
      </w:r>
      <w:r>
        <w:rPr>
          <w:szCs w:val="21"/>
        </w:rPr>
        <w:t>期</w:t>
      </w:r>
    </w:p>
    <w:p w14:paraId="26899509">
      <w:pPr>
        <w:spacing w:line="360" w:lineRule="auto"/>
        <w:ind w:right="641"/>
        <w:outlineLvl w:val="0"/>
        <w:rPr>
          <w:rFonts w:eastAsia="黑体"/>
          <w:b/>
          <w:bCs/>
          <w:sz w:val="32"/>
          <w:szCs w:val="32"/>
          <w:bdr w:val="single" w:color="auto" w:sz="4" w:space="0"/>
        </w:rPr>
      </w:pPr>
      <w:bookmarkStart w:id="26" w:name="_Toc225807404"/>
      <w:bookmarkStart w:id="27" w:name="_Toc241496788"/>
      <w:bookmarkStart w:id="28" w:name="_Toc221758911"/>
      <w:r>
        <w:rPr>
          <w:rFonts w:eastAsia="黑体"/>
          <w:b/>
          <w:bCs/>
          <w:sz w:val="32"/>
          <w:szCs w:val="32"/>
          <w:bdr w:val="single" w:color="auto" w:sz="4" w:space="0"/>
        </w:rPr>
        <w:t>饲料研发</w:t>
      </w:r>
      <w:bookmarkEnd w:id="26"/>
      <w:bookmarkEnd w:id="27"/>
      <w:bookmarkEnd w:id="28"/>
    </w:p>
    <w:p w14:paraId="07274A39">
      <w:pPr>
        <w:jc w:val="center"/>
        <w:outlineLvl w:val="1"/>
        <w:rPr>
          <w:rFonts w:hint="eastAsia" w:eastAsia="黑体"/>
          <w:b/>
          <w:bCs/>
          <w:sz w:val="32"/>
          <w:szCs w:val="32"/>
        </w:rPr>
      </w:pPr>
      <w:bookmarkStart w:id="29" w:name="_Toc241496789"/>
      <w:r>
        <w:rPr>
          <w:rFonts w:eastAsia="黑体"/>
          <w:b/>
          <w:bCs/>
          <w:sz w:val="32"/>
          <w:szCs w:val="32"/>
        </w:rPr>
        <w:t>饲料添加不同形式裂殖壶菌对凡纳滨对虾肌肉品质的影响</w:t>
      </w:r>
      <w:bookmarkEnd w:id="29"/>
    </w:p>
    <w:p w14:paraId="6ACC3679">
      <w:pPr>
        <w:jc w:val="center"/>
        <w:rPr>
          <w:szCs w:val="21"/>
          <w:vertAlign w:val="superscript"/>
        </w:rPr>
      </w:pPr>
      <w:r>
        <w:rPr>
          <w:szCs w:val="21"/>
        </w:rPr>
        <w:t>李红叶</w:t>
      </w:r>
      <w:r>
        <w:rPr>
          <w:szCs w:val="21"/>
          <w:vertAlign w:val="superscript"/>
        </w:rPr>
        <w:t>1,2</w:t>
      </w:r>
      <w:r>
        <w:rPr>
          <w:szCs w:val="21"/>
        </w:rPr>
        <w:t>，窦世龙</w:t>
      </w:r>
      <w:r>
        <w:rPr>
          <w:szCs w:val="21"/>
          <w:vertAlign w:val="superscript"/>
        </w:rPr>
        <w:t>1,2</w:t>
      </w:r>
      <w:r>
        <w:rPr>
          <w:szCs w:val="21"/>
        </w:rPr>
        <w:t>，唐泽明</w:t>
      </w:r>
      <w:r>
        <w:rPr>
          <w:szCs w:val="21"/>
          <w:vertAlign w:val="superscript"/>
        </w:rPr>
        <w:t>1,2</w:t>
      </w:r>
      <w:r>
        <w:rPr>
          <w:szCs w:val="21"/>
        </w:rPr>
        <w:t>，王秋珍</w:t>
      </w:r>
      <w:r>
        <w:rPr>
          <w:szCs w:val="21"/>
          <w:vertAlign w:val="superscript"/>
        </w:rPr>
        <w:t>1,2</w:t>
      </w:r>
      <w:r>
        <w:rPr>
          <w:szCs w:val="21"/>
        </w:rPr>
        <w:t>，郭冉</w:t>
      </w:r>
      <w:r>
        <w:rPr>
          <w:szCs w:val="21"/>
          <w:vertAlign w:val="superscript"/>
        </w:rPr>
        <w:t>1,2*</w:t>
      </w:r>
    </w:p>
    <w:p w14:paraId="6F481BCF">
      <w:pPr>
        <w:jc w:val="center"/>
        <w:rPr>
          <w:szCs w:val="21"/>
        </w:rPr>
      </w:pPr>
      <w:r>
        <w:rPr>
          <w:szCs w:val="21"/>
        </w:rPr>
        <w:t>（1.河北农业大学海洋学院，秦皇岛 066000；2.河北省水产养殖营养调控与病害防治重点实验室，秦皇岛 066000）</w:t>
      </w:r>
    </w:p>
    <w:p w14:paraId="23626562">
      <w:pPr>
        <w:rPr>
          <w:szCs w:val="21"/>
        </w:rPr>
      </w:pPr>
      <w:r>
        <w:rPr>
          <w:b/>
          <w:bCs/>
          <w:szCs w:val="21"/>
        </w:rPr>
        <w:t>摘要</w:t>
      </w:r>
      <w:r>
        <w:rPr>
          <w:rFonts w:hint="eastAsia"/>
          <w:szCs w:val="21"/>
        </w:rPr>
        <w:t>：</w:t>
      </w:r>
      <w:r>
        <w:rPr>
          <w:bCs/>
          <w:szCs w:val="21"/>
        </w:rPr>
        <w:t xml:space="preserve">本试验旨在研究裂殖壶菌对凡纳滨对虾肌肉品质的影响。选取初始体重为（0.26±0.01） </w:t>
      </w:r>
      <w:r>
        <w:rPr>
          <w:szCs w:val="21"/>
        </w:rPr>
        <w:t>g的健康凡纳滨对虾幼虾360尾，随机分为3组，每组3个重复，每个重复40尾虾。3个组分别饲喂基础饲料（CON组）及在基础饲料中添加3%未破壁裂殖壶菌（SL1组）和添加3%破壁裂殖壶菌（SL2组）的等氮等能饲料。预试期7 d，正试期56 d。结果表明</w:t>
      </w:r>
      <w:r>
        <w:rPr>
          <w:bCs/>
          <w:szCs w:val="21"/>
        </w:rPr>
        <w:t>：</w:t>
      </w:r>
      <w:r>
        <w:rPr>
          <w:szCs w:val="21"/>
        </w:rPr>
        <w:t>1）SL1组、SL2组肌肉粗蛋白质和胶原蛋白含量显著高于CON组（</w:t>
      </w:r>
      <w:r>
        <w:rPr>
          <w:i/>
          <w:iCs/>
          <w:szCs w:val="21"/>
        </w:rPr>
        <w:t>P</w:t>
      </w:r>
      <w:r>
        <w:rPr>
          <w:szCs w:val="21"/>
        </w:rPr>
        <w:t>＜0.05），且SL2组肌肉胶原蛋白含量显著高于SL1组（</w:t>
      </w:r>
      <w:r>
        <w:rPr>
          <w:i/>
          <w:iCs/>
          <w:szCs w:val="21"/>
        </w:rPr>
        <w:t>P</w:t>
      </w:r>
      <w:r>
        <w:rPr>
          <w:szCs w:val="21"/>
        </w:rPr>
        <w:t>＜0.05）。2）SL1组、SL2组肌肉蒸煮损失率均显著低于CON组（</w:t>
      </w:r>
      <w:r>
        <w:rPr>
          <w:i/>
          <w:iCs/>
          <w:szCs w:val="21"/>
        </w:rPr>
        <w:t>P</w:t>
      </w:r>
      <w:r>
        <w:rPr>
          <w:szCs w:val="21"/>
        </w:rPr>
        <w:t>＜0.05）。3）SL1组肌肉内聚性显著高于CON组</w:t>
      </w:r>
      <w:r>
        <w:rPr>
          <w:i/>
          <w:iCs/>
          <w:szCs w:val="21"/>
        </w:rPr>
        <w:t>（P</w:t>
      </w:r>
      <w:r>
        <w:rPr>
          <w:szCs w:val="21"/>
        </w:rPr>
        <w:t>＜0.05），SL2组肌肉硬度、胶黏性、咀嚼性、内聚性均显著高于CON组（</w:t>
      </w:r>
      <w:r>
        <w:rPr>
          <w:i/>
          <w:iCs/>
          <w:szCs w:val="21"/>
        </w:rPr>
        <w:t>P</w:t>
      </w:r>
      <w:r>
        <w:rPr>
          <w:szCs w:val="21"/>
        </w:rPr>
        <w:t>＜0.05）。4）SL1组、SL2组肌肉丝氨酸/苏氨酸蛋白激酶（</w:t>
      </w:r>
      <w:r>
        <w:rPr>
          <w:i/>
          <w:iCs/>
          <w:szCs w:val="21"/>
        </w:rPr>
        <w:t>AKT</w:t>
      </w:r>
      <w:r>
        <w:rPr>
          <w:szCs w:val="21"/>
        </w:rPr>
        <w:t>）、雷帕霉素机械性靶蛋白（</w:t>
      </w:r>
      <w:r>
        <w:rPr>
          <w:i/>
          <w:iCs/>
          <w:szCs w:val="21"/>
        </w:rPr>
        <w:t>mTOR</w:t>
      </w:r>
      <w:r>
        <w:rPr>
          <w:szCs w:val="21"/>
        </w:rPr>
        <w:t>）、核糖体蛋白S6激酶1（</w:t>
      </w:r>
      <w:r>
        <w:rPr>
          <w:i/>
          <w:iCs/>
          <w:szCs w:val="21"/>
        </w:rPr>
        <w:t>S6K1</w:t>
      </w:r>
      <w:r>
        <w:rPr>
          <w:szCs w:val="21"/>
        </w:rPr>
        <w:t>）、真核翻译起始因子4E2（</w:t>
      </w:r>
      <w:r>
        <w:rPr>
          <w:i/>
          <w:iCs/>
          <w:szCs w:val="21"/>
        </w:rPr>
        <w:t>EIF4E2</w:t>
      </w:r>
      <w:r>
        <w:rPr>
          <w:szCs w:val="21"/>
        </w:rPr>
        <w:t>）、转化生长因子-β（</w:t>
      </w:r>
      <w:r>
        <w:rPr>
          <w:i/>
          <w:iCs/>
          <w:szCs w:val="21"/>
        </w:rPr>
        <w:t>TGF-β</w:t>
      </w:r>
      <w:r>
        <w:rPr>
          <w:szCs w:val="21"/>
        </w:rPr>
        <w:t>）、肌钙蛋白C（</w:t>
      </w:r>
      <w:r>
        <w:rPr>
          <w:i/>
          <w:iCs/>
          <w:szCs w:val="21"/>
        </w:rPr>
        <w:t>TNNC</w:t>
      </w:r>
      <w:r>
        <w:rPr>
          <w:szCs w:val="21"/>
        </w:rPr>
        <w:t>）、肌球蛋白轻链（</w:t>
      </w:r>
      <w:r>
        <w:rPr>
          <w:i/>
          <w:iCs/>
          <w:szCs w:val="21"/>
        </w:rPr>
        <w:t>MYLC</w:t>
      </w:r>
      <w:r>
        <w:rPr>
          <w:szCs w:val="21"/>
        </w:rPr>
        <w:t>）的mRNA相对表达量均显著高于CON组（</w:t>
      </w:r>
      <w:r>
        <w:rPr>
          <w:i/>
          <w:iCs/>
          <w:szCs w:val="21"/>
        </w:rPr>
        <w:t>P</w:t>
      </w:r>
      <w:r>
        <w:rPr>
          <w:szCs w:val="21"/>
        </w:rPr>
        <w:t>＜0.05）。5）SL1组肌肉丙二醛（MDA）含量显著低于其他组（</w:t>
      </w:r>
      <w:r>
        <w:rPr>
          <w:i/>
          <w:iCs/>
          <w:szCs w:val="21"/>
        </w:rPr>
        <w:t>P</w:t>
      </w:r>
      <w:r>
        <w:rPr>
          <w:szCs w:val="21"/>
        </w:rPr>
        <w:t>＜0.05），SL2组肌肉总抗氧化能力（T-AOC）和MDA含量显著高于其他组（</w:t>
      </w:r>
      <w:r>
        <w:rPr>
          <w:i/>
          <w:iCs/>
          <w:szCs w:val="21"/>
        </w:rPr>
        <w:t>P</w:t>
      </w:r>
      <w:r>
        <w:rPr>
          <w:szCs w:val="21"/>
        </w:rPr>
        <w:t>＜0.05）;SL1组和SL2组肌肉过氧化氢酶（</w:t>
      </w:r>
      <w:r>
        <w:rPr>
          <w:i/>
          <w:iCs/>
          <w:szCs w:val="21"/>
        </w:rPr>
        <w:t>CAT</w:t>
      </w:r>
      <w:r>
        <w:rPr>
          <w:szCs w:val="21"/>
        </w:rPr>
        <w:t>）、超氧化物歧化酶（</w:t>
      </w:r>
      <w:r>
        <w:rPr>
          <w:i/>
          <w:iCs/>
          <w:szCs w:val="21"/>
        </w:rPr>
        <w:t>SOD</w:t>
      </w:r>
      <w:r>
        <w:rPr>
          <w:szCs w:val="21"/>
        </w:rPr>
        <w:t>）的mRNA相对表达量显著高于CON组（</w:t>
      </w:r>
      <w:r>
        <w:rPr>
          <w:i/>
          <w:iCs/>
          <w:szCs w:val="21"/>
        </w:rPr>
        <w:t>P</w:t>
      </w:r>
      <w:r>
        <w:rPr>
          <w:szCs w:val="21"/>
        </w:rPr>
        <w:t>＜0.05）。6）SL2组肌纤维直径显著低于其他组（</w:t>
      </w:r>
      <w:r>
        <w:rPr>
          <w:i/>
          <w:iCs/>
          <w:szCs w:val="21"/>
        </w:rPr>
        <w:t>P</w:t>
      </w:r>
      <w:r>
        <w:rPr>
          <w:szCs w:val="21"/>
        </w:rPr>
        <w:t>＜0.05）。综上所述，饲料添加裂殖壶菌可激活凡纳滨对虾肌肉中磷脂酰肌醇－3－激酶（PI3K）/AKT/mTOR信号通路及肌肉生成调节基因的表达，提高肌肉粗蛋白质和胶原蛋白含量。未破壁裂殖壶菌可以提高肌肉抗氧化能力;破壁裂殖壶菌能够减小肌纤维直径，改善肌肉质构特性。</w:t>
      </w:r>
    </w:p>
    <w:p w14:paraId="10D830DA">
      <w:pPr>
        <w:rPr>
          <w:szCs w:val="21"/>
        </w:rPr>
      </w:pPr>
      <w:r>
        <w:rPr>
          <w:b/>
          <w:bCs/>
          <w:szCs w:val="21"/>
        </w:rPr>
        <w:t>关键词</w:t>
      </w:r>
      <w:r>
        <w:rPr>
          <w:szCs w:val="21"/>
        </w:rPr>
        <w:t>：凡纳滨对虾；裂殖壶菌；破壁；肌肉品质</w:t>
      </w:r>
    </w:p>
    <w:p w14:paraId="5FF32F57">
      <w:pPr>
        <w:jc w:val="center"/>
        <w:rPr>
          <w:b/>
          <w:bCs/>
          <w:i/>
          <w:iCs/>
          <w:sz w:val="24"/>
        </w:rPr>
      </w:pPr>
      <w:r>
        <w:rPr>
          <w:b/>
          <w:bCs/>
          <w:sz w:val="24"/>
        </w:rPr>
        <w:t xml:space="preserve">Effects of Dietary Supplementation with Different Forms of </w:t>
      </w:r>
      <w:r>
        <w:rPr>
          <w:b/>
          <w:bCs/>
          <w:i/>
          <w:iCs/>
          <w:sz w:val="24"/>
        </w:rPr>
        <w:t>Aurantiochytrium limacinum</w:t>
      </w:r>
      <w:r>
        <w:rPr>
          <w:b/>
          <w:bCs/>
          <w:sz w:val="24"/>
        </w:rPr>
        <w:t xml:space="preserve"> on Muscle Quality of</w:t>
      </w:r>
      <w:r>
        <w:rPr>
          <w:b/>
          <w:bCs/>
          <w:i/>
          <w:iCs/>
          <w:sz w:val="24"/>
        </w:rPr>
        <w:t xml:space="preserve"> Litopenaeus vannamei</w:t>
      </w:r>
    </w:p>
    <w:p w14:paraId="03217D75">
      <w:pPr>
        <w:jc w:val="center"/>
        <w:rPr>
          <w:szCs w:val="21"/>
          <w:vertAlign w:val="superscript"/>
        </w:rPr>
      </w:pPr>
      <w:r>
        <w:rPr>
          <w:szCs w:val="21"/>
        </w:rPr>
        <w:t>LI Hongye</w:t>
      </w:r>
      <w:r>
        <w:rPr>
          <w:szCs w:val="21"/>
          <w:vertAlign w:val="superscript"/>
        </w:rPr>
        <w:t>1,2</w:t>
      </w:r>
      <w:r>
        <w:rPr>
          <w:szCs w:val="21"/>
        </w:rPr>
        <w:t xml:space="preserve">   DOU Shilong</w:t>
      </w:r>
      <w:r>
        <w:rPr>
          <w:szCs w:val="21"/>
          <w:vertAlign w:val="superscript"/>
        </w:rPr>
        <w:t>1,2</w:t>
      </w:r>
      <w:r>
        <w:rPr>
          <w:szCs w:val="21"/>
        </w:rPr>
        <w:t xml:space="preserve">   TANG Zeming</w:t>
      </w:r>
      <w:r>
        <w:rPr>
          <w:szCs w:val="21"/>
          <w:vertAlign w:val="superscript"/>
        </w:rPr>
        <w:t>1,2</w:t>
      </w:r>
      <w:r>
        <w:rPr>
          <w:szCs w:val="21"/>
        </w:rPr>
        <w:t xml:space="preserve">   WANG Qiuzhen</w:t>
      </w:r>
      <w:r>
        <w:rPr>
          <w:szCs w:val="21"/>
          <w:vertAlign w:val="superscript"/>
        </w:rPr>
        <w:t>1,2</w:t>
      </w:r>
      <w:r>
        <w:rPr>
          <w:szCs w:val="21"/>
        </w:rPr>
        <w:t xml:space="preserve">   GUO Ran</w:t>
      </w:r>
      <w:r>
        <w:rPr>
          <w:szCs w:val="21"/>
          <w:vertAlign w:val="superscript"/>
        </w:rPr>
        <w:t>1,2*</w:t>
      </w:r>
    </w:p>
    <w:p w14:paraId="63AD443E">
      <w:pPr>
        <w:jc w:val="center"/>
        <w:rPr>
          <w:i/>
          <w:iCs/>
          <w:szCs w:val="21"/>
        </w:rPr>
      </w:pPr>
      <w:r>
        <w:rPr>
          <w:szCs w:val="21"/>
        </w:rPr>
        <w:t xml:space="preserve">（1. </w:t>
      </w:r>
      <w:r>
        <w:rPr>
          <w:i/>
          <w:iCs/>
          <w:szCs w:val="21"/>
        </w:rPr>
        <w:t>Ocean College, Hebei Agricultural University</w:t>
      </w:r>
      <w:r>
        <w:rPr>
          <w:szCs w:val="21"/>
        </w:rPr>
        <w:t xml:space="preserve">, </w:t>
      </w:r>
      <w:r>
        <w:rPr>
          <w:i/>
          <w:iCs/>
          <w:szCs w:val="21"/>
        </w:rPr>
        <w:t>Qinhuangdao</w:t>
      </w:r>
      <w:r>
        <w:rPr>
          <w:szCs w:val="21"/>
        </w:rPr>
        <w:t xml:space="preserve"> 066000, </w:t>
      </w:r>
      <w:r>
        <w:rPr>
          <w:i/>
          <w:iCs/>
          <w:szCs w:val="21"/>
        </w:rPr>
        <w:t>China</w:t>
      </w:r>
      <w:r>
        <w:rPr>
          <w:szCs w:val="21"/>
        </w:rPr>
        <w:t xml:space="preserve">; 2. </w:t>
      </w:r>
      <w:r>
        <w:rPr>
          <w:i/>
          <w:iCs/>
          <w:szCs w:val="21"/>
        </w:rPr>
        <w:t>Key Laboratory of Nutritional Regulation and Disease Control in Aquaculture of Hebei Province, Qinhuangdao</w:t>
      </w:r>
      <w:r>
        <w:rPr>
          <w:szCs w:val="21"/>
        </w:rPr>
        <w:t xml:space="preserve"> 066000</w:t>
      </w:r>
      <w:r>
        <w:rPr>
          <w:i/>
          <w:iCs/>
          <w:szCs w:val="21"/>
        </w:rPr>
        <w:t>, China</w:t>
      </w:r>
      <w:r>
        <w:rPr>
          <w:szCs w:val="21"/>
        </w:rPr>
        <w:t>）</w:t>
      </w:r>
    </w:p>
    <w:p w14:paraId="2E93CCB9">
      <w:pPr>
        <w:rPr>
          <w:szCs w:val="21"/>
        </w:rPr>
      </w:pPr>
      <w:r>
        <w:rPr>
          <w:b/>
          <w:bCs/>
          <w:szCs w:val="21"/>
        </w:rPr>
        <w:t>Abstract</w:t>
      </w:r>
      <w:r>
        <w:rPr>
          <w:szCs w:val="21"/>
        </w:rPr>
        <w:t xml:space="preserve">: This experiment was conducted to investigate the effects of </w:t>
      </w:r>
      <w:r>
        <w:rPr>
          <w:i/>
          <w:iCs/>
          <w:szCs w:val="21"/>
        </w:rPr>
        <w:t>Aurantiochytrium limacinum</w:t>
      </w:r>
      <w:r>
        <w:rPr>
          <w:szCs w:val="21"/>
        </w:rPr>
        <w:t xml:space="preserve"> on muscle quality of </w:t>
      </w:r>
      <w:r>
        <w:rPr>
          <w:i/>
          <w:iCs/>
          <w:szCs w:val="21"/>
        </w:rPr>
        <w:t>Litopenaeus vannamei</w:t>
      </w:r>
      <w:r>
        <w:rPr>
          <w:szCs w:val="21"/>
        </w:rPr>
        <w:t xml:space="preserve">. A total of 360 healthy juvenile </w:t>
      </w:r>
      <w:r>
        <w:rPr>
          <w:i/>
          <w:iCs/>
          <w:szCs w:val="21"/>
        </w:rPr>
        <w:t xml:space="preserve">Litopenaeus vannamei </w:t>
      </w:r>
      <w:r>
        <w:rPr>
          <w:szCs w:val="21"/>
        </w:rPr>
        <w:t xml:space="preserve">with an initial body weight of (0.26±0.01) g were selected and randomly divided into 3 groups with 3 replicates per group and 40 shrimp per replicate. Shrimp in the 3 groups were fed a basal diet (CON group), the basal diet supplemented with 3% </w:t>
      </w:r>
      <w:r>
        <w:rPr>
          <w:i/>
          <w:iCs/>
          <w:szCs w:val="21"/>
        </w:rPr>
        <w:t>Aurantiochytrium limacinum</w:t>
      </w:r>
      <w:r>
        <w:rPr>
          <w:szCs w:val="21"/>
        </w:rPr>
        <w:t xml:space="preserve"> with intact cell wall (SL1 group) or 3% </w:t>
      </w:r>
      <w:r>
        <w:rPr>
          <w:i/>
          <w:iCs/>
          <w:szCs w:val="21"/>
        </w:rPr>
        <w:t>Aurantiochytrium limacinum</w:t>
      </w:r>
      <w:r>
        <w:rPr>
          <w:szCs w:val="21"/>
        </w:rPr>
        <w:t xml:space="preserve"> with disrupted cell wall (SL2 group), respectively, with equal nitrogen and energy levels. The pre-test period lasted for 7 days, and the formal trial lasted for 56 days. The results showed as follows: 1) the muscle crude protein and collagen contents of the SL1 and SL2 groups were significantly higher than those of the CON group (</w:t>
      </w:r>
      <w:r>
        <w:rPr>
          <w:i/>
          <w:iCs/>
          <w:szCs w:val="21"/>
        </w:rPr>
        <w:t>P</w:t>
      </w:r>
      <w:r>
        <w:rPr>
          <w:szCs w:val="21"/>
        </w:rPr>
        <w:t>&lt;0.05), and the muscle collagen content of the SL2 group was significantly higher than that of the SL1 group (</w:t>
      </w:r>
      <w:r>
        <w:rPr>
          <w:i/>
          <w:iCs/>
          <w:szCs w:val="21"/>
        </w:rPr>
        <w:t>P</w:t>
      </w:r>
      <w:r>
        <w:rPr>
          <w:szCs w:val="21"/>
        </w:rPr>
        <w:t>&lt;0.05). 2) The muscle cooking loss rates of the SL1 and SL2 groups were significantly lower than that of the CON group (</w:t>
      </w:r>
      <w:r>
        <w:rPr>
          <w:i/>
          <w:iCs/>
          <w:szCs w:val="21"/>
        </w:rPr>
        <w:t>P</w:t>
      </w:r>
      <w:r>
        <w:rPr>
          <w:szCs w:val="21"/>
        </w:rPr>
        <w:t>&lt;0.05). 3) The muscle cohesiveness of the SL1 group was significantly higher than that of the CON group (</w:t>
      </w:r>
      <w:r>
        <w:rPr>
          <w:i/>
          <w:iCs/>
          <w:szCs w:val="21"/>
        </w:rPr>
        <w:t>P</w:t>
      </w:r>
      <w:r>
        <w:rPr>
          <w:szCs w:val="21"/>
        </w:rPr>
        <w:t>&lt;0.05), and the muscle hardness, gumminess, chewiness and cohesiveness of the SL2 group were significantly higher than those of the CON group (</w:t>
      </w:r>
      <w:r>
        <w:rPr>
          <w:i/>
          <w:iCs/>
          <w:szCs w:val="21"/>
        </w:rPr>
        <w:t>P</w:t>
      </w:r>
      <w:r>
        <w:rPr>
          <w:szCs w:val="21"/>
        </w:rPr>
        <w:t>&lt;0.05). 4) The mRNA relative expression levels of serine/threonine-protein kinase (</w:t>
      </w:r>
      <w:r>
        <w:rPr>
          <w:i/>
          <w:iCs/>
          <w:szCs w:val="21"/>
        </w:rPr>
        <w:t>AKT</w:t>
      </w:r>
      <w:r>
        <w:rPr>
          <w:szCs w:val="21"/>
        </w:rPr>
        <w:t>), mechanistic target of rapamycin (</w:t>
      </w:r>
      <w:r>
        <w:rPr>
          <w:i/>
          <w:iCs/>
          <w:szCs w:val="21"/>
        </w:rPr>
        <w:t>mTOR</w:t>
      </w:r>
      <w:r>
        <w:rPr>
          <w:szCs w:val="21"/>
        </w:rPr>
        <w:t>), ribosomal protein S6 kinase 1 (</w:t>
      </w:r>
      <w:r>
        <w:rPr>
          <w:i/>
          <w:iCs/>
          <w:szCs w:val="21"/>
        </w:rPr>
        <w:t>S6K 1</w:t>
      </w:r>
      <w:r>
        <w:rPr>
          <w:szCs w:val="21"/>
        </w:rPr>
        <w:t>), eukaryotic translation initiation factor 4E2 (</w:t>
      </w:r>
      <w:r>
        <w:rPr>
          <w:i/>
          <w:iCs/>
          <w:szCs w:val="21"/>
        </w:rPr>
        <w:t>EIF4E2</w:t>
      </w:r>
      <w:r>
        <w:rPr>
          <w:szCs w:val="21"/>
        </w:rPr>
        <w:t>), transforming growth factor-β (</w:t>
      </w:r>
      <w:r>
        <w:rPr>
          <w:i/>
          <w:iCs/>
          <w:szCs w:val="21"/>
        </w:rPr>
        <w:t>TGF-β</w:t>
      </w:r>
      <w:r>
        <w:rPr>
          <w:szCs w:val="21"/>
        </w:rPr>
        <w:t>), troponin C (</w:t>
      </w:r>
      <w:r>
        <w:rPr>
          <w:i/>
          <w:iCs/>
          <w:szCs w:val="21"/>
        </w:rPr>
        <w:t>TNNC</w:t>
      </w:r>
      <w:r>
        <w:rPr>
          <w:szCs w:val="21"/>
        </w:rPr>
        <w:t>) and myosin light chain (</w:t>
      </w:r>
      <w:r>
        <w:rPr>
          <w:i/>
          <w:iCs/>
          <w:szCs w:val="21"/>
        </w:rPr>
        <w:t>MYLC</w:t>
      </w:r>
      <w:r>
        <w:rPr>
          <w:szCs w:val="21"/>
        </w:rPr>
        <w:t>) in muscle of the SL1 and SL2 groups were significantly higher than those of the CON group (</w:t>
      </w:r>
      <w:r>
        <w:rPr>
          <w:i/>
          <w:iCs/>
          <w:szCs w:val="21"/>
        </w:rPr>
        <w:t>P</w:t>
      </w:r>
      <w:r>
        <w:rPr>
          <w:szCs w:val="21"/>
        </w:rPr>
        <w:t>&lt;0.05). 5) The muscle malondialdehyde (MDA) content of the SL1 group was significantly lower than that of the other groups (</w:t>
      </w:r>
      <w:r>
        <w:rPr>
          <w:i/>
          <w:iCs/>
          <w:szCs w:val="21"/>
        </w:rPr>
        <w:t>P</w:t>
      </w:r>
      <w:r>
        <w:rPr>
          <w:szCs w:val="21"/>
        </w:rPr>
        <w:t>&lt;0.05), while the muscle total antioxidant capacity (T-AOC) and MDA content of the SL2 group were significantly higher than those of the other groups (</w:t>
      </w:r>
      <w:r>
        <w:rPr>
          <w:i/>
          <w:iCs/>
          <w:szCs w:val="21"/>
        </w:rPr>
        <w:t>P</w:t>
      </w:r>
      <w:r>
        <w:rPr>
          <w:szCs w:val="21"/>
        </w:rPr>
        <w:t>&lt;0.05); the mRNA relative expression levels of catalase (</w:t>
      </w:r>
      <w:r>
        <w:rPr>
          <w:i/>
          <w:iCs/>
          <w:szCs w:val="21"/>
        </w:rPr>
        <w:t>CAT</w:t>
      </w:r>
      <w:r>
        <w:rPr>
          <w:szCs w:val="21"/>
        </w:rPr>
        <w:t>) and superoxide dismutase (</w:t>
      </w:r>
      <w:r>
        <w:rPr>
          <w:i/>
          <w:iCs/>
          <w:szCs w:val="21"/>
        </w:rPr>
        <w:t>SOD</w:t>
      </w:r>
      <w:r>
        <w:rPr>
          <w:szCs w:val="21"/>
        </w:rPr>
        <w:t>) in muscle of the SL1 and SL2 groups were significantly higher than those of the CON group (</w:t>
      </w:r>
      <w:r>
        <w:rPr>
          <w:i/>
          <w:iCs/>
          <w:szCs w:val="21"/>
        </w:rPr>
        <w:t>P</w:t>
      </w:r>
      <w:r>
        <w:rPr>
          <w:szCs w:val="21"/>
        </w:rPr>
        <w:t>&lt;0.05). 6) The myofiber diameter of the SL2 group was significantly lower than that of the other groups (</w:t>
      </w:r>
      <w:r>
        <w:rPr>
          <w:i/>
          <w:iCs/>
          <w:szCs w:val="21"/>
        </w:rPr>
        <w:t>P</w:t>
      </w:r>
      <w:r>
        <w:rPr>
          <w:szCs w:val="21"/>
        </w:rPr>
        <w:t xml:space="preserve">&lt;0.05). In conclusion, dietary supplementation with </w:t>
      </w:r>
      <w:r>
        <w:rPr>
          <w:i/>
          <w:iCs/>
          <w:szCs w:val="21"/>
        </w:rPr>
        <w:t>Aurantiochytrium limacinum</w:t>
      </w:r>
      <w:r>
        <w:rPr>
          <w:szCs w:val="21"/>
        </w:rPr>
        <w:t xml:space="preserve"> can activate the phosphatidy linositol-3-kinase (PI3K)/AKT/mTOR signaling pathway and the expression of myogenic regulatory genes in muscle of </w:t>
      </w:r>
      <w:r>
        <w:rPr>
          <w:i/>
          <w:iCs/>
          <w:szCs w:val="21"/>
        </w:rPr>
        <w:t>Litopenaeus vannamei</w:t>
      </w:r>
      <w:r>
        <w:rPr>
          <w:szCs w:val="21"/>
        </w:rPr>
        <w:t xml:space="preserve">, and increase muscle crude protein and collagen contents. </w:t>
      </w:r>
      <w:r>
        <w:rPr>
          <w:i/>
          <w:iCs/>
          <w:szCs w:val="21"/>
        </w:rPr>
        <w:t>Aurantiochytrium limacinum</w:t>
      </w:r>
      <w:r>
        <w:rPr>
          <w:szCs w:val="21"/>
        </w:rPr>
        <w:t xml:space="preserve"> with intact cell wall can improve muscle antioxidant capacity; </w:t>
      </w:r>
      <w:r>
        <w:rPr>
          <w:i/>
          <w:iCs/>
          <w:szCs w:val="21"/>
        </w:rPr>
        <w:t>Aurantiochytrium limacinum</w:t>
      </w:r>
      <w:r>
        <w:rPr>
          <w:szCs w:val="21"/>
        </w:rPr>
        <w:t xml:space="preserve"> with disrupted cell wall can increase muscle collagen content, decrease myofiber diameter, and improve muscle textural properties. [</w:t>
      </w:r>
      <w:r>
        <w:rPr>
          <w:i/>
          <w:iCs/>
          <w:szCs w:val="21"/>
        </w:rPr>
        <w:t>Chinese Journal of Animal Nutrition</w:t>
      </w:r>
      <w:r>
        <w:rPr>
          <w:szCs w:val="21"/>
        </w:rPr>
        <w:t>, 2026, 38(9): 6913-6924]</w:t>
      </w:r>
    </w:p>
    <w:p w14:paraId="77219797">
      <w:pPr>
        <w:rPr>
          <w:szCs w:val="21"/>
        </w:rPr>
      </w:pPr>
      <w:r>
        <w:rPr>
          <w:b/>
          <w:bCs/>
          <w:szCs w:val="21"/>
        </w:rPr>
        <w:t>Key words</w:t>
      </w:r>
      <w:r>
        <w:rPr>
          <w:szCs w:val="21"/>
        </w:rPr>
        <w:t xml:space="preserve">: </w:t>
      </w:r>
      <w:r>
        <w:rPr>
          <w:i/>
          <w:iCs/>
          <w:color w:val="231F20"/>
          <w:kern w:val="0"/>
          <w:szCs w:val="21"/>
        </w:rPr>
        <w:t>Litopenaeus vannamei; Aurantiochytrium limacinum; cell disruption; muscle quality</w:t>
      </w:r>
    </w:p>
    <w:p w14:paraId="5EC17982">
      <w:pPr>
        <w:rPr>
          <w:szCs w:val="21"/>
        </w:rPr>
      </w:pPr>
    </w:p>
    <w:p w14:paraId="452659B4">
      <w:pPr>
        <w:spacing w:line="360" w:lineRule="auto"/>
        <w:ind w:firstLine="420"/>
        <w:rPr>
          <w:sz w:val="24"/>
        </w:rPr>
      </w:pPr>
      <w:r>
        <w:rPr>
          <w:sz w:val="24"/>
        </w:rPr>
        <w:t>2024年我国凡纳滨对虾（</w:t>
      </w:r>
      <w:r>
        <w:rPr>
          <w:i/>
          <w:iCs/>
          <w:sz w:val="24"/>
        </w:rPr>
        <w:t>Litopenaeus vannamei</w:t>
      </w:r>
      <w:r>
        <w:rPr>
          <w:sz w:val="24"/>
        </w:rPr>
        <w:t>）的养殖总产量达237.4万t，同比增长6.08%</w:t>
      </w:r>
      <w:r>
        <w:rPr>
          <w:sz w:val="24"/>
          <w:vertAlign w:val="superscript"/>
        </w:rPr>
        <w:t>[1]</w:t>
      </w:r>
      <w:r>
        <w:rPr>
          <w:sz w:val="24"/>
        </w:rPr>
        <w:t>，是我国重要的水产经济动物，也是人类饮食中优质蛋白质的重要来源之一，可为人体提供多种必需营养素，包括优质蛋白质、必需矿物质及不饱和脂肪酸</w:t>
      </w:r>
      <w:r>
        <w:rPr>
          <w:sz w:val="24"/>
          <w:vertAlign w:val="superscript"/>
        </w:rPr>
        <w:t>[2]</w:t>
      </w:r>
      <w:r>
        <w:rPr>
          <w:sz w:val="24"/>
        </w:rPr>
        <w:t>。在健康饮食理念日益普及的背景下，消费者对凡纳滨对虾产品的品质偏好日趋精细，不仅关注其外观规格，更对其肉质的紧实度、弹性等质构特性及鲜美风味等内在品质给予了高度重视</w:t>
      </w:r>
      <w:r>
        <w:rPr>
          <w:sz w:val="24"/>
          <w:vertAlign w:val="superscript"/>
        </w:rPr>
        <w:t>[3]</w:t>
      </w:r>
      <w:r>
        <w:rPr>
          <w:sz w:val="24"/>
        </w:rPr>
        <w:t>。因此，凡纳滨对虾的肌肉品质与消费者接受程度密切相关。</w:t>
      </w:r>
    </w:p>
    <w:p w14:paraId="6B4C1DE3">
      <w:pPr>
        <w:spacing w:line="360" w:lineRule="auto"/>
        <w:ind w:firstLine="420"/>
        <w:rPr>
          <w:sz w:val="24"/>
        </w:rPr>
      </w:pPr>
      <w:r>
        <w:rPr>
          <w:sz w:val="24"/>
        </w:rPr>
        <w:t>鱼油是对虾配合饲料中不饱和脂肪酸的主要来源，但随着捕捞压力的增大以及饲料成本上涨的影响，水产养殖业面临严峻挑战</w:t>
      </w:r>
      <w:r>
        <w:rPr>
          <w:sz w:val="24"/>
          <w:vertAlign w:val="superscript"/>
        </w:rPr>
        <w:t>[4]</w:t>
      </w:r>
      <w:r>
        <w:rPr>
          <w:sz w:val="24"/>
        </w:rPr>
        <w:t>，寻求非海洋鱼类来源的二十二碳六烯酸（DHA）和二十碳五烯酸（EPA）是破解此困境的路径之一。裂殖壶菌（</w:t>
      </w:r>
      <w:r>
        <w:rPr>
          <w:i/>
          <w:iCs/>
          <w:sz w:val="24"/>
        </w:rPr>
        <w:t>Aurantiochytrium limacinum</w:t>
      </w:r>
      <w:r>
        <w:rPr>
          <w:sz w:val="24"/>
        </w:rPr>
        <w:t>）是一种海洋微藻，其细胞内含有大量油脂，且富含DHA、类胡萝卜素及角鲨烯等活性物质</w:t>
      </w:r>
      <w:r>
        <w:rPr>
          <w:sz w:val="24"/>
          <w:vertAlign w:val="superscript"/>
        </w:rPr>
        <w:t>[5]</w:t>
      </w:r>
      <w:r>
        <w:rPr>
          <w:sz w:val="24"/>
        </w:rPr>
        <w:t>，为鱼油的可持续替代提供了有效方案。此外，裂殖壶菌作为一种新型的饲料添加剂能够改善肌肉品质，有关研究发现，裂壶藻粉可通过减轻凡纳滨对虾肌肉中氧化损伤，改善肌肉质量</w:t>
      </w:r>
      <w:r>
        <w:rPr>
          <w:sz w:val="24"/>
          <w:vertAlign w:val="superscript"/>
        </w:rPr>
        <w:t>[6]</w:t>
      </w:r>
      <w:r>
        <w:rPr>
          <w:sz w:val="24"/>
        </w:rPr>
        <w:t>。肌肉品质是一个综合指标体系，涵盖营养特性、质构特性、微观结构及功能性成分等维度。相关研究表明，饲料添加裂殖壶藻能提高凡纳滨对虾肌肉质构特性，促进肌纤维生长和发育，改善凡纳滨对虾的肌肉品质</w:t>
      </w:r>
      <w:r>
        <w:rPr>
          <w:sz w:val="24"/>
          <w:vertAlign w:val="superscript"/>
        </w:rPr>
        <w:t>[7]</w:t>
      </w:r>
      <w:r>
        <w:rPr>
          <w:sz w:val="24"/>
        </w:rPr>
        <w:t>。</w:t>
      </w:r>
    </w:p>
    <w:p w14:paraId="622382F3">
      <w:pPr>
        <w:spacing w:line="360" w:lineRule="auto"/>
        <w:ind w:firstLine="420"/>
        <w:rPr>
          <w:sz w:val="24"/>
        </w:rPr>
      </w:pPr>
      <w:r>
        <w:rPr>
          <w:sz w:val="24"/>
        </w:rPr>
        <w:t>然而，微藻的细胞壁由几丁质和纤维素构成，完整的细胞壁可能会阻碍细胞内营养物质的释放与吸收</w:t>
      </w:r>
      <w:r>
        <w:rPr>
          <w:sz w:val="24"/>
          <w:vertAlign w:val="superscript"/>
        </w:rPr>
        <w:t>[8]</w:t>
      </w:r>
      <w:r>
        <w:rPr>
          <w:sz w:val="24"/>
        </w:rPr>
        <w:t>。目前关于饲料添加不同形式裂殖壶菌对凡纳滨对虾肌肉品质的研究较少。因此，本试验以凡纳滨对虾为研究对象，旨在评估饲料添加未破壁与破壁裂殖壶菌对凡纳滨对虾肌肉品质的影响，从而为优质对虾饲料的开发提供参考。</w:t>
      </w:r>
    </w:p>
    <w:p w14:paraId="07639D4A">
      <w:pPr>
        <w:spacing w:before="160" w:after="80" w:line="360" w:lineRule="auto"/>
        <w:rPr>
          <w:sz w:val="24"/>
        </w:rPr>
      </w:pPr>
      <w:r>
        <w:rPr>
          <w:sz w:val="24"/>
        </w:rPr>
        <w:t>1 材料与方法</w:t>
      </w:r>
    </w:p>
    <w:p w14:paraId="1395E0C6">
      <w:pPr>
        <w:spacing w:before="120" w:after="60" w:line="360" w:lineRule="auto"/>
        <w:rPr>
          <w:sz w:val="24"/>
        </w:rPr>
      </w:pPr>
      <w:r>
        <w:rPr>
          <w:sz w:val="24"/>
        </w:rPr>
        <w:t>1.1 试验饲料</w:t>
      </w:r>
    </w:p>
    <w:p w14:paraId="77DCCAF1">
      <w:pPr>
        <w:spacing w:line="360" w:lineRule="auto"/>
        <w:ind w:firstLine="420"/>
        <w:jc w:val="center"/>
        <w:rPr>
          <w:sz w:val="24"/>
        </w:rPr>
      </w:pPr>
      <w:r>
        <w:rPr>
          <w:sz w:val="24"/>
        </w:rPr>
        <w:t>试验所用裂殖壶菌为本实验室保存的裂殖壶菌S3D菌株。参考朱婧瑶等</w:t>
      </w:r>
      <w:r>
        <w:rPr>
          <w:sz w:val="24"/>
          <w:vertAlign w:val="superscript"/>
        </w:rPr>
        <w:t>[9]</w:t>
      </w:r>
      <w:r>
        <w:rPr>
          <w:sz w:val="24"/>
        </w:rPr>
        <w:t>的液氮研磨法对裂殖壶菌进行破壁处理，取裂殖壶菌发酵液，冷冻干燥后，在预冷研钵中加入适量液氮研磨至细粉。未破壁与破壁裂殖壶菌营养水平见表1。</w:t>
      </w:r>
      <w:r>
        <w:rPr>
          <w:sz w:val="24"/>
        </w:rPr>
        <w:drawing>
          <wp:inline distT="0" distB="0" distL="114300" distR="114300">
            <wp:extent cx="3959860" cy="118173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5"/>
                    <a:stretch>
                      <a:fillRect/>
                    </a:stretch>
                  </pic:blipFill>
                  <pic:spPr>
                    <a:xfrm>
                      <a:off x="0" y="0"/>
                      <a:ext cx="3960000" cy="1181942"/>
                    </a:xfrm>
                    <a:prstGeom prst="rect">
                      <a:avLst/>
                    </a:prstGeom>
                    <a:noFill/>
                    <a:ln>
                      <a:noFill/>
                    </a:ln>
                  </pic:spPr>
                </pic:pic>
              </a:graphicData>
            </a:graphic>
          </wp:inline>
        </w:drawing>
      </w:r>
    </w:p>
    <w:p w14:paraId="6C627689">
      <w:pPr>
        <w:spacing w:before="120" w:after="60" w:line="360" w:lineRule="auto"/>
        <w:rPr>
          <w:sz w:val="24"/>
        </w:rPr>
      </w:pPr>
      <w:r>
        <w:rPr>
          <w:sz w:val="24"/>
        </w:rPr>
        <w:t>1.2 试验设计与饲料</w:t>
      </w:r>
    </w:p>
    <w:p w14:paraId="186A50B2">
      <w:pPr>
        <w:spacing w:line="360" w:lineRule="auto"/>
        <w:ind w:firstLine="420"/>
        <w:rPr>
          <w:sz w:val="24"/>
        </w:rPr>
      </w:pPr>
      <w:r>
        <w:rPr>
          <w:sz w:val="24"/>
        </w:rPr>
        <w:t>选取初始体重为（0.26±0.01） g的健康凡纳滨对虾幼虾360尾，随机分为3组，每组3个重复[养殖缸（40 cm×50 cm×60 cm，100 L）]，每个重复40尾虾。3个组分别饲喂基础饲料（CON组）及在基础饲料中添加3%未破壁裂殖壶菌（SL1组）和添加3%破壁裂殖壶菌（SL2组）的等氮等能饲料。预试期7 d，正试期56 d。</w:t>
      </w:r>
    </w:p>
    <w:p w14:paraId="41A677EF">
      <w:pPr>
        <w:spacing w:line="360" w:lineRule="auto"/>
        <w:ind w:firstLine="420"/>
        <w:rPr>
          <w:sz w:val="24"/>
        </w:rPr>
      </w:pPr>
      <w:r>
        <w:rPr>
          <w:sz w:val="24"/>
        </w:rPr>
        <w:t>试验饲料均是以鱼粉、豆粕及鸡肉粉为蛋白质源，玉米油为脂肪源配制的等氮（粗蛋白质水平约为41%）等能（粗脂肪水平约为8%），其组成及营养水平见表2。所有原料经粉碎后过80目筛，按既定配方比例初步混合，随后加入玉米油并在搅拌机中充分混匀，混合均匀的物料通过双螺杆挤条机挤压成型，制成粒径为1.2 mm的颗粒饲料，经自然风干后置于</w:t>
      </w:r>
      <w:r>
        <w:rPr>
          <w:rFonts w:hint="eastAsia"/>
          <w:sz w:val="24"/>
        </w:rPr>
        <w:t>-</w:t>
      </w:r>
      <w:r>
        <w:rPr>
          <w:sz w:val="24"/>
        </w:rPr>
        <w:t>20 ℃冰箱中保存以备用。</w:t>
      </w:r>
    </w:p>
    <w:p w14:paraId="2A53D94D">
      <w:pPr>
        <w:spacing w:line="360" w:lineRule="auto"/>
        <w:jc w:val="center"/>
        <w:rPr>
          <w:sz w:val="24"/>
        </w:rPr>
      </w:pPr>
      <w:r>
        <w:rPr>
          <w:sz w:val="24"/>
        </w:rPr>
        <w:drawing>
          <wp:inline distT="0" distB="0" distL="114300" distR="114300">
            <wp:extent cx="3959860" cy="1384935"/>
            <wp:effectExtent l="0" t="0" r="254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6"/>
                    <a:srcRect b="67620"/>
                    <a:stretch>
                      <a:fillRect/>
                    </a:stretch>
                  </pic:blipFill>
                  <pic:spPr>
                    <a:xfrm>
                      <a:off x="0" y="0"/>
                      <a:ext cx="3960000" cy="1385481"/>
                    </a:xfrm>
                    <a:prstGeom prst="rect">
                      <a:avLst/>
                    </a:prstGeom>
                    <a:noFill/>
                    <a:ln>
                      <a:noFill/>
                    </a:ln>
                  </pic:spPr>
                </pic:pic>
              </a:graphicData>
            </a:graphic>
          </wp:inline>
        </w:drawing>
      </w:r>
    </w:p>
    <w:p w14:paraId="6DC431C4">
      <w:pPr>
        <w:spacing w:line="360" w:lineRule="auto"/>
        <w:jc w:val="center"/>
        <w:rPr>
          <w:sz w:val="24"/>
        </w:rPr>
      </w:pPr>
      <w:r>
        <w:rPr>
          <w:sz w:val="24"/>
        </w:rPr>
        <w:drawing>
          <wp:inline distT="0" distB="0" distL="114300" distR="114300">
            <wp:extent cx="3959860" cy="1901825"/>
            <wp:effectExtent l="0" t="0" r="254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6"/>
                    <a:srcRect t="55534"/>
                    <a:stretch>
                      <a:fillRect/>
                    </a:stretch>
                  </pic:blipFill>
                  <pic:spPr>
                    <a:xfrm>
                      <a:off x="0" y="0"/>
                      <a:ext cx="3960000" cy="1902240"/>
                    </a:xfrm>
                    <a:prstGeom prst="rect">
                      <a:avLst/>
                    </a:prstGeom>
                    <a:noFill/>
                    <a:ln>
                      <a:noFill/>
                    </a:ln>
                  </pic:spPr>
                </pic:pic>
              </a:graphicData>
            </a:graphic>
          </wp:inline>
        </w:drawing>
      </w:r>
    </w:p>
    <w:p w14:paraId="1AB62165">
      <w:pPr>
        <w:spacing w:before="120" w:after="60" w:line="360" w:lineRule="auto"/>
        <w:rPr>
          <w:sz w:val="24"/>
        </w:rPr>
      </w:pPr>
      <w:r>
        <w:rPr>
          <w:sz w:val="24"/>
        </w:rPr>
        <w:t>1.3 饲养管理</w:t>
      </w:r>
    </w:p>
    <w:p w14:paraId="582BD676">
      <w:pPr>
        <w:spacing w:line="360" w:lineRule="auto"/>
        <w:ind w:firstLine="420"/>
        <w:rPr>
          <w:sz w:val="24"/>
        </w:rPr>
      </w:pPr>
      <w:r>
        <w:rPr>
          <w:sz w:val="24"/>
        </w:rPr>
        <w:t>养殖期间每天投喂4次，投喂量控制在虾体重的8%～12%，投喂时间为07:00、11:00、15:00、19:00，每天清晨换水1次，更换1/2的新鲜海水。试验期间24h充气，水中溶解氧含量＞5.0 mg/L，海水盐度为（31±1）‰（质量分数），水温为（26±2）℃。每周测定pH及氨氮和亚硝酸盐含量，养殖期间pH为7.5～8.5，氨氮含量＜0.2 mg/L，亚硝酸盐含量＜0.2 mg/L。</w:t>
      </w:r>
    </w:p>
    <w:p w14:paraId="24CF649B">
      <w:pPr>
        <w:spacing w:before="120" w:after="60" w:line="360" w:lineRule="auto"/>
        <w:rPr>
          <w:sz w:val="24"/>
        </w:rPr>
      </w:pPr>
      <w:r>
        <w:rPr>
          <w:sz w:val="24"/>
        </w:rPr>
        <w:t>1.4 样品采集</w:t>
      </w:r>
    </w:p>
    <w:p w14:paraId="43534BD3">
      <w:pPr>
        <w:spacing w:line="360" w:lineRule="auto"/>
        <w:ind w:firstLine="420"/>
        <w:rPr>
          <w:sz w:val="24"/>
        </w:rPr>
      </w:pPr>
      <w:r>
        <w:rPr>
          <w:sz w:val="24"/>
        </w:rPr>
        <w:t>试验结束后，将凡纳滨对虾禁食24 h以排空消化道，然后使用丁香酚（50 mg/L）进行麻醉，从每重复随机挑选12尾虾进行解剖，以获取肌肉组织样本。其中，先取3尾虾用于肌肉营养物质含量测定</w:t>
      </w:r>
      <w:r>
        <w:rPr>
          <w:rFonts w:ascii="Calibri" w:hAnsi="Calibri"/>
          <w:szCs w:val="21"/>
        </w:rPr>
        <w:t>；</w:t>
      </w:r>
      <w:r>
        <w:rPr>
          <w:sz w:val="24"/>
        </w:rPr>
        <w:t>然后取3尾虾，将第1腹节用于肌肉质构分析，第2腹节用于肌肉组织学测定</w:t>
      </w:r>
      <w:r>
        <w:rPr>
          <w:rFonts w:ascii="Calibri" w:hAnsi="Calibri"/>
          <w:szCs w:val="21"/>
        </w:rPr>
        <w:t>；</w:t>
      </w:r>
      <w:r>
        <w:rPr>
          <w:sz w:val="24"/>
        </w:rPr>
        <w:t>再取3尾虾进行持水力测定</w:t>
      </w:r>
      <w:r>
        <w:rPr>
          <w:rFonts w:ascii="Calibri" w:hAnsi="Calibri"/>
          <w:szCs w:val="21"/>
        </w:rPr>
        <w:t>；</w:t>
      </w:r>
      <w:r>
        <w:rPr>
          <w:sz w:val="24"/>
        </w:rPr>
        <w:t>剩余3尾虾取肌肉组织，保存于-80 ℃，以备后续总RNA提取和测定肌肉胶原蛋白含量及生化指标。</w:t>
      </w:r>
    </w:p>
    <w:p w14:paraId="6D90BC5C">
      <w:pPr>
        <w:spacing w:before="120" w:after="60" w:line="360" w:lineRule="auto"/>
        <w:rPr>
          <w:sz w:val="24"/>
        </w:rPr>
      </w:pPr>
      <w:r>
        <w:rPr>
          <w:sz w:val="24"/>
        </w:rPr>
        <w:t>1.5 指标测定</w:t>
      </w:r>
    </w:p>
    <w:p w14:paraId="6497060A">
      <w:pPr>
        <w:spacing w:before="80" w:after="40" w:line="360" w:lineRule="auto"/>
        <w:rPr>
          <w:sz w:val="24"/>
        </w:rPr>
      </w:pPr>
      <w:r>
        <w:rPr>
          <w:sz w:val="24"/>
        </w:rPr>
        <w:t>1.5.1 裂殖壶菌、饲料和肌肉常规营养物质含量及肌肉胶原蛋白含量测定</w:t>
      </w:r>
    </w:p>
    <w:p w14:paraId="10CF87C6">
      <w:pPr>
        <w:spacing w:line="360" w:lineRule="auto"/>
        <w:ind w:firstLine="420"/>
        <w:rPr>
          <w:sz w:val="24"/>
        </w:rPr>
      </w:pPr>
      <w:r>
        <w:rPr>
          <w:sz w:val="24"/>
        </w:rPr>
        <w:t>参照AOAC （2016）</w:t>
      </w:r>
      <w:r>
        <w:rPr>
          <w:sz w:val="24"/>
          <w:vertAlign w:val="superscript"/>
        </w:rPr>
        <w:t>[10]</w:t>
      </w:r>
      <w:r>
        <w:rPr>
          <w:sz w:val="24"/>
        </w:rPr>
        <w:t>的标准方法测定裂殖壶菌、饲料与肌肉的水分、粗蛋白质和粗脂肪含量，以及裂殖壶菌和肌肉的粗灰分含量</w:t>
      </w:r>
      <w:r>
        <w:rPr>
          <w:rFonts w:ascii="Calibri" w:hAnsi="Calibri"/>
          <w:szCs w:val="21"/>
        </w:rPr>
        <w:t>；</w:t>
      </w:r>
      <w:r>
        <w:rPr>
          <w:sz w:val="24"/>
        </w:rPr>
        <w:t>采用气相色谱法测定裂殖壶菌的DHA含量。肌肉中胶原蛋白含量通过羟脯氨酸含量计算，羟脯氨酸含量采用南京建成生物工程研究所的试剂盒测定，操作过程严格按照说明书进行。</w:t>
      </w:r>
    </w:p>
    <w:p w14:paraId="04987E1E">
      <w:pPr>
        <w:spacing w:before="80" w:after="40" w:line="360" w:lineRule="auto"/>
        <w:rPr>
          <w:sz w:val="24"/>
        </w:rPr>
      </w:pPr>
      <w:r>
        <w:rPr>
          <w:sz w:val="24"/>
        </w:rPr>
        <w:t>1.5.2 肌肉质构特性分析</w:t>
      </w:r>
    </w:p>
    <w:p w14:paraId="692AE770">
      <w:pPr>
        <w:spacing w:line="360" w:lineRule="auto"/>
        <w:ind w:firstLine="420"/>
        <w:rPr>
          <w:sz w:val="24"/>
        </w:rPr>
      </w:pPr>
      <w:r>
        <w:rPr>
          <w:sz w:val="24"/>
        </w:rPr>
        <w:t>使用质构检测分析仪（TMS-Pilot，Food Technology Corporation，美国）质地剖面分析（TPA）模式检测肌肉样品的质构参数。选用P/36R型圆柱平面探头开展测定，取对虾第1腹节肌肉组织样品，样品厚度控制在4.0～5.0 mm。测试参数设定如下</w:t>
      </w:r>
      <w:r>
        <w:rPr>
          <w:rFonts w:ascii="Calibri" w:hAnsi="Calibri"/>
          <w:bCs/>
          <w:szCs w:val="21"/>
        </w:rPr>
        <w:t>：</w:t>
      </w:r>
      <w:r>
        <w:rPr>
          <w:sz w:val="24"/>
        </w:rPr>
        <w:t>检测速率30 mm/min，触发力0.75 N，形变率50%，单次循环位移量2.23 mm，断裂力阈值20.45 N。</w:t>
      </w:r>
    </w:p>
    <w:p w14:paraId="2DFDA9C7">
      <w:pPr>
        <w:spacing w:before="80" w:after="40" w:line="360" w:lineRule="auto"/>
        <w:rPr>
          <w:sz w:val="24"/>
        </w:rPr>
      </w:pPr>
      <w:r>
        <w:rPr>
          <w:sz w:val="24"/>
        </w:rPr>
        <w:t>1.5.3 肌肉持水力测定</w:t>
      </w:r>
    </w:p>
    <w:p w14:paraId="7766F4F5">
      <w:pPr>
        <w:spacing w:line="360" w:lineRule="auto"/>
        <w:ind w:firstLine="420"/>
        <w:rPr>
          <w:sz w:val="24"/>
        </w:rPr>
      </w:pPr>
      <w:r>
        <w:rPr>
          <w:sz w:val="24"/>
        </w:rPr>
        <w:t>肌肉滴水损失率和冷冻渗出率测定参考李雪婷</w:t>
      </w:r>
      <w:r>
        <w:rPr>
          <w:sz w:val="24"/>
          <w:vertAlign w:val="superscript"/>
        </w:rPr>
        <w:t>[11]</w:t>
      </w:r>
      <w:r>
        <w:rPr>
          <w:sz w:val="24"/>
        </w:rPr>
        <w:t>的方法，取2份约3.00 g虾肉分别称重（W</w:t>
      </w:r>
      <w:r>
        <w:rPr>
          <w:sz w:val="24"/>
          <w:vertAlign w:val="subscript"/>
        </w:rPr>
        <w:t>1</w:t>
      </w:r>
      <w:r>
        <w:rPr>
          <w:sz w:val="24"/>
        </w:rPr>
        <w:t>和W</w:t>
      </w:r>
      <w:r>
        <w:rPr>
          <w:sz w:val="24"/>
          <w:vertAlign w:val="subscript"/>
        </w:rPr>
        <w:t>2</w:t>
      </w:r>
      <w:r>
        <w:rPr>
          <w:sz w:val="24"/>
        </w:rPr>
        <w:t>），分别置于4 ℃和－20 ℃冰箱中24 h，拭去表面水分，分别称量末重（W</w:t>
      </w:r>
      <w:r>
        <w:rPr>
          <w:sz w:val="24"/>
          <w:vertAlign w:val="subscript"/>
        </w:rPr>
        <w:t>3</w:t>
      </w:r>
      <w:r>
        <w:rPr>
          <w:sz w:val="24"/>
        </w:rPr>
        <w:t>和W</w:t>
      </w:r>
      <w:r>
        <w:rPr>
          <w:sz w:val="24"/>
          <w:vertAlign w:val="subscript"/>
        </w:rPr>
        <w:t>4</w:t>
      </w:r>
      <w:r>
        <w:rPr>
          <w:sz w:val="24"/>
        </w:rPr>
        <w:t>），计算滴水损失率和冷冻渗出率。计算公式如下</w:t>
      </w:r>
      <w:r>
        <w:rPr>
          <w:rFonts w:ascii="Calibri" w:hAnsi="Calibri"/>
          <w:bCs/>
          <w:szCs w:val="21"/>
        </w:rPr>
        <w:t>：</w:t>
      </w:r>
    </w:p>
    <w:p w14:paraId="43D047A6">
      <w:pPr>
        <w:widowControl/>
        <w:spacing w:line="360" w:lineRule="auto"/>
        <w:ind w:firstLine="420"/>
        <w:jc w:val="left"/>
        <w:rPr>
          <w:sz w:val="24"/>
        </w:rPr>
      </w:pPr>
      <w:r>
        <w:rPr>
          <w:color w:val="000000"/>
          <w:kern w:val="0"/>
          <w:sz w:val="24"/>
          <w:lang w:bidi="ar"/>
        </w:rPr>
        <w:t>滴水损失率（%）=[（W</w:t>
      </w:r>
      <w:r>
        <w:rPr>
          <w:color w:val="000000"/>
          <w:kern w:val="0"/>
          <w:sz w:val="24"/>
          <w:vertAlign w:val="subscript"/>
          <w:lang w:bidi="ar"/>
        </w:rPr>
        <w:t>1</w:t>
      </w:r>
      <w:r>
        <w:rPr>
          <w:color w:val="000000"/>
          <w:kern w:val="0"/>
          <w:sz w:val="24"/>
          <w:lang w:bidi="ar"/>
        </w:rPr>
        <w:t>－W</w:t>
      </w:r>
      <w:r>
        <w:rPr>
          <w:color w:val="000000"/>
          <w:kern w:val="0"/>
          <w:sz w:val="24"/>
          <w:vertAlign w:val="subscript"/>
          <w:lang w:bidi="ar"/>
        </w:rPr>
        <w:t>3</w:t>
      </w:r>
      <w:r>
        <w:rPr>
          <w:color w:val="000000"/>
          <w:kern w:val="0"/>
          <w:sz w:val="24"/>
          <w:lang w:bidi="ar"/>
        </w:rPr>
        <w:t>）/W</w:t>
      </w:r>
      <w:r>
        <w:rPr>
          <w:color w:val="000000"/>
          <w:kern w:val="0"/>
          <w:sz w:val="24"/>
          <w:vertAlign w:val="subscript"/>
          <w:lang w:bidi="ar"/>
        </w:rPr>
        <w:t>1</w:t>
      </w:r>
      <w:r>
        <w:rPr>
          <w:color w:val="000000"/>
          <w:kern w:val="0"/>
          <w:sz w:val="24"/>
          <w:lang w:bidi="ar"/>
        </w:rPr>
        <w:t>]×100</w:t>
      </w:r>
      <w:r>
        <w:rPr>
          <w:rFonts w:hint="eastAsia"/>
          <w:color w:val="000000"/>
          <w:kern w:val="0"/>
          <w:sz w:val="24"/>
          <w:lang w:bidi="ar"/>
        </w:rPr>
        <w:t>；</w:t>
      </w:r>
    </w:p>
    <w:p w14:paraId="285993D5">
      <w:pPr>
        <w:widowControl/>
        <w:spacing w:line="360" w:lineRule="auto"/>
        <w:ind w:firstLine="420"/>
        <w:jc w:val="left"/>
        <w:rPr>
          <w:sz w:val="24"/>
        </w:rPr>
      </w:pPr>
      <w:r>
        <w:rPr>
          <w:color w:val="000000"/>
          <w:kern w:val="0"/>
          <w:sz w:val="24"/>
          <w:lang w:bidi="ar"/>
        </w:rPr>
        <w:t>冷冻渗出率（%）=[（W</w:t>
      </w:r>
      <w:r>
        <w:rPr>
          <w:color w:val="000000"/>
          <w:kern w:val="0"/>
          <w:sz w:val="24"/>
          <w:vertAlign w:val="subscript"/>
          <w:lang w:bidi="ar"/>
        </w:rPr>
        <w:t>2</w:t>
      </w:r>
      <w:r>
        <w:rPr>
          <w:color w:val="000000"/>
          <w:kern w:val="0"/>
          <w:sz w:val="24"/>
          <w:lang w:bidi="ar"/>
        </w:rPr>
        <w:t>－W</w:t>
      </w:r>
      <w:r>
        <w:rPr>
          <w:color w:val="000000"/>
          <w:kern w:val="0"/>
          <w:sz w:val="24"/>
          <w:vertAlign w:val="subscript"/>
          <w:lang w:bidi="ar"/>
        </w:rPr>
        <w:t>4</w:t>
      </w:r>
      <w:r>
        <w:rPr>
          <w:color w:val="000000"/>
          <w:kern w:val="0"/>
          <w:sz w:val="24"/>
          <w:lang w:bidi="ar"/>
        </w:rPr>
        <w:t>）/W</w:t>
      </w:r>
      <w:r>
        <w:rPr>
          <w:color w:val="000000"/>
          <w:kern w:val="0"/>
          <w:sz w:val="24"/>
          <w:vertAlign w:val="subscript"/>
          <w:lang w:bidi="ar"/>
        </w:rPr>
        <w:t>2</w:t>
      </w:r>
      <w:r>
        <w:rPr>
          <w:color w:val="000000"/>
          <w:kern w:val="0"/>
          <w:sz w:val="24"/>
          <w:lang w:bidi="ar"/>
        </w:rPr>
        <w:t>]×100。</w:t>
      </w:r>
    </w:p>
    <w:p w14:paraId="0F8914C5">
      <w:pPr>
        <w:spacing w:line="360" w:lineRule="auto"/>
        <w:ind w:firstLine="420"/>
        <w:rPr>
          <w:sz w:val="24"/>
        </w:rPr>
      </w:pPr>
      <w:r>
        <w:rPr>
          <w:sz w:val="24"/>
        </w:rPr>
        <w:t>肌肉蒸煮损失率测定</w:t>
      </w:r>
      <w:r>
        <w:rPr>
          <w:rFonts w:ascii="Calibri" w:hAnsi="Calibri"/>
          <w:bCs/>
          <w:szCs w:val="21"/>
        </w:rPr>
        <w:t>：</w:t>
      </w:r>
      <w:r>
        <w:rPr>
          <w:sz w:val="24"/>
        </w:rPr>
        <w:t>取3.00 g虾肉至5 mL离心管中，称重（W</w:t>
      </w:r>
      <w:r>
        <w:rPr>
          <w:sz w:val="24"/>
          <w:vertAlign w:val="subscript"/>
        </w:rPr>
        <w:t>5</w:t>
      </w:r>
      <w:r>
        <w:rPr>
          <w:sz w:val="24"/>
        </w:rPr>
        <w:t>），将离心管盖剪掉，用封口膜将离心管管口封好，并在封口膜上扎个通气孔，后放入75 ℃水浴锅中水浴15 min，吸干肌肉表面水分后称重（W</w:t>
      </w:r>
      <w:r>
        <w:rPr>
          <w:sz w:val="24"/>
          <w:vertAlign w:val="subscript"/>
        </w:rPr>
        <w:t>6</w:t>
      </w:r>
      <w:r>
        <w:rPr>
          <w:sz w:val="24"/>
        </w:rPr>
        <w:t>）。计算公式如下</w:t>
      </w:r>
      <w:r>
        <w:rPr>
          <w:rFonts w:ascii="Calibri" w:hAnsi="Calibri"/>
          <w:bCs/>
          <w:szCs w:val="21"/>
        </w:rPr>
        <w:t>：</w:t>
      </w:r>
    </w:p>
    <w:p w14:paraId="18EE7A7F">
      <w:pPr>
        <w:spacing w:line="360" w:lineRule="auto"/>
        <w:ind w:firstLine="420"/>
        <w:rPr>
          <w:sz w:val="24"/>
        </w:rPr>
      </w:pPr>
      <w:r>
        <w:rPr>
          <w:sz w:val="24"/>
        </w:rPr>
        <w:t>蒸煮损失率（%）=[（W</w:t>
      </w:r>
      <w:r>
        <w:rPr>
          <w:sz w:val="24"/>
          <w:vertAlign w:val="subscript"/>
        </w:rPr>
        <w:t>5</w:t>
      </w:r>
      <w:r>
        <w:rPr>
          <w:sz w:val="24"/>
        </w:rPr>
        <w:t>－W</w:t>
      </w:r>
      <w:r>
        <w:rPr>
          <w:sz w:val="24"/>
          <w:vertAlign w:val="subscript"/>
        </w:rPr>
        <w:t>6</w:t>
      </w:r>
      <w:r>
        <w:rPr>
          <w:sz w:val="24"/>
        </w:rPr>
        <w:t>）/W</w:t>
      </w:r>
      <w:r>
        <w:rPr>
          <w:sz w:val="24"/>
          <w:vertAlign w:val="subscript"/>
        </w:rPr>
        <w:t>5</w:t>
      </w:r>
      <w:r>
        <w:rPr>
          <w:sz w:val="24"/>
        </w:rPr>
        <w:t>]×100。</w:t>
      </w:r>
    </w:p>
    <w:p w14:paraId="0FDE2511">
      <w:pPr>
        <w:spacing w:before="80" w:after="40" w:line="360" w:lineRule="auto"/>
        <w:rPr>
          <w:sz w:val="24"/>
        </w:rPr>
      </w:pPr>
      <w:r>
        <w:rPr>
          <w:sz w:val="24"/>
        </w:rPr>
        <w:t>1.5.4 肌肉抗氧化指标测定</w:t>
      </w:r>
    </w:p>
    <w:p w14:paraId="5840C93A">
      <w:pPr>
        <w:spacing w:line="360" w:lineRule="auto"/>
        <w:ind w:firstLine="420"/>
        <w:rPr>
          <w:sz w:val="24"/>
        </w:rPr>
      </w:pPr>
      <w:r>
        <w:rPr>
          <w:sz w:val="24"/>
        </w:rPr>
        <w:t>取肌肉组织匀浆上清液测定抗氧化指标，包括丙二醛（MDA）含量及总抗氧化能力（T-AOC）。上述指标采用南京建成生物工程研究所试剂盒进行测定，测定方法按照试剂盒说明书进行。</w:t>
      </w:r>
    </w:p>
    <w:p w14:paraId="48749DEC">
      <w:pPr>
        <w:spacing w:before="80" w:after="40" w:line="360" w:lineRule="auto"/>
        <w:rPr>
          <w:sz w:val="24"/>
        </w:rPr>
      </w:pPr>
      <w:r>
        <w:rPr>
          <w:sz w:val="24"/>
        </w:rPr>
        <w:t>1.5.5 肌肉组织学测定</w:t>
      </w:r>
    </w:p>
    <w:p w14:paraId="3CDB3722">
      <w:pPr>
        <w:spacing w:line="360" w:lineRule="auto"/>
        <w:ind w:firstLine="420"/>
        <w:rPr>
          <w:sz w:val="24"/>
        </w:rPr>
      </w:pPr>
      <w:r>
        <w:rPr>
          <w:sz w:val="24"/>
        </w:rPr>
        <w:t>取肌肉组织样品，用固定液进行固定，然后进行肌肉组织包埋、切片，再通过苏木精－伊红（HE）染色，处理完毕后用DM 2500 LED光学显微镜（Leica，德国）进行观测，然后使用Image J软件测定肌纤维直径。</w:t>
      </w:r>
    </w:p>
    <w:p w14:paraId="40DEE95F">
      <w:pPr>
        <w:spacing w:before="80" w:after="40" w:line="360" w:lineRule="auto"/>
        <w:rPr>
          <w:sz w:val="24"/>
        </w:rPr>
      </w:pPr>
      <w:r>
        <w:rPr>
          <w:sz w:val="24"/>
        </w:rPr>
        <w:t>1.5.6 肌肉基因表达测定</w:t>
      </w:r>
    </w:p>
    <w:p w14:paraId="42ABA912">
      <w:pPr>
        <w:spacing w:line="360" w:lineRule="auto"/>
        <w:ind w:firstLine="420"/>
        <w:rPr>
          <w:sz w:val="24"/>
        </w:rPr>
      </w:pPr>
      <w:r>
        <w:rPr>
          <w:sz w:val="24"/>
        </w:rPr>
        <w:t>提取肌肉组织的总RNA，并检测RNA完整性，然后测定RNA纯度和浓度，用荧光定量PCR（qPCR）检测和定量RNA特定序列，采用geNorm算法筛选内参基因，以甘油醛－3－磷酸脱氢酶（</w:t>
      </w:r>
      <w:r>
        <w:rPr>
          <w:i/>
          <w:iCs/>
          <w:sz w:val="24"/>
        </w:rPr>
        <w:t>GAPDH</w:t>
      </w:r>
      <w:r>
        <w:rPr>
          <w:sz w:val="24"/>
        </w:rPr>
        <w:t>）和TATA结合蛋白（</w:t>
      </w:r>
      <w:r>
        <w:rPr>
          <w:i/>
          <w:iCs/>
          <w:sz w:val="24"/>
        </w:rPr>
        <w:t>TBP</w:t>
      </w:r>
      <w:r>
        <w:rPr>
          <w:sz w:val="24"/>
        </w:rPr>
        <w:t>）作为最优内参基因组合，目的基因相对表达量以2个内参基因的几何平均值进行标准化。引物序列由生工生物工程（上海）股份有限公司合成，引物序列信息见表3。PCR反应体系配制如下</w:t>
      </w:r>
      <w:r>
        <w:rPr>
          <w:rFonts w:ascii="Calibri" w:hAnsi="Calibri"/>
          <w:bCs/>
          <w:szCs w:val="21"/>
        </w:rPr>
        <w:t>：</w:t>
      </w:r>
      <w:r>
        <w:rPr>
          <w:sz w:val="24"/>
        </w:rPr>
        <w:t xml:space="preserve">取1 </w:t>
      </w:r>
      <w:r>
        <w:rPr>
          <w:sz w:val="24"/>
          <w:lang w:eastAsia="en-US"/>
        </w:rPr>
        <w:t>μ</w:t>
      </w:r>
      <w:r>
        <w:rPr>
          <w:sz w:val="24"/>
        </w:rPr>
        <w:t xml:space="preserve">L逆转录产物，加入3.6 </w:t>
      </w:r>
      <w:r>
        <w:rPr>
          <w:sz w:val="24"/>
          <w:lang w:eastAsia="en-US"/>
        </w:rPr>
        <w:t>μ</w:t>
      </w:r>
      <w:r>
        <w:rPr>
          <w:sz w:val="24"/>
        </w:rPr>
        <w:t xml:space="preserve">L无菌水，随后依次加入0.2 </w:t>
      </w:r>
      <w:r>
        <w:rPr>
          <w:sz w:val="24"/>
          <w:lang w:eastAsia="en-US"/>
        </w:rPr>
        <w:t>μ</w:t>
      </w:r>
      <w:r>
        <w:rPr>
          <w:sz w:val="24"/>
        </w:rPr>
        <w:t xml:space="preserve">L正向引物、0.2 </w:t>
      </w:r>
      <w:r>
        <w:rPr>
          <w:sz w:val="24"/>
          <w:lang w:eastAsia="en-US"/>
        </w:rPr>
        <w:t>μ</w:t>
      </w:r>
      <w:r>
        <w:rPr>
          <w:sz w:val="24"/>
        </w:rPr>
        <w:t xml:space="preserve">L反向引物以及5 </w:t>
      </w:r>
      <w:r>
        <w:rPr>
          <w:sz w:val="24"/>
          <w:lang w:eastAsia="en-US"/>
        </w:rPr>
        <w:t>μ</w:t>
      </w:r>
      <w:r>
        <w:rPr>
          <w:sz w:val="24"/>
        </w:rPr>
        <w:t>L 2×ChamQ Universal SYBR qPCR M aster Mix（购自南京诺唯赞生物科技股份有限公司），充分混匀后，使用CFX96 Touch荧光定量PCR仪（Bio-Rad，美国）进行检测。扩增程序设置为</w:t>
      </w:r>
      <w:r>
        <w:rPr>
          <w:rFonts w:ascii="Calibri" w:hAnsi="Calibri"/>
          <w:bCs/>
          <w:szCs w:val="21"/>
        </w:rPr>
        <w:t>：</w:t>
      </w:r>
      <w:r>
        <w:rPr>
          <w:sz w:val="24"/>
        </w:rPr>
        <w:t>首先在95 ℃预变性10 min;随后进行40个循环的扩增，每个循环包括95 ℃变性5 s和60 ℃退火延伸15 s这2个步骤，并在每个循环结束时采集荧光信号。采用2</w:t>
      </w:r>
      <w:r>
        <w:rPr>
          <w:sz w:val="24"/>
          <w:vertAlign w:val="superscript"/>
        </w:rPr>
        <w:t>-</w:t>
      </w:r>
      <w:r>
        <w:rPr>
          <w:sz w:val="24"/>
          <w:vertAlign w:val="superscript"/>
          <w:lang w:eastAsia="en-US"/>
        </w:rPr>
        <w:t>ΔΔ</w:t>
      </w:r>
      <w:r>
        <w:rPr>
          <w:sz w:val="24"/>
          <w:vertAlign w:val="superscript"/>
        </w:rPr>
        <w:t>Ct</w:t>
      </w:r>
      <w:r>
        <w:rPr>
          <w:sz w:val="24"/>
        </w:rPr>
        <w:t>法计算目的基因mRNA相对表达量。</w:t>
      </w:r>
    </w:p>
    <w:p w14:paraId="4E81DCEC">
      <w:pPr>
        <w:spacing w:line="360" w:lineRule="auto"/>
        <w:jc w:val="center"/>
        <w:rPr>
          <w:sz w:val="24"/>
          <w:lang w:eastAsia="en-US"/>
        </w:rPr>
      </w:pPr>
      <w:r>
        <w:rPr>
          <w:sz w:val="24"/>
        </w:rPr>
        <w:drawing>
          <wp:inline distT="0" distB="0" distL="114300" distR="114300">
            <wp:extent cx="3959860" cy="276923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7"/>
                    <a:srcRect b="40189"/>
                    <a:stretch>
                      <a:fillRect/>
                    </a:stretch>
                  </pic:blipFill>
                  <pic:spPr>
                    <a:xfrm>
                      <a:off x="0" y="0"/>
                      <a:ext cx="3960000" cy="2769321"/>
                    </a:xfrm>
                    <a:prstGeom prst="rect">
                      <a:avLst/>
                    </a:prstGeom>
                    <a:noFill/>
                    <a:ln>
                      <a:noFill/>
                    </a:ln>
                  </pic:spPr>
                </pic:pic>
              </a:graphicData>
            </a:graphic>
          </wp:inline>
        </w:drawing>
      </w:r>
    </w:p>
    <w:p w14:paraId="67052B37">
      <w:pPr>
        <w:spacing w:line="360" w:lineRule="auto"/>
        <w:jc w:val="center"/>
        <w:rPr>
          <w:sz w:val="24"/>
        </w:rPr>
      </w:pPr>
      <w:r>
        <w:rPr>
          <w:sz w:val="24"/>
        </w:rPr>
        <w:drawing>
          <wp:inline distT="0" distB="0" distL="114300" distR="114300">
            <wp:extent cx="3959860" cy="71374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7"/>
                    <a:srcRect t="84588"/>
                    <a:stretch>
                      <a:fillRect/>
                    </a:stretch>
                  </pic:blipFill>
                  <pic:spPr>
                    <a:xfrm>
                      <a:off x="0" y="0"/>
                      <a:ext cx="3960000" cy="713743"/>
                    </a:xfrm>
                    <a:prstGeom prst="rect">
                      <a:avLst/>
                    </a:prstGeom>
                    <a:noFill/>
                    <a:ln>
                      <a:noFill/>
                    </a:ln>
                  </pic:spPr>
                </pic:pic>
              </a:graphicData>
            </a:graphic>
          </wp:inline>
        </w:drawing>
      </w:r>
    </w:p>
    <w:p w14:paraId="4C57C2E2">
      <w:pPr>
        <w:spacing w:before="120" w:after="60" w:line="360" w:lineRule="auto"/>
        <w:rPr>
          <w:sz w:val="24"/>
        </w:rPr>
      </w:pPr>
      <w:r>
        <w:rPr>
          <w:sz w:val="24"/>
        </w:rPr>
        <w:t>1.6 数据统计分析</w:t>
      </w:r>
    </w:p>
    <w:p w14:paraId="5DDC3323">
      <w:pPr>
        <w:spacing w:line="360" w:lineRule="auto"/>
        <w:ind w:firstLine="420"/>
        <w:rPr>
          <w:sz w:val="24"/>
        </w:rPr>
      </w:pPr>
      <w:r>
        <w:rPr>
          <w:sz w:val="24"/>
        </w:rPr>
        <w:t>采用SPSS 26.0软件对数据进行单因素方差分析，并采用Duncan氏法进行多重比较，结果用“平均值±标准差（mean±SD）”表示，</w:t>
      </w:r>
      <w:r>
        <w:rPr>
          <w:i/>
          <w:iCs/>
          <w:sz w:val="24"/>
        </w:rPr>
        <w:t>P</w:t>
      </w:r>
      <w:r>
        <w:rPr>
          <w:sz w:val="24"/>
        </w:rPr>
        <w:t>＜0.05表示差异显著。</w:t>
      </w:r>
    </w:p>
    <w:p w14:paraId="63A2BA27">
      <w:pPr>
        <w:spacing w:before="160" w:after="80" w:line="360" w:lineRule="auto"/>
        <w:rPr>
          <w:sz w:val="24"/>
        </w:rPr>
      </w:pPr>
      <w:r>
        <w:rPr>
          <w:sz w:val="24"/>
        </w:rPr>
        <w:t>2 结果</w:t>
      </w:r>
    </w:p>
    <w:p w14:paraId="74CC4E58">
      <w:pPr>
        <w:spacing w:before="120" w:after="60" w:line="360" w:lineRule="auto"/>
        <w:rPr>
          <w:sz w:val="24"/>
        </w:rPr>
      </w:pPr>
      <w:r>
        <w:rPr>
          <w:sz w:val="24"/>
        </w:rPr>
        <w:t>2.1 饲料添加不同形式裂殖壶菌对凡纳滨对虾肌肉常规营养物质和胶原蛋白含量及持水力的影响</w:t>
      </w:r>
    </w:p>
    <w:p w14:paraId="5CE6808D">
      <w:pPr>
        <w:spacing w:line="360" w:lineRule="auto"/>
        <w:ind w:firstLine="420"/>
        <w:rPr>
          <w:sz w:val="24"/>
        </w:rPr>
      </w:pPr>
      <w:r>
        <w:rPr>
          <w:sz w:val="24"/>
        </w:rPr>
        <w:t>由表4可知，各组间肌肉水分、粗脂肪、粗灰分含量无显著差异（</w:t>
      </w:r>
      <w:r>
        <w:rPr>
          <w:i/>
          <w:iCs/>
          <w:sz w:val="24"/>
        </w:rPr>
        <w:t>P</w:t>
      </w:r>
      <w:r>
        <w:rPr>
          <w:sz w:val="24"/>
        </w:rPr>
        <w:t>＞0.05）;SL1组、SL2组肌肉粗蛋白质和胶原蛋白含量显著高于CON组（</w:t>
      </w:r>
      <w:r>
        <w:rPr>
          <w:i/>
          <w:iCs/>
          <w:sz w:val="24"/>
        </w:rPr>
        <w:t>P</w:t>
      </w:r>
      <w:r>
        <w:rPr>
          <w:sz w:val="24"/>
        </w:rPr>
        <w:t>＜0.05），且SL2组肌肉胶原蛋白含量显著高于SL1组（</w:t>
      </w:r>
      <w:r>
        <w:rPr>
          <w:i/>
          <w:iCs/>
          <w:sz w:val="24"/>
        </w:rPr>
        <w:t>P</w:t>
      </w:r>
      <w:r>
        <w:rPr>
          <w:sz w:val="24"/>
        </w:rPr>
        <w:t>＜0.05）。与CON组相比，SL1组、SL2组肌肉蒸煮损失率均显著降低（</w:t>
      </w:r>
      <w:r>
        <w:rPr>
          <w:i/>
          <w:iCs/>
          <w:sz w:val="24"/>
        </w:rPr>
        <w:t>P</w:t>
      </w:r>
      <w:r>
        <w:rPr>
          <w:sz w:val="24"/>
        </w:rPr>
        <w:t>＜0.05）;各组间肌肉滴水损失率和冷冻渗出率无显著差异（</w:t>
      </w:r>
      <w:r>
        <w:rPr>
          <w:i/>
          <w:iCs/>
          <w:sz w:val="24"/>
        </w:rPr>
        <w:t>P</w:t>
      </w:r>
      <w:r>
        <w:rPr>
          <w:sz w:val="24"/>
        </w:rPr>
        <w:t>＞0.05）。</w:t>
      </w:r>
    </w:p>
    <w:p w14:paraId="11DE815C">
      <w:pPr>
        <w:spacing w:before="120" w:after="60" w:line="360" w:lineRule="auto"/>
        <w:rPr>
          <w:sz w:val="24"/>
        </w:rPr>
      </w:pPr>
      <w:r>
        <w:rPr>
          <w:sz w:val="24"/>
        </w:rPr>
        <w:t>2.2 饲料添加不同形式裂殖壶菌对凡纳滨对虾肌肉质构特性的影响</w:t>
      </w:r>
    </w:p>
    <w:p w14:paraId="20155BA0">
      <w:pPr>
        <w:spacing w:line="360" w:lineRule="auto"/>
        <w:ind w:firstLine="420"/>
        <w:rPr>
          <w:sz w:val="24"/>
        </w:rPr>
      </w:pPr>
      <w:r>
        <w:rPr>
          <w:sz w:val="24"/>
        </w:rPr>
        <w:t>由表5可知，与CON组相比，SL1组肌肉内聚性显著升高（</w:t>
      </w:r>
      <w:r>
        <w:rPr>
          <w:i/>
          <w:iCs/>
          <w:sz w:val="24"/>
        </w:rPr>
        <w:t>P</w:t>
      </w:r>
      <w:r>
        <w:rPr>
          <w:sz w:val="24"/>
        </w:rPr>
        <w:t>＜0.05），硬度、弹性、胶黏性、咀嚼性、黏附性均无显著差异（</w:t>
      </w:r>
      <w:r>
        <w:rPr>
          <w:i/>
          <w:iCs/>
          <w:sz w:val="24"/>
        </w:rPr>
        <w:t>P</w:t>
      </w:r>
      <w:r>
        <w:rPr>
          <w:sz w:val="24"/>
        </w:rPr>
        <w:t>＞0.05）;SL2组肌肉硬度、胶黏性、咀嚼性、内聚性均显著升高（</w:t>
      </w:r>
      <w:r>
        <w:rPr>
          <w:i/>
          <w:iCs/>
          <w:sz w:val="24"/>
        </w:rPr>
        <w:t>P</w:t>
      </w:r>
      <w:r>
        <w:rPr>
          <w:sz w:val="24"/>
        </w:rPr>
        <w:t>＜0.05），弹性、黏附性无显著差异（</w:t>
      </w:r>
      <w:r>
        <w:rPr>
          <w:i/>
          <w:iCs/>
          <w:sz w:val="24"/>
        </w:rPr>
        <w:t>P</w:t>
      </w:r>
      <w:r>
        <w:rPr>
          <w:sz w:val="24"/>
        </w:rPr>
        <w:t>＞0.05）。</w:t>
      </w:r>
    </w:p>
    <w:p w14:paraId="6E68BB40">
      <w:pPr>
        <w:spacing w:line="360" w:lineRule="auto"/>
        <w:ind w:firstLine="420"/>
        <w:jc w:val="center"/>
        <w:rPr>
          <w:sz w:val="24"/>
        </w:rPr>
      </w:pPr>
      <w:r>
        <w:rPr>
          <w:sz w:val="24"/>
        </w:rPr>
        <w:drawing>
          <wp:inline distT="0" distB="0" distL="114300" distR="114300">
            <wp:extent cx="3599815" cy="1716405"/>
            <wp:effectExtent l="0" t="0" r="635" b="0"/>
            <wp:docPr id="1851674681" name="图片 185167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74681" name="图片 1851674681"/>
                    <pic:cNvPicPr>
                      <a:picLocks noChangeAspect="1"/>
                    </pic:cNvPicPr>
                  </pic:nvPicPr>
                  <pic:blipFill>
                    <a:blip r:embed="rId38"/>
                    <a:srcRect l="2384" r="10945"/>
                    <a:stretch>
                      <a:fillRect/>
                    </a:stretch>
                  </pic:blipFill>
                  <pic:spPr>
                    <a:xfrm>
                      <a:off x="0" y="0"/>
                      <a:ext cx="3600000" cy="1716415"/>
                    </a:xfrm>
                    <a:prstGeom prst="rect">
                      <a:avLst/>
                    </a:prstGeom>
                    <a:noFill/>
                    <a:ln>
                      <a:noFill/>
                    </a:ln>
                  </pic:spPr>
                </pic:pic>
              </a:graphicData>
            </a:graphic>
          </wp:inline>
        </w:drawing>
      </w:r>
      <w:r>
        <w:rPr>
          <w:sz w:val="24"/>
        </w:rPr>
        <w:drawing>
          <wp:inline distT="0" distB="0" distL="114300" distR="114300">
            <wp:extent cx="3599815" cy="1290955"/>
            <wp:effectExtent l="0" t="0" r="635" b="4445"/>
            <wp:docPr id="824518723" name="图片 82451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518723" name="图片 824518723"/>
                    <pic:cNvPicPr>
                      <a:picLocks noChangeAspect="1"/>
                    </pic:cNvPicPr>
                  </pic:nvPicPr>
                  <pic:blipFill>
                    <a:blip r:embed="rId39"/>
                    <a:stretch>
                      <a:fillRect/>
                    </a:stretch>
                  </pic:blipFill>
                  <pic:spPr>
                    <a:xfrm>
                      <a:off x="0" y="0"/>
                      <a:ext cx="3600000" cy="1291271"/>
                    </a:xfrm>
                    <a:prstGeom prst="rect">
                      <a:avLst/>
                    </a:prstGeom>
                    <a:noFill/>
                    <a:ln>
                      <a:noFill/>
                    </a:ln>
                  </pic:spPr>
                </pic:pic>
              </a:graphicData>
            </a:graphic>
          </wp:inline>
        </w:drawing>
      </w:r>
    </w:p>
    <w:p w14:paraId="42E473F2">
      <w:pPr>
        <w:spacing w:line="360" w:lineRule="auto"/>
        <w:rPr>
          <w:sz w:val="24"/>
        </w:rPr>
      </w:pPr>
      <w:r>
        <w:rPr>
          <w:sz w:val="24"/>
        </w:rPr>
        <w:t>2.3 饲料添加不同形式裂殖壶菌对凡纳滨对虾肌肉品质性状相关基因表达的影响</w:t>
      </w:r>
    </w:p>
    <w:p w14:paraId="5140E1C1">
      <w:pPr>
        <w:spacing w:line="360" w:lineRule="auto"/>
        <w:ind w:firstLine="420"/>
        <w:rPr>
          <w:sz w:val="24"/>
        </w:rPr>
      </w:pPr>
      <w:r>
        <w:rPr>
          <w:sz w:val="24"/>
        </w:rPr>
        <w:t>由图1可知，与CON组相比，SL1组肌肉丝氨酸/苏氨酸蛋白激酶（</w:t>
      </w:r>
      <w:r>
        <w:rPr>
          <w:i/>
          <w:iCs/>
          <w:sz w:val="24"/>
        </w:rPr>
        <w:t>AKT</w:t>
      </w:r>
      <w:r>
        <w:rPr>
          <w:sz w:val="24"/>
        </w:rPr>
        <w:t>）、雷帕霉素机械性靶蛋白（</w:t>
      </w:r>
      <w:r>
        <w:rPr>
          <w:i/>
          <w:iCs/>
          <w:sz w:val="24"/>
        </w:rPr>
        <w:t>mTOR</w:t>
      </w:r>
      <w:r>
        <w:rPr>
          <w:sz w:val="24"/>
        </w:rPr>
        <w:t>）、核糖体蛋白S6激酶1（</w:t>
      </w:r>
      <w:r>
        <w:rPr>
          <w:i/>
          <w:iCs/>
          <w:sz w:val="24"/>
        </w:rPr>
        <w:t>S6K1</w:t>
      </w:r>
      <w:r>
        <w:rPr>
          <w:sz w:val="24"/>
        </w:rPr>
        <w:t>）、真核翻译起始因子4E2（</w:t>
      </w:r>
      <w:r>
        <w:rPr>
          <w:i/>
          <w:iCs/>
          <w:sz w:val="24"/>
        </w:rPr>
        <w:t>EIF4E2</w:t>
      </w:r>
      <w:r>
        <w:rPr>
          <w:sz w:val="24"/>
        </w:rPr>
        <w:t>）的mRNA相对表达量均显著升高（</w:t>
      </w:r>
      <w:r>
        <w:rPr>
          <w:i/>
          <w:iCs/>
          <w:sz w:val="24"/>
        </w:rPr>
        <w:t>P</w:t>
      </w:r>
      <w:r>
        <w:rPr>
          <w:sz w:val="24"/>
        </w:rPr>
        <w:t>＜0.05），肌肉磷脂酰肌醇－3－激酶（</w:t>
      </w:r>
      <w:r>
        <w:rPr>
          <w:i/>
          <w:iCs/>
          <w:sz w:val="24"/>
        </w:rPr>
        <w:t>PI3K</w:t>
      </w:r>
      <w:r>
        <w:rPr>
          <w:sz w:val="24"/>
        </w:rPr>
        <w:t>）的mRNA相对表达量无显著差异（</w:t>
      </w:r>
      <w:r>
        <w:rPr>
          <w:i/>
          <w:iCs/>
          <w:sz w:val="24"/>
        </w:rPr>
        <w:t>P</w:t>
      </w:r>
      <w:r>
        <w:rPr>
          <w:sz w:val="24"/>
        </w:rPr>
        <w:t>＞0.05）;SL2组肌肉</w:t>
      </w:r>
      <w:r>
        <w:rPr>
          <w:i/>
          <w:iCs/>
          <w:sz w:val="24"/>
        </w:rPr>
        <w:t>AKT、PI3K、mTOR、S6K1、EIF4E2</w:t>
      </w:r>
      <w:r>
        <w:rPr>
          <w:sz w:val="24"/>
        </w:rPr>
        <w:t>的mRNA相对表达量均显著升高（</w:t>
      </w:r>
      <w:r>
        <w:rPr>
          <w:i/>
          <w:iCs/>
          <w:sz w:val="24"/>
        </w:rPr>
        <w:t>P</w:t>
      </w:r>
      <w:r>
        <w:rPr>
          <w:sz w:val="24"/>
        </w:rPr>
        <w:t>＜0.05）。与CON组相比，SL1组和SL2组肌肉转化生长因子-</w:t>
      </w:r>
      <w:r>
        <w:rPr>
          <w:sz w:val="24"/>
          <w:lang w:eastAsia="en-US"/>
        </w:rPr>
        <w:t>β</w:t>
      </w:r>
      <w:r>
        <w:rPr>
          <w:sz w:val="24"/>
        </w:rPr>
        <w:t>（</w:t>
      </w:r>
      <w:r>
        <w:rPr>
          <w:i/>
          <w:iCs/>
          <w:sz w:val="24"/>
        </w:rPr>
        <w:t>TGF-</w:t>
      </w:r>
      <w:r>
        <w:rPr>
          <w:i/>
          <w:iCs/>
          <w:sz w:val="24"/>
          <w:lang w:eastAsia="en-US"/>
        </w:rPr>
        <w:t>β</w:t>
      </w:r>
      <w:r>
        <w:rPr>
          <w:sz w:val="24"/>
        </w:rPr>
        <w:t>）、肌钙蛋白C（</w:t>
      </w:r>
      <w:r>
        <w:rPr>
          <w:i/>
          <w:iCs/>
          <w:sz w:val="24"/>
        </w:rPr>
        <w:t>TNNC</w:t>
      </w:r>
      <w:r>
        <w:rPr>
          <w:sz w:val="24"/>
        </w:rPr>
        <w:t>）、肌球蛋白轻链（</w:t>
      </w:r>
      <w:r>
        <w:rPr>
          <w:i/>
          <w:iCs/>
          <w:sz w:val="24"/>
        </w:rPr>
        <w:t>MYLC</w:t>
      </w:r>
      <w:r>
        <w:rPr>
          <w:sz w:val="24"/>
        </w:rPr>
        <w:t>）的mRNA相对表达量均显著升高（</w:t>
      </w:r>
      <w:r>
        <w:rPr>
          <w:i/>
          <w:iCs/>
          <w:sz w:val="24"/>
        </w:rPr>
        <w:t>P</w:t>
      </w:r>
      <w:r>
        <w:rPr>
          <w:sz w:val="24"/>
        </w:rPr>
        <w:t>＜0.05）。</w:t>
      </w:r>
    </w:p>
    <w:p w14:paraId="412196F5">
      <w:pPr>
        <w:spacing w:line="360" w:lineRule="auto"/>
        <w:jc w:val="center"/>
        <w:rPr>
          <w:sz w:val="24"/>
        </w:rPr>
      </w:pPr>
      <w:r>
        <w:rPr>
          <w:sz w:val="24"/>
        </w:rPr>
        <w:drawing>
          <wp:inline distT="0" distB="0" distL="114300" distR="114300">
            <wp:extent cx="2159635" cy="1282700"/>
            <wp:effectExtent l="0" t="0" r="0" b="0"/>
            <wp:docPr id="1823343986" name="图片 1823343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43986" name="图片 1823343986"/>
                    <pic:cNvPicPr>
                      <a:picLocks noChangeAspect="1"/>
                    </pic:cNvPicPr>
                  </pic:nvPicPr>
                  <pic:blipFill>
                    <a:blip r:embed="rId40"/>
                    <a:srcRect t="1" b="66739"/>
                    <a:stretch>
                      <a:fillRect/>
                    </a:stretch>
                  </pic:blipFill>
                  <pic:spPr>
                    <a:xfrm>
                      <a:off x="0" y="0"/>
                      <a:ext cx="2160000" cy="1283250"/>
                    </a:xfrm>
                    <a:prstGeom prst="rect">
                      <a:avLst/>
                    </a:prstGeom>
                    <a:noFill/>
                    <a:ln>
                      <a:noFill/>
                    </a:ln>
                  </pic:spPr>
                </pic:pic>
              </a:graphicData>
            </a:graphic>
          </wp:inline>
        </w:drawing>
      </w:r>
      <w:r>
        <w:rPr>
          <w:sz w:val="24"/>
        </w:rPr>
        <w:drawing>
          <wp:inline distT="0" distB="0" distL="114300" distR="114300">
            <wp:extent cx="2159635" cy="963295"/>
            <wp:effectExtent l="0" t="0" r="0" b="8255"/>
            <wp:docPr id="1095566025" name="图片 1095566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66025" name="图片 1095566025"/>
                    <pic:cNvPicPr>
                      <a:picLocks noChangeAspect="1"/>
                    </pic:cNvPicPr>
                  </pic:nvPicPr>
                  <pic:blipFill>
                    <a:blip r:embed="rId40"/>
                    <a:srcRect t="33359" b="41662"/>
                    <a:stretch>
                      <a:fillRect/>
                    </a:stretch>
                  </pic:blipFill>
                  <pic:spPr>
                    <a:xfrm>
                      <a:off x="0" y="0"/>
                      <a:ext cx="2160000" cy="963729"/>
                    </a:xfrm>
                    <a:prstGeom prst="rect">
                      <a:avLst/>
                    </a:prstGeom>
                    <a:noFill/>
                    <a:ln>
                      <a:noFill/>
                    </a:ln>
                  </pic:spPr>
                </pic:pic>
              </a:graphicData>
            </a:graphic>
          </wp:inline>
        </w:drawing>
      </w:r>
    </w:p>
    <w:p w14:paraId="40A919C8">
      <w:pPr>
        <w:spacing w:line="360" w:lineRule="auto"/>
        <w:jc w:val="center"/>
        <w:rPr>
          <w:sz w:val="24"/>
        </w:rPr>
      </w:pPr>
      <w:r>
        <w:rPr>
          <w:sz w:val="24"/>
        </w:rPr>
        <w:drawing>
          <wp:inline distT="0" distB="0" distL="114300" distR="114300">
            <wp:extent cx="1763395" cy="1277620"/>
            <wp:effectExtent l="0" t="0" r="8255" b="0"/>
            <wp:docPr id="180215404" name="图片 18021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15404" name="图片 180215404"/>
                    <pic:cNvPicPr>
                      <a:picLocks noChangeAspect="1"/>
                    </pic:cNvPicPr>
                  </pic:nvPicPr>
                  <pic:blipFill>
                    <a:blip r:embed="rId40"/>
                    <a:srcRect t="59451"/>
                    <a:stretch>
                      <a:fillRect/>
                    </a:stretch>
                  </pic:blipFill>
                  <pic:spPr>
                    <a:xfrm>
                      <a:off x="0" y="0"/>
                      <a:ext cx="1764000" cy="1277662"/>
                    </a:xfrm>
                    <a:prstGeom prst="rect">
                      <a:avLst/>
                    </a:prstGeom>
                    <a:noFill/>
                    <a:ln>
                      <a:noFill/>
                    </a:ln>
                  </pic:spPr>
                </pic:pic>
              </a:graphicData>
            </a:graphic>
          </wp:inline>
        </w:drawing>
      </w:r>
    </w:p>
    <w:p w14:paraId="324EF343">
      <w:pPr>
        <w:spacing w:before="120" w:after="60" w:line="360" w:lineRule="auto"/>
        <w:rPr>
          <w:snapToGrid w:val="0"/>
          <w:color w:val="000000"/>
          <w:kern w:val="0"/>
          <w:sz w:val="24"/>
        </w:rPr>
      </w:pPr>
      <w:r>
        <w:rPr>
          <w:sz w:val="24"/>
        </w:rPr>
        <w:t>2.4 饲料添加不同形式裂殖壶菌对凡纳滨对虾肌肉抗氧化指标及抗氧化相关</w:t>
      </w:r>
      <w:r>
        <w:rPr>
          <w:snapToGrid w:val="0"/>
          <w:color w:val="000000"/>
          <w:spacing w:val="14"/>
          <w:kern w:val="0"/>
          <w:sz w:val="24"/>
        </w:rPr>
        <w:t>基因表达的影响</w:t>
      </w:r>
    </w:p>
    <w:p w14:paraId="19D71082">
      <w:pPr>
        <w:kinsoku w:val="0"/>
        <w:autoSpaceDE w:val="0"/>
        <w:autoSpaceDN w:val="0"/>
        <w:adjustRightInd w:val="0"/>
        <w:snapToGrid w:val="0"/>
        <w:spacing w:before="29" w:line="360" w:lineRule="auto"/>
        <w:ind w:firstLine="420"/>
        <w:jc w:val="left"/>
        <w:textAlignment w:val="baseline"/>
        <w:rPr>
          <w:snapToGrid w:val="0"/>
          <w:color w:val="000000"/>
          <w:spacing w:val="-18"/>
          <w:kern w:val="0"/>
          <w:sz w:val="24"/>
        </w:rPr>
      </w:pPr>
      <w:r>
        <w:rPr>
          <w:snapToGrid w:val="0"/>
          <w:color w:val="000000"/>
          <w:spacing w:val="-8"/>
          <w:kern w:val="0"/>
          <w:sz w:val="24"/>
        </w:rPr>
        <w:t>由表6可知，与CON组相比，SL1组</w:t>
      </w:r>
      <w:r>
        <w:rPr>
          <w:snapToGrid w:val="0"/>
          <w:color w:val="000000"/>
          <w:spacing w:val="-9"/>
          <w:kern w:val="0"/>
          <w:sz w:val="24"/>
        </w:rPr>
        <w:t>肌肉</w:t>
      </w:r>
      <w:r>
        <w:rPr>
          <w:snapToGrid w:val="0"/>
          <w:color w:val="000000"/>
          <w:spacing w:val="-8"/>
          <w:kern w:val="0"/>
          <w:sz w:val="24"/>
        </w:rPr>
        <w:t>MDA含量显著降低（</w:t>
      </w:r>
      <w:r>
        <w:rPr>
          <w:i/>
          <w:iCs/>
          <w:snapToGrid w:val="0"/>
          <w:color w:val="000000"/>
          <w:spacing w:val="-8"/>
          <w:kern w:val="0"/>
          <w:sz w:val="24"/>
        </w:rPr>
        <w:t>P</w:t>
      </w:r>
      <w:r>
        <w:rPr>
          <w:snapToGrid w:val="0"/>
          <w:color w:val="000000"/>
          <w:spacing w:val="-8"/>
          <w:kern w:val="0"/>
          <w:sz w:val="24"/>
        </w:rPr>
        <w:t>＜0.05），肌肉T-AOC无显著差异（</w:t>
      </w:r>
      <w:r>
        <w:rPr>
          <w:i/>
          <w:iCs/>
          <w:snapToGrid w:val="0"/>
          <w:color w:val="000000"/>
          <w:spacing w:val="-8"/>
          <w:kern w:val="0"/>
          <w:sz w:val="24"/>
        </w:rPr>
        <w:t>P</w:t>
      </w:r>
      <w:r>
        <w:rPr>
          <w:snapToGrid w:val="0"/>
          <w:color w:val="000000"/>
          <w:spacing w:val="-8"/>
          <w:kern w:val="0"/>
          <w:sz w:val="24"/>
        </w:rPr>
        <w:t>＞0.05）</w:t>
      </w:r>
      <w:r>
        <w:rPr>
          <w:rFonts w:ascii="Calibri" w:hAnsi="Calibri"/>
          <w:szCs w:val="21"/>
        </w:rPr>
        <w:t>；</w:t>
      </w:r>
      <w:r>
        <w:rPr>
          <w:snapToGrid w:val="0"/>
          <w:color w:val="000000"/>
          <w:spacing w:val="-8"/>
          <w:kern w:val="0"/>
          <w:sz w:val="24"/>
        </w:rPr>
        <w:t>SL2组肌肉T-AOC和MDA含</w:t>
      </w:r>
      <w:r>
        <w:rPr>
          <w:snapToGrid w:val="0"/>
          <w:color w:val="000000"/>
          <w:spacing w:val="-10"/>
          <w:kern w:val="0"/>
          <w:sz w:val="24"/>
        </w:rPr>
        <w:t>量均显著升高（</w:t>
      </w:r>
      <w:r>
        <w:rPr>
          <w:i/>
          <w:iCs/>
          <w:snapToGrid w:val="0"/>
          <w:color w:val="000000"/>
          <w:spacing w:val="-10"/>
          <w:kern w:val="0"/>
          <w:sz w:val="24"/>
        </w:rPr>
        <w:t>P</w:t>
      </w:r>
      <w:r>
        <w:rPr>
          <w:snapToGrid w:val="0"/>
          <w:color w:val="000000"/>
          <w:spacing w:val="-10"/>
          <w:kern w:val="0"/>
          <w:sz w:val="24"/>
        </w:rPr>
        <w:t>＜0.05）。由图2可知，与CON组</w:t>
      </w:r>
      <w:r>
        <w:rPr>
          <w:snapToGrid w:val="0"/>
          <w:color w:val="000000"/>
          <w:spacing w:val="2"/>
          <w:kern w:val="0"/>
          <w:sz w:val="24"/>
        </w:rPr>
        <w:t>相比，</w:t>
      </w:r>
      <w:r>
        <w:rPr>
          <w:snapToGrid w:val="0"/>
          <w:color w:val="000000"/>
          <w:kern w:val="0"/>
          <w:sz w:val="24"/>
        </w:rPr>
        <w:t>SL1</w:t>
      </w:r>
      <w:r>
        <w:rPr>
          <w:snapToGrid w:val="0"/>
          <w:color w:val="000000"/>
          <w:spacing w:val="2"/>
          <w:kern w:val="0"/>
          <w:sz w:val="24"/>
        </w:rPr>
        <w:t>组和</w:t>
      </w:r>
      <w:r>
        <w:rPr>
          <w:snapToGrid w:val="0"/>
          <w:color w:val="000000"/>
          <w:kern w:val="0"/>
          <w:sz w:val="24"/>
        </w:rPr>
        <w:t>SL2</w:t>
      </w:r>
      <w:r>
        <w:rPr>
          <w:snapToGrid w:val="0"/>
          <w:color w:val="000000"/>
          <w:spacing w:val="2"/>
          <w:kern w:val="0"/>
          <w:sz w:val="24"/>
        </w:rPr>
        <w:t>组肌肉过氧化氢酶（</w:t>
      </w:r>
      <w:r>
        <w:rPr>
          <w:snapToGrid w:val="0"/>
          <w:color w:val="000000"/>
          <w:kern w:val="0"/>
          <w:sz w:val="24"/>
        </w:rPr>
        <w:t>CAT</w:t>
      </w:r>
      <w:r>
        <w:rPr>
          <w:snapToGrid w:val="0"/>
          <w:color w:val="000000"/>
          <w:spacing w:val="2"/>
          <w:kern w:val="0"/>
          <w:sz w:val="24"/>
        </w:rPr>
        <w:t>）、超</w:t>
      </w:r>
      <w:r>
        <w:rPr>
          <w:snapToGrid w:val="0"/>
          <w:color w:val="000000"/>
          <w:spacing w:val="6"/>
          <w:kern w:val="0"/>
          <w:sz w:val="24"/>
        </w:rPr>
        <w:t>氧化物歧化酶（</w:t>
      </w:r>
      <w:r>
        <w:rPr>
          <w:snapToGrid w:val="0"/>
          <w:color w:val="000000"/>
          <w:kern w:val="0"/>
          <w:sz w:val="24"/>
        </w:rPr>
        <w:t>SOD</w:t>
      </w:r>
      <w:r>
        <w:rPr>
          <w:snapToGrid w:val="0"/>
          <w:color w:val="000000"/>
          <w:spacing w:val="6"/>
          <w:kern w:val="0"/>
          <w:sz w:val="24"/>
        </w:rPr>
        <w:t>）的</w:t>
      </w:r>
      <w:r>
        <w:rPr>
          <w:snapToGrid w:val="0"/>
          <w:color w:val="000000"/>
          <w:kern w:val="0"/>
          <w:sz w:val="24"/>
        </w:rPr>
        <w:t>mRNA</w:t>
      </w:r>
      <w:r>
        <w:rPr>
          <w:snapToGrid w:val="0"/>
          <w:color w:val="000000"/>
          <w:spacing w:val="6"/>
          <w:kern w:val="0"/>
          <w:sz w:val="24"/>
        </w:rPr>
        <w:t>相对表达量均显著</w:t>
      </w:r>
      <w:r>
        <w:rPr>
          <w:snapToGrid w:val="0"/>
          <w:color w:val="000000"/>
          <w:spacing w:val="-18"/>
          <w:kern w:val="0"/>
          <w:sz w:val="24"/>
        </w:rPr>
        <w:t>升高（</w:t>
      </w:r>
      <w:r>
        <w:rPr>
          <w:i/>
          <w:iCs/>
          <w:snapToGrid w:val="0"/>
          <w:color w:val="000000"/>
          <w:spacing w:val="-18"/>
          <w:kern w:val="0"/>
          <w:sz w:val="24"/>
        </w:rPr>
        <w:t>P</w:t>
      </w:r>
      <w:r>
        <w:rPr>
          <w:snapToGrid w:val="0"/>
          <w:color w:val="000000"/>
          <w:spacing w:val="-18"/>
          <w:kern w:val="0"/>
          <w:sz w:val="24"/>
        </w:rPr>
        <w:t>＜0.05）。</w:t>
      </w:r>
    </w:p>
    <w:p w14:paraId="6AA1036C">
      <w:pPr>
        <w:kinsoku w:val="0"/>
        <w:autoSpaceDE w:val="0"/>
        <w:autoSpaceDN w:val="0"/>
        <w:adjustRightInd w:val="0"/>
        <w:snapToGrid w:val="0"/>
        <w:spacing w:before="29" w:line="360" w:lineRule="auto"/>
        <w:ind w:firstLine="420"/>
        <w:jc w:val="center"/>
        <w:textAlignment w:val="baseline"/>
        <w:rPr>
          <w:snapToGrid w:val="0"/>
          <w:color w:val="000000"/>
          <w:kern w:val="0"/>
          <w:sz w:val="24"/>
        </w:rPr>
      </w:pPr>
      <w:r>
        <w:rPr>
          <w:sz w:val="24"/>
        </w:rPr>
        <w:drawing>
          <wp:inline distT="0" distB="0" distL="114300" distR="114300">
            <wp:extent cx="4319905" cy="1040765"/>
            <wp:effectExtent l="0" t="0" r="4445" b="698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41"/>
                    <a:stretch>
                      <a:fillRect/>
                    </a:stretch>
                  </pic:blipFill>
                  <pic:spPr>
                    <a:xfrm>
                      <a:off x="0" y="0"/>
                      <a:ext cx="4320000" cy="1041160"/>
                    </a:xfrm>
                    <a:prstGeom prst="rect">
                      <a:avLst/>
                    </a:prstGeom>
                    <a:noFill/>
                    <a:ln>
                      <a:noFill/>
                    </a:ln>
                  </pic:spPr>
                </pic:pic>
              </a:graphicData>
            </a:graphic>
          </wp:inline>
        </w:drawing>
      </w:r>
    </w:p>
    <w:p w14:paraId="3E0D28EA">
      <w:pPr>
        <w:kinsoku w:val="0"/>
        <w:autoSpaceDE w:val="0"/>
        <w:autoSpaceDN w:val="0"/>
        <w:adjustRightInd w:val="0"/>
        <w:snapToGrid w:val="0"/>
        <w:spacing w:before="29" w:line="360" w:lineRule="auto"/>
        <w:ind w:firstLine="420"/>
        <w:jc w:val="center"/>
        <w:textAlignment w:val="baseline"/>
        <w:rPr>
          <w:snapToGrid w:val="0"/>
          <w:color w:val="000000"/>
          <w:kern w:val="0"/>
          <w:sz w:val="24"/>
        </w:rPr>
      </w:pPr>
      <w:r>
        <w:rPr>
          <w:sz w:val="24"/>
        </w:rPr>
        <w:drawing>
          <wp:inline distT="0" distB="0" distL="114300" distR="114300">
            <wp:extent cx="2414270" cy="2340610"/>
            <wp:effectExtent l="0" t="0" r="5080" b="254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2"/>
                    <a:stretch>
                      <a:fillRect/>
                    </a:stretch>
                  </pic:blipFill>
                  <pic:spPr>
                    <a:xfrm>
                      <a:off x="0" y="0"/>
                      <a:ext cx="2417168" cy="2343834"/>
                    </a:xfrm>
                    <a:prstGeom prst="rect">
                      <a:avLst/>
                    </a:prstGeom>
                    <a:noFill/>
                    <a:ln>
                      <a:noFill/>
                    </a:ln>
                  </pic:spPr>
                </pic:pic>
              </a:graphicData>
            </a:graphic>
          </wp:inline>
        </w:drawing>
      </w:r>
    </w:p>
    <w:p w14:paraId="19E77B51">
      <w:pPr>
        <w:kinsoku w:val="0"/>
        <w:autoSpaceDE w:val="0"/>
        <w:autoSpaceDN w:val="0"/>
        <w:adjustRightInd w:val="0"/>
        <w:snapToGrid w:val="0"/>
        <w:spacing w:before="120" w:after="60" w:line="360" w:lineRule="auto"/>
        <w:ind w:left="11" w:right="68"/>
        <w:jc w:val="left"/>
        <w:textAlignment w:val="baseline"/>
        <w:rPr>
          <w:snapToGrid w:val="0"/>
          <w:color w:val="000000"/>
          <w:kern w:val="0"/>
          <w:sz w:val="24"/>
        </w:rPr>
      </w:pPr>
      <w:r>
        <w:rPr>
          <w:snapToGrid w:val="0"/>
          <w:color w:val="000000"/>
          <w:spacing w:val="16"/>
          <w:kern w:val="0"/>
          <w:sz w:val="24"/>
        </w:rPr>
        <w:t>2.5 饲料添加不同形式裂殖壶菌对凡纳滨</w:t>
      </w:r>
      <w:r>
        <w:rPr>
          <w:snapToGrid w:val="0"/>
          <w:color w:val="000000"/>
          <w:spacing w:val="15"/>
          <w:kern w:val="0"/>
          <w:sz w:val="24"/>
        </w:rPr>
        <w:t>对虾</w:t>
      </w:r>
      <w:r>
        <w:rPr>
          <w:snapToGrid w:val="0"/>
          <w:color w:val="000000"/>
          <w:spacing w:val="13"/>
          <w:kern w:val="0"/>
          <w:sz w:val="24"/>
        </w:rPr>
        <w:t>肌肉组织学的影响</w:t>
      </w:r>
    </w:p>
    <w:p w14:paraId="607291E3">
      <w:pPr>
        <w:kinsoku w:val="0"/>
        <w:autoSpaceDE w:val="0"/>
        <w:autoSpaceDN w:val="0"/>
        <w:adjustRightInd w:val="0"/>
        <w:snapToGrid w:val="0"/>
        <w:spacing w:before="2" w:line="360" w:lineRule="auto"/>
        <w:ind w:left="9" w:firstLine="420"/>
        <w:textAlignment w:val="baseline"/>
        <w:rPr>
          <w:snapToGrid w:val="0"/>
          <w:color w:val="000000"/>
          <w:spacing w:val="8"/>
          <w:kern w:val="0"/>
          <w:sz w:val="24"/>
        </w:rPr>
      </w:pPr>
      <w:r>
        <w:rPr>
          <w:snapToGrid w:val="0"/>
          <w:color w:val="000000"/>
          <w:spacing w:val="-11"/>
          <w:kern w:val="0"/>
          <w:sz w:val="24"/>
        </w:rPr>
        <w:t>由图3</w:t>
      </w:r>
      <w:r>
        <w:rPr>
          <w:snapToGrid w:val="0"/>
          <w:color w:val="000000"/>
          <w:spacing w:val="-11"/>
          <w:kern w:val="0"/>
          <w:position w:val="1"/>
          <w:sz w:val="24"/>
        </w:rPr>
        <w:t>－</w:t>
      </w:r>
      <w:r>
        <w:rPr>
          <w:snapToGrid w:val="0"/>
          <w:color w:val="000000"/>
          <w:spacing w:val="-11"/>
          <w:kern w:val="0"/>
          <w:sz w:val="24"/>
        </w:rPr>
        <w:t>A至图3</w:t>
      </w:r>
      <w:r>
        <w:rPr>
          <w:snapToGrid w:val="0"/>
          <w:color w:val="000000"/>
          <w:spacing w:val="-11"/>
          <w:kern w:val="0"/>
          <w:position w:val="1"/>
          <w:sz w:val="24"/>
        </w:rPr>
        <w:t>－</w:t>
      </w:r>
      <w:r>
        <w:rPr>
          <w:snapToGrid w:val="0"/>
          <w:color w:val="000000"/>
          <w:spacing w:val="-11"/>
          <w:kern w:val="0"/>
          <w:sz w:val="24"/>
        </w:rPr>
        <w:t>F可知，与CON组相</w:t>
      </w:r>
      <w:r>
        <w:rPr>
          <w:snapToGrid w:val="0"/>
          <w:color w:val="000000"/>
          <w:spacing w:val="-12"/>
          <w:kern w:val="0"/>
          <w:sz w:val="24"/>
        </w:rPr>
        <w:t>比，</w:t>
      </w:r>
      <w:r>
        <w:rPr>
          <w:snapToGrid w:val="0"/>
          <w:color w:val="000000"/>
          <w:spacing w:val="-2"/>
          <w:kern w:val="0"/>
          <w:sz w:val="24"/>
        </w:rPr>
        <w:t>SL1、SL2组肌纤维排列更紧密</w:t>
      </w:r>
      <w:r>
        <w:rPr>
          <w:rFonts w:ascii="Calibri" w:hAnsi="Calibri"/>
          <w:szCs w:val="21"/>
        </w:rPr>
        <w:t>；</w:t>
      </w:r>
      <w:r>
        <w:rPr>
          <w:snapToGrid w:val="0"/>
          <w:color w:val="000000"/>
          <w:spacing w:val="-2"/>
          <w:kern w:val="0"/>
          <w:sz w:val="24"/>
        </w:rPr>
        <w:t>与SL1组相比，</w:t>
      </w:r>
      <w:r>
        <w:rPr>
          <w:snapToGrid w:val="0"/>
          <w:color w:val="000000"/>
          <w:kern w:val="0"/>
          <w:sz w:val="24"/>
        </w:rPr>
        <w:t>SL</w:t>
      </w:r>
      <w:r>
        <w:rPr>
          <w:snapToGrid w:val="0"/>
          <w:color w:val="000000"/>
          <w:spacing w:val="8"/>
          <w:kern w:val="0"/>
          <w:sz w:val="24"/>
        </w:rPr>
        <w:t>2组肌肉组织结构的细化程度更高。由图3－G</w:t>
      </w:r>
      <w:r>
        <w:rPr>
          <w:snapToGrid w:val="0"/>
          <w:color w:val="000000"/>
          <w:kern w:val="0"/>
          <w:sz w:val="24"/>
        </w:rPr>
        <w:t>可知，SL1组、SL2组肌纤维直径显著低于CON组</w:t>
      </w:r>
      <w:r>
        <w:rPr>
          <w:snapToGrid w:val="0"/>
          <w:color w:val="000000"/>
          <w:spacing w:val="-4"/>
          <w:kern w:val="0"/>
          <w:sz w:val="24"/>
        </w:rPr>
        <w:t>（</w:t>
      </w:r>
      <w:r>
        <w:rPr>
          <w:i/>
          <w:iCs/>
          <w:snapToGrid w:val="0"/>
          <w:color w:val="000000"/>
          <w:spacing w:val="-4"/>
          <w:kern w:val="0"/>
          <w:sz w:val="24"/>
        </w:rPr>
        <w:t>P</w:t>
      </w:r>
      <w:r>
        <w:rPr>
          <w:snapToGrid w:val="0"/>
          <w:color w:val="000000"/>
          <w:spacing w:val="-4"/>
          <w:kern w:val="0"/>
          <w:sz w:val="24"/>
        </w:rPr>
        <w:t>＜0.05），且SL2组肌纤维直径显著低于SL1组（P＜0.05）</w:t>
      </w:r>
      <w:r>
        <w:rPr>
          <w:snapToGrid w:val="0"/>
          <w:color w:val="000000"/>
          <w:spacing w:val="8"/>
          <w:kern w:val="0"/>
          <w:sz w:val="24"/>
        </w:rPr>
        <w:t>。</w:t>
      </w:r>
    </w:p>
    <w:p w14:paraId="2653ABE6">
      <w:pPr>
        <w:kinsoku w:val="0"/>
        <w:autoSpaceDE w:val="0"/>
        <w:autoSpaceDN w:val="0"/>
        <w:adjustRightInd w:val="0"/>
        <w:snapToGrid w:val="0"/>
        <w:spacing w:before="2" w:line="360" w:lineRule="auto"/>
        <w:ind w:left="9" w:firstLine="420"/>
        <w:jc w:val="center"/>
        <w:textAlignment w:val="baseline"/>
        <w:rPr>
          <w:snapToGrid w:val="0"/>
          <w:color w:val="000000"/>
          <w:kern w:val="0"/>
          <w:sz w:val="24"/>
        </w:rPr>
      </w:pPr>
      <w:r>
        <w:rPr>
          <w:sz w:val="24"/>
        </w:rPr>
        <w:drawing>
          <wp:inline distT="0" distB="0" distL="114300" distR="114300">
            <wp:extent cx="4493260" cy="4321175"/>
            <wp:effectExtent l="0" t="0" r="2540" b="3175"/>
            <wp:docPr id="177769902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99027" name="图片 18"/>
                    <pic:cNvPicPr>
                      <a:picLocks noChangeAspect="1"/>
                    </pic:cNvPicPr>
                  </pic:nvPicPr>
                  <pic:blipFill>
                    <a:blip r:embed="rId43"/>
                    <a:stretch>
                      <a:fillRect/>
                    </a:stretch>
                  </pic:blipFill>
                  <pic:spPr>
                    <a:xfrm>
                      <a:off x="0" y="0"/>
                      <a:ext cx="4509183" cy="4336446"/>
                    </a:xfrm>
                    <a:prstGeom prst="rect">
                      <a:avLst/>
                    </a:prstGeom>
                    <a:noFill/>
                    <a:ln>
                      <a:noFill/>
                    </a:ln>
                  </pic:spPr>
                </pic:pic>
              </a:graphicData>
            </a:graphic>
          </wp:inline>
        </w:drawing>
      </w:r>
    </w:p>
    <w:p w14:paraId="72F668C0">
      <w:pPr>
        <w:kinsoku w:val="0"/>
        <w:autoSpaceDE w:val="0"/>
        <w:autoSpaceDN w:val="0"/>
        <w:adjustRightInd w:val="0"/>
        <w:snapToGrid w:val="0"/>
        <w:spacing w:before="160" w:after="80" w:line="360" w:lineRule="auto"/>
        <w:ind w:left="11" w:right="68"/>
        <w:jc w:val="left"/>
        <w:textAlignment w:val="baseline"/>
        <w:rPr>
          <w:snapToGrid w:val="0"/>
          <w:color w:val="000000"/>
          <w:kern w:val="0"/>
          <w:sz w:val="24"/>
        </w:rPr>
      </w:pPr>
      <w:r>
        <w:rPr>
          <w:snapToGrid w:val="0"/>
          <w:color w:val="000000"/>
          <w:spacing w:val="-3"/>
          <w:kern w:val="0"/>
          <w:sz w:val="24"/>
        </w:rPr>
        <w:t>3 讨论</w:t>
      </w:r>
    </w:p>
    <w:p w14:paraId="721D718D">
      <w:pPr>
        <w:kinsoku w:val="0"/>
        <w:autoSpaceDE w:val="0"/>
        <w:autoSpaceDN w:val="0"/>
        <w:adjustRightInd w:val="0"/>
        <w:snapToGrid w:val="0"/>
        <w:spacing w:before="120" w:after="60" w:line="360" w:lineRule="auto"/>
        <w:ind w:left="11" w:right="68"/>
        <w:jc w:val="left"/>
        <w:textAlignment w:val="baseline"/>
        <w:rPr>
          <w:snapToGrid w:val="0"/>
          <w:color w:val="000000"/>
          <w:kern w:val="0"/>
          <w:sz w:val="24"/>
        </w:rPr>
      </w:pPr>
      <w:r>
        <w:rPr>
          <w:snapToGrid w:val="0"/>
          <w:color w:val="000000"/>
          <w:spacing w:val="16"/>
          <w:kern w:val="0"/>
          <w:sz w:val="24"/>
        </w:rPr>
        <w:t>3.1 饲料添加不同形式裂殖壶菌对凡纳滨对虾</w:t>
      </w:r>
      <w:r>
        <w:rPr>
          <w:snapToGrid w:val="0"/>
          <w:color w:val="000000"/>
          <w:spacing w:val="14"/>
          <w:kern w:val="0"/>
          <w:sz w:val="24"/>
        </w:rPr>
        <w:t>肌肉品质与肌纤维特性的影响</w:t>
      </w:r>
    </w:p>
    <w:p w14:paraId="2BA360F8">
      <w:pPr>
        <w:spacing w:line="360" w:lineRule="auto"/>
        <w:ind w:firstLine="420"/>
        <w:rPr>
          <w:rFonts w:hint="eastAsia"/>
          <w:snapToGrid w:val="0"/>
          <w:color w:val="000000"/>
          <w:spacing w:val="-5"/>
          <w:kern w:val="0"/>
          <w:sz w:val="24"/>
        </w:rPr>
      </w:pPr>
      <w:r>
        <w:rPr>
          <w:snapToGrid w:val="0"/>
          <w:color w:val="000000"/>
          <w:spacing w:val="19"/>
          <w:kern w:val="0"/>
          <w:sz w:val="24"/>
        </w:rPr>
        <w:t>肌肉常规营养物质含量是评估肌肉品质的基</w:t>
      </w:r>
      <w:r>
        <w:rPr>
          <w:snapToGrid w:val="0"/>
          <w:color w:val="000000"/>
          <w:spacing w:val="10"/>
          <w:kern w:val="0"/>
          <w:sz w:val="24"/>
        </w:rPr>
        <w:t>本指标</w:t>
      </w:r>
      <w:r>
        <w:rPr>
          <w:sz w:val="24"/>
          <w:vertAlign w:val="superscript"/>
        </w:rPr>
        <w:t>[</w:t>
      </w:r>
      <w:r>
        <w:fldChar w:fldCharType="begin"/>
      </w:r>
      <w:r>
        <w:instrText xml:space="preserve"> HYPERLINK \l "bookmark13" </w:instrText>
      </w:r>
      <w:r>
        <w:fldChar w:fldCharType="separate"/>
      </w:r>
      <w:r>
        <w:rPr>
          <w:sz w:val="24"/>
          <w:vertAlign w:val="superscript"/>
        </w:rPr>
        <w:t>12</w:t>
      </w:r>
      <w:r>
        <w:rPr>
          <w:sz w:val="24"/>
          <w:vertAlign w:val="superscript"/>
        </w:rPr>
        <w:fldChar w:fldCharType="end"/>
      </w:r>
      <w:r>
        <w:rPr>
          <w:sz w:val="24"/>
          <w:vertAlign w:val="superscript"/>
        </w:rPr>
        <w:t>]</w:t>
      </w:r>
      <w:r>
        <w:rPr>
          <w:snapToGrid w:val="0"/>
          <w:color w:val="000000"/>
          <w:spacing w:val="-5"/>
          <w:kern w:val="0"/>
          <w:sz w:val="24"/>
        </w:rPr>
        <w:t>。</w:t>
      </w:r>
      <w:r>
        <w:rPr>
          <w:snapToGrid w:val="0"/>
          <w:color w:val="000000"/>
          <w:spacing w:val="10"/>
          <w:kern w:val="0"/>
          <w:sz w:val="24"/>
        </w:rPr>
        <w:t>本研究发现，饲料添加裂殖壶菌可以</w:t>
      </w:r>
      <w:r>
        <w:rPr>
          <w:snapToGrid w:val="0"/>
          <w:color w:val="000000"/>
          <w:spacing w:val="-3"/>
          <w:kern w:val="0"/>
          <w:sz w:val="24"/>
        </w:rPr>
        <w:t>显著提升凡纳滨对虾肌肉粗蛋白质含量。肖芬</w:t>
      </w:r>
      <w:r>
        <w:rPr>
          <w:snapToGrid w:val="0"/>
          <w:color w:val="000000"/>
          <w:spacing w:val="-4"/>
          <w:kern w:val="0"/>
          <w:sz w:val="24"/>
        </w:rPr>
        <w:t>芬</w:t>
      </w:r>
      <w:r>
        <w:rPr>
          <w:sz w:val="24"/>
          <w:vertAlign w:val="superscript"/>
        </w:rPr>
        <w:t>[</w:t>
      </w:r>
      <w:r>
        <w:fldChar w:fldCharType="begin"/>
      </w:r>
      <w:r>
        <w:instrText xml:space="preserve"> HYPERLINK \l "bookmark14" </w:instrText>
      </w:r>
      <w:r>
        <w:fldChar w:fldCharType="separate"/>
      </w:r>
      <w:r>
        <w:rPr>
          <w:sz w:val="24"/>
          <w:vertAlign w:val="superscript"/>
        </w:rPr>
        <w:t>13</w:t>
      </w:r>
      <w:r>
        <w:rPr>
          <w:sz w:val="24"/>
          <w:vertAlign w:val="superscript"/>
        </w:rPr>
        <w:fldChar w:fldCharType="end"/>
      </w:r>
      <w:r>
        <w:rPr>
          <w:sz w:val="24"/>
          <w:vertAlign w:val="superscript"/>
        </w:rPr>
        <w:t>]</w:t>
      </w:r>
      <w:r>
        <w:rPr>
          <w:snapToGrid w:val="0"/>
          <w:color w:val="000000"/>
          <w:spacing w:val="-4"/>
          <w:kern w:val="0"/>
          <w:sz w:val="24"/>
        </w:rPr>
        <w:t>研究发现，适量的裂殖壶藻渣可促进框鲤</w:t>
      </w:r>
      <w:r>
        <w:rPr>
          <w:snapToGrid w:val="0"/>
          <w:color w:val="000000"/>
          <w:spacing w:val="-5"/>
          <w:kern w:val="0"/>
          <w:sz w:val="24"/>
        </w:rPr>
        <w:t>（</w:t>
      </w:r>
      <w:r>
        <w:rPr>
          <w:i/>
          <w:iCs/>
          <w:snapToGrid w:val="0"/>
          <w:color w:val="000000"/>
          <w:spacing w:val="-5"/>
          <w:kern w:val="0"/>
          <w:sz w:val="24"/>
        </w:rPr>
        <w:t>Cyprinus carpio var. specularis</w:t>
      </w:r>
      <w:r>
        <w:rPr>
          <w:snapToGrid w:val="0"/>
          <w:color w:val="000000"/>
          <w:spacing w:val="-5"/>
          <w:kern w:val="0"/>
          <w:sz w:val="24"/>
        </w:rPr>
        <w:t>）肝脏和全鱼</w:t>
      </w:r>
      <w:r>
        <w:rPr>
          <w:snapToGrid w:val="0"/>
          <w:color w:val="000000"/>
          <w:spacing w:val="-6"/>
          <w:kern w:val="0"/>
          <w:sz w:val="24"/>
        </w:rPr>
        <w:t>中的</w:t>
      </w:r>
      <w:r>
        <w:rPr>
          <w:snapToGrid w:val="0"/>
          <w:color w:val="000000"/>
          <w:spacing w:val="1"/>
          <w:kern w:val="0"/>
          <w:sz w:val="24"/>
        </w:rPr>
        <w:t>蛋白质沉积并减少肝脏脂质积累</w:t>
      </w:r>
      <w:r>
        <w:rPr>
          <w:rFonts w:ascii="Calibri" w:hAnsi="Calibri"/>
          <w:szCs w:val="21"/>
        </w:rPr>
        <w:t>；</w:t>
      </w:r>
      <w:r>
        <w:rPr>
          <w:snapToGrid w:val="0"/>
          <w:color w:val="000000"/>
          <w:spacing w:val="1"/>
          <w:kern w:val="0"/>
          <w:sz w:val="24"/>
        </w:rPr>
        <w:t>而在花鲈</w:t>
      </w:r>
      <w:r>
        <w:rPr>
          <w:sz w:val="24"/>
          <w:vertAlign w:val="superscript"/>
        </w:rPr>
        <w:t>[</w:t>
      </w:r>
      <w:r>
        <w:fldChar w:fldCharType="begin"/>
      </w:r>
      <w:r>
        <w:instrText xml:space="preserve"> HYPERLINK \l "bookmark15" </w:instrText>
      </w:r>
      <w:r>
        <w:fldChar w:fldCharType="separate"/>
      </w:r>
      <w:r>
        <w:rPr>
          <w:sz w:val="24"/>
          <w:vertAlign w:val="superscript"/>
        </w:rPr>
        <w:t>14</w:t>
      </w:r>
      <w:r>
        <w:rPr>
          <w:sz w:val="24"/>
          <w:vertAlign w:val="superscript"/>
        </w:rPr>
        <w:fldChar w:fldCharType="end"/>
      </w:r>
      <w:r>
        <w:rPr>
          <w:sz w:val="24"/>
          <w:vertAlign w:val="superscript"/>
        </w:rPr>
        <w:t>]</w:t>
      </w:r>
      <w:r>
        <w:rPr>
          <w:snapToGrid w:val="0"/>
          <w:color w:val="000000"/>
          <w:spacing w:val="-6"/>
          <w:kern w:val="0"/>
          <w:sz w:val="24"/>
        </w:rPr>
        <w:t>（</w:t>
      </w:r>
      <w:r>
        <w:rPr>
          <w:i/>
          <w:iCs/>
          <w:snapToGrid w:val="0"/>
          <w:color w:val="000000"/>
          <w:spacing w:val="-6"/>
          <w:kern w:val="0"/>
          <w:sz w:val="24"/>
        </w:rPr>
        <w:t>Lateolabrax maculatus</w:t>
      </w:r>
      <w:r>
        <w:rPr>
          <w:snapToGrid w:val="0"/>
          <w:color w:val="000000"/>
          <w:spacing w:val="-6"/>
          <w:kern w:val="0"/>
          <w:sz w:val="24"/>
        </w:rPr>
        <w:t>）和多鳞白甲鱼</w:t>
      </w:r>
      <w:r>
        <w:rPr>
          <w:sz w:val="24"/>
          <w:vertAlign w:val="superscript"/>
        </w:rPr>
        <w:t>[</w:t>
      </w:r>
      <w:r>
        <w:fldChar w:fldCharType="begin"/>
      </w:r>
      <w:r>
        <w:instrText xml:space="preserve"> HYPERLINK \l "bookmark16" </w:instrText>
      </w:r>
      <w:r>
        <w:fldChar w:fldCharType="separate"/>
      </w:r>
      <w:r>
        <w:rPr>
          <w:sz w:val="24"/>
          <w:vertAlign w:val="superscript"/>
        </w:rPr>
        <w:t>15</w:t>
      </w:r>
      <w:r>
        <w:rPr>
          <w:sz w:val="24"/>
          <w:vertAlign w:val="superscript"/>
        </w:rPr>
        <w:fldChar w:fldCharType="end"/>
      </w:r>
      <w:r>
        <w:rPr>
          <w:sz w:val="24"/>
          <w:vertAlign w:val="superscript"/>
        </w:rPr>
        <w:t>]</w:t>
      </w:r>
      <w:r>
        <w:rPr>
          <w:snapToGrid w:val="0"/>
          <w:color w:val="000000"/>
          <w:spacing w:val="-6"/>
          <w:kern w:val="0"/>
          <w:sz w:val="24"/>
        </w:rPr>
        <w:t>（</w:t>
      </w:r>
      <w:r>
        <w:rPr>
          <w:i/>
          <w:iCs/>
          <w:snapToGrid w:val="0"/>
          <w:color w:val="000000"/>
          <w:spacing w:val="-6"/>
          <w:kern w:val="0"/>
          <w:sz w:val="24"/>
        </w:rPr>
        <w:t>Onych</w:t>
      </w:r>
      <w:r>
        <w:rPr>
          <w:i/>
          <w:iCs/>
          <w:snapToGrid w:val="0"/>
          <w:color w:val="000000"/>
          <w:spacing w:val="-4"/>
          <w:kern w:val="0"/>
          <w:sz w:val="24"/>
        </w:rPr>
        <w:t>ostomamac rolepis</w:t>
      </w:r>
      <w:r>
        <w:rPr>
          <w:snapToGrid w:val="0"/>
          <w:color w:val="000000"/>
          <w:spacing w:val="-4"/>
          <w:kern w:val="0"/>
          <w:sz w:val="24"/>
        </w:rPr>
        <w:t>）的研究中表明，饲料中添加</w:t>
      </w:r>
      <w:r>
        <w:rPr>
          <w:snapToGrid w:val="0"/>
          <w:color w:val="000000"/>
          <w:spacing w:val="-5"/>
          <w:kern w:val="0"/>
          <w:sz w:val="24"/>
        </w:rPr>
        <w:t>不同水平裂壶藻粕均显著降低肌肉的粗脂肪含量，而对肌肉粗蛋白质含量无显著影响</w:t>
      </w:r>
      <w:r>
        <w:rPr>
          <w:rFonts w:ascii="Calibri" w:hAnsi="Calibri"/>
          <w:szCs w:val="21"/>
        </w:rPr>
        <w:t>；</w:t>
      </w:r>
      <w:r>
        <w:rPr>
          <w:snapToGrid w:val="0"/>
          <w:color w:val="000000"/>
          <w:spacing w:val="-5"/>
          <w:kern w:val="0"/>
          <w:sz w:val="24"/>
        </w:rPr>
        <w:t>饲料添加裂壶藻可显著提高建鲤（</w:t>
      </w:r>
      <w:r>
        <w:rPr>
          <w:i/>
          <w:iCs/>
          <w:snapToGrid w:val="0"/>
          <w:color w:val="000000"/>
          <w:spacing w:val="-5"/>
          <w:kern w:val="0"/>
          <w:sz w:val="24"/>
        </w:rPr>
        <w:t xml:space="preserve">Cyprinus carpio var. </w:t>
      </w:r>
      <w:r>
        <w:rPr>
          <w:i/>
          <w:iCs/>
          <w:snapToGrid w:val="0"/>
          <w:color w:val="000000"/>
          <w:spacing w:val="-5"/>
          <w:kern w:val="0"/>
          <w:sz w:val="24"/>
          <w:lang w:eastAsia="en-US"/>
        </w:rPr>
        <w:t>Jian</w:t>
      </w:r>
      <w:r>
        <w:rPr>
          <w:snapToGrid w:val="0"/>
          <w:color w:val="000000"/>
          <w:spacing w:val="-5"/>
          <w:kern w:val="0"/>
          <w:sz w:val="24"/>
          <w:lang w:eastAsia="en-US"/>
        </w:rPr>
        <w:t>）全鱼和肌肉的粗脂肪含量</w:t>
      </w:r>
      <w:r>
        <w:rPr>
          <w:snapToGrid w:val="0"/>
          <w:color w:val="000000"/>
          <w:spacing w:val="-5"/>
          <w:kern w:val="0"/>
          <w:sz w:val="24"/>
          <w:vertAlign w:val="superscript"/>
        </w:rPr>
        <w:t>[</w:t>
      </w:r>
      <w:r>
        <w:rPr>
          <w:snapToGrid w:val="0"/>
          <w:color w:val="000000"/>
          <w:spacing w:val="-5"/>
          <w:kern w:val="0"/>
          <w:sz w:val="24"/>
          <w:vertAlign w:val="superscript"/>
          <w:lang w:eastAsia="en-US"/>
        </w:rPr>
        <w:t>16</w:t>
      </w:r>
      <w:r>
        <w:rPr>
          <w:snapToGrid w:val="0"/>
          <w:color w:val="000000"/>
          <w:spacing w:val="-5"/>
          <w:kern w:val="0"/>
          <w:sz w:val="24"/>
          <w:vertAlign w:val="superscript"/>
        </w:rPr>
        <w:t>]</w:t>
      </w:r>
      <w:r>
        <w:rPr>
          <w:snapToGrid w:val="0"/>
          <w:color w:val="000000"/>
          <w:spacing w:val="-5"/>
          <w:kern w:val="0"/>
          <w:sz w:val="24"/>
          <w:lang w:eastAsia="en-US"/>
        </w:rPr>
        <w:t>;而Neylan等</w:t>
      </w:r>
      <w:r>
        <w:rPr>
          <w:snapToGrid w:val="0"/>
          <w:color w:val="000000"/>
          <w:spacing w:val="-5"/>
          <w:kern w:val="0"/>
          <w:sz w:val="24"/>
          <w:vertAlign w:val="superscript"/>
        </w:rPr>
        <w:t>[</w:t>
      </w:r>
      <w:r>
        <w:rPr>
          <w:snapToGrid w:val="0"/>
          <w:color w:val="000000"/>
          <w:spacing w:val="-5"/>
          <w:kern w:val="0"/>
          <w:sz w:val="24"/>
          <w:vertAlign w:val="superscript"/>
          <w:lang w:eastAsia="en-US"/>
        </w:rPr>
        <w:t>17</w:t>
      </w:r>
      <w:r>
        <w:rPr>
          <w:snapToGrid w:val="0"/>
          <w:color w:val="000000"/>
          <w:spacing w:val="-5"/>
          <w:kern w:val="0"/>
          <w:sz w:val="24"/>
          <w:vertAlign w:val="superscript"/>
        </w:rPr>
        <w:t>]</w:t>
      </w:r>
      <w:r>
        <w:rPr>
          <w:snapToGrid w:val="0"/>
          <w:color w:val="000000"/>
          <w:spacing w:val="-5"/>
          <w:kern w:val="0"/>
          <w:sz w:val="24"/>
          <w:lang w:eastAsia="en-US"/>
        </w:rPr>
        <w:t>和Liao等</w:t>
      </w:r>
      <w:r>
        <w:rPr>
          <w:snapToGrid w:val="0"/>
          <w:color w:val="000000"/>
          <w:spacing w:val="-5"/>
          <w:kern w:val="0"/>
          <w:sz w:val="24"/>
          <w:vertAlign w:val="superscript"/>
        </w:rPr>
        <w:t>[</w:t>
      </w:r>
      <w:r>
        <w:rPr>
          <w:snapToGrid w:val="0"/>
          <w:color w:val="000000"/>
          <w:spacing w:val="-5"/>
          <w:kern w:val="0"/>
          <w:sz w:val="24"/>
          <w:vertAlign w:val="superscript"/>
          <w:lang w:eastAsia="en-US"/>
        </w:rPr>
        <w:t>18</w:t>
      </w:r>
      <w:r>
        <w:rPr>
          <w:snapToGrid w:val="0"/>
          <w:color w:val="000000"/>
          <w:spacing w:val="-5"/>
          <w:kern w:val="0"/>
          <w:sz w:val="24"/>
          <w:vertAlign w:val="superscript"/>
        </w:rPr>
        <w:t>]</w:t>
      </w:r>
      <w:r>
        <w:rPr>
          <w:snapToGrid w:val="0"/>
          <w:color w:val="000000"/>
          <w:spacing w:val="-5"/>
          <w:kern w:val="0"/>
          <w:sz w:val="24"/>
          <w:lang w:eastAsia="en-US"/>
        </w:rPr>
        <w:t>分别在裸盖鱼（</w:t>
      </w:r>
      <w:r>
        <w:rPr>
          <w:i/>
          <w:iCs/>
          <w:snapToGrid w:val="0"/>
          <w:color w:val="000000"/>
          <w:spacing w:val="-5"/>
          <w:kern w:val="0"/>
          <w:sz w:val="24"/>
          <w:lang w:eastAsia="en-US"/>
        </w:rPr>
        <w:t>Anoplopoma</w:t>
      </w:r>
      <w:r>
        <w:rPr>
          <w:i/>
          <w:iCs/>
          <w:snapToGrid w:val="0"/>
          <w:color w:val="000000"/>
          <w:spacing w:val="-5"/>
          <w:kern w:val="0"/>
          <w:sz w:val="24"/>
        </w:rPr>
        <w:t xml:space="preserve"> </w:t>
      </w:r>
      <w:r>
        <w:rPr>
          <w:i/>
          <w:iCs/>
          <w:snapToGrid w:val="0"/>
          <w:color w:val="000000"/>
          <w:spacing w:val="-5"/>
          <w:kern w:val="0"/>
          <w:sz w:val="24"/>
          <w:lang w:eastAsia="en-US"/>
        </w:rPr>
        <w:t>fimbria</w:t>
      </w:r>
      <w:r>
        <w:rPr>
          <w:snapToGrid w:val="0"/>
          <w:color w:val="000000"/>
          <w:spacing w:val="-5"/>
          <w:kern w:val="0"/>
          <w:sz w:val="24"/>
          <w:lang w:eastAsia="en-US"/>
        </w:rPr>
        <w:t>）和大口黑鲈（</w:t>
      </w:r>
      <w:r>
        <w:rPr>
          <w:i/>
          <w:iCs/>
          <w:snapToGrid w:val="0"/>
          <w:color w:val="000000"/>
          <w:spacing w:val="-5"/>
          <w:kern w:val="0"/>
          <w:sz w:val="24"/>
          <w:lang w:eastAsia="en-US"/>
        </w:rPr>
        <w:t>Micropterus</w:t>
      </w:r>
      <w:r>
        <w:rPr>
          <w:i/>
          <w:iCs/>
          <w:snapToGrid w:val="0"/>
          <w:color w:val="000000"/>
          <w:spacing w:val="-5"/>
          <w:kern w:val="0"/>
          <w:sz w:val="24"/>
        </w:rPr>
        <w:t xml:space="preserve"> </w:t>
      </w:r>
      <w:r>
        <w:rPr>
          <w:i/>
          <w:iCs/>
          <w:snapToGrid w:val="0"/>
          <w:color w:val="000000"/>
          <w:spacing w:val="-5"/>
          <w:kern w:val="0"/>
          <w:sz w:val="24"/>
          <w:lang w:eastAsia="en-US"/>
        </w:rPr>
        <w:t>salmoides</w:t>
      </w:r>
      <w:r>
        <w:rPr>
          <w:snapToGrid w:val="0"/>
          <w:color w:val="000000"/>
          <w:spacing w:val="-5"/>
          <w:kern w:val="0"/>
          <w:sz w:val="24"/>
          <w:lang w:eastAsia="en-US"/>
        </w:rPr>
        <w:t>）的研究发现，与鱼粉组相比，饲料添加裂殖壶菌对全鱼体成分无显著影响。</w:t>
      </w:r>
      <w:r>
        <w:rPr>
          <w:snapToGrid w:val="0"/>
          <w:color w:val="000000"/>
          <w:spacing w:val="-5"/>
          <w:kern w:val="0"/>
          <w:sz w:val="24"/>
        </w:rPr>
        <w:t>以上研究结果与本试验不尽相同，这可能与所用裂殖壶菌成分不同以及物种特异性有关。</w:t>
      </w:r>
    </w:p>
    <w:p w14:paraId="35CBC477">
      <w:pPr>
        <w:spacing w:line="360" w:lineRule="auto"/>
        <w:ind w:firstLine="420"/>
        <w:rPr>
          <w:sz w:val="24"/>
        </w:rPr>
      </w:pPr>
      <w:r>
        <w:rPr>
          <w:sz w:val="24"/>
        </w:rPr>
        <w:t>MYLC、TNNC是肌原纤维收缩的调节蛋白，其表达差异与肌肉发育状态密切相关，且能够通过改变肌原纤维特性影响肌肉品质</w:t>
      </w:r>
      <w:r>
        <w:rPr>
          <w:snapToGrid w:val="0"/>
          <w:color w:val="000000"/>
          <w:spacing w:val="-5"/>
          <w:kern w:val="0"/>
          <w:sz w:val="24"/>
          <w:vertAlign w:val="superscript"/>
        </w:rPr>
        <w:t>[19－21]</w:t>
      </w:r>
      <w:r>
        <w:rPr>
          <w:sz w:val="24"/>
        </w:rPr>
        <w:t>。本研究显示，饲料添加裂殖壶菌显著上调肌肉中MYLC、TNNC基因的表达。值得注意的是，研究表明，在三倍体鲫鱼和瓦氏黄颡鱼♀×长吻鎨♂（</w:t>
      </w:r>
      <w:r>
        <w:rPr>
          <w:i/>
          <w:iCs/>
          <w:sz w:val="24"/>
        </w:rPr>
        <w:t xml:space="preserve">Pelteobagrus vachelli </w:t>
      </w:r>
      <w:r>
        <w:rPr>
          <w:sz w:val="24"/>
        </w:rPr>
        <w:t>♀×</w:t>
      </w:r>
      <w:r>
        <w:rPr>
          <w:i/>
          <w:iCs/>
          <w:sz w:val="24"/>
        </w:rPr>
        <w:t>Leiocassis longirostris ♂</w:t>
      </w:r>
      <w:r>
        <w:rPr>
          <w:sz w:val="24"/>
        </w:rPr>
        <w:t>）肌肉中，</w:t>
      </w:r>
      <w:r>
        <w:rPr>
          <w:i/>
          <w:iCs/>
          <w:sz w:val="24"/>
        </w:rPr>
        <w:t>MYLC、TNNC</w:t>
      </w:r>
      <w:r>
        <w:rPr>
          <w:sz w:val="24"/>
        </w:rPr>
        <w:t>基因表达上调可能与mTOR信号通路激活有关</w:t>
      </w:r>
      <w:r>
        <w:rPr>
          <w:snapToGrid w:val="0"/>
          <w:color w:val="000000"/>
          <w:spacing w:val="-5"/>
          <w:kern w:val="0"/>
          <w:sz w:val="24"/>
          <w:vertAlign w:val="superscript"/>
        </w:rPr>
        <w:t>[22－23]</w:t>
      </w:r>
      <w:r>
        <w:rPr>
          <w:sz w:val="24"/>
        </w:rPr>
        <w:t>。在本研究中，mTOR信号通路相关基因（</w:t>
      </w:r>
      <w:r>
        <w:rPr>
          <w:i/>
          <w:iCs/>
          <w:sz w:val="24"/>
        </w:rPr>
        <w:t>PI3K、AKT、mTOR</w:t>
      </w:r>
      <w:r>
        <w:rPr>
          <w:sz w:val="24"/>
        </w:rPr>
        <w:t>）的表达改变与肌肉粗蛋白质含量及肌肉生成调节基因的表达趋势一致，表明裂殖壶菌可能通过PI3K/AKT/mTOR信号通路促进凡纳滨对虾肌肉生长和肉品质提升。这可能与裂殖壶菌富含丰富的不饱和脂肪酸有关，相关研究结果表明，EPA和DHA可以通过激活雷帕霉素靶蛋白（TOR）信号通路来刺激细胞增殖，促进蛋白质合成，并抑制蛋白质降解</w:t>
      </w:r>
      <w:r>
        <w:rPr>
          <w:sz w:val="24"/>
          <w:vertAlign w:val="superscript"/>
        </w:rPr>
        <w:t>[24]</w:t>
      </w:r>
      <w:r>
        <w:rPr>
          <w:sz w:val="24"/>
        </w:rPr>
        <w:t>。在草鱼（</w:t>
      </w:r>
      <w:r>
        <w:rPr>
          <w:i/>
          <w:iCs/>
          <w:sz w:val="24"/>
        </w:rPr>
        <w:t>Ctenopharyngodon idellus</w:t>
      </w:r>
      <w:r>
        <w:rPr>
          <w:sz w:val="24"/>
        </w:rPr>
        <w:t>）中的研究表明</w:t>
      </w:r>
      <w:r>
        <w:rPr>
          <w:sz w:val="24"/>
          <w:vertAlign w:val="superscript"/>
        </w:rPr>
        <w:t>[25]</w:t>
      </w:r>
      <w:r>
        <w:rPr>
          <w:sz w:val="24"/>
        </w:rPr>
        <w:t>，DHA诱导的肌肉蛋白质沉积可能与mTOR/S6K1信号通路的激活相关，该调控可能有助于脂质发挥“蛋白质节约作用”。</w:t>
      </w:r>
    </w:p>
    <w:p w14:paraId="653CCFD0">
      <w:pPr>
        <w:spacing w:line="360" w:lineRule="auto"/>
        <w:ind w:firstLine="420"/>
        <w:rPr>
          <w:sz w:val="24"/>
        </w:rPr>
      </w:pPr>
      <w:r>
        <w:rPr>
          <w:sz w:val="24"/>
        </w:rPr>
        <w:t>肌肉质构特性包括硬度、弹性、咀嚼性、胶黏性、黏附性和内聚性</w:t>
      </w:r>
      <w:r>
        <w:rPr>
          <w:sz w:val="24"/>
          <w:vertAlign w:val="superscript"/>
        </w:rPr>
        <w:t>[26]</w:t>
      </w:r>
      <w:r>
        <w:rPr>
          <w:sz w:val="24"/>
        </w:rPr>
        <w:t>，而持水力能够反映可溶性物质在肌肉中的流失情况</w:t>
      </w:r>
      <w:r>
        <w:rPr>
          <w:sz w:val="24"/>
          <w:vertAlign w:val="superscript"/>
        </w:rPr>
        <w:t>[27]</w:t>
      </w:r>
      <w:r>
        <w:rPr>
          <w:sz w:val="24"/>
        </w:rPr>
        <w:t>。试验结果表明，与CON组相比，饲料添加未破壁和破壁裂殖壶菌均能够显著降低肌肉蒸煮损失率，而添加破壁裂殖壶菌可提高肌肉硬度、胶黏性、咀嚼性和内聚性，这一结果提示肌肉的持水力和质构特性得到明显改善。研究表明，肌肉胶原蛋白含量与肌肉持水力和质构特性呈正相关</w:t>
      </w:r>
      <w:r>
        <w:rPr>
          <w:snapToGrid w:val="0"/>
          <w:color w:val="000000"/>
          <w:spacing w:val="-5"/>
          <w:kern w:val="0"/>
          <w:sz w:val="24"/>
          <w:vertAlign w:val="superscript"/>
        </w:rPr>
        <w:t>[28－31]</w:t>
      </w:r>
      <w:r>
        <w:rPr>
          <w:sz w:val="24"/>
        </w:rPr>
        <w:t>。在本试验中，饲料添加破壁裂殖壶菌的对虾肌肉中胶原蛋白含量的显著高于其他组，表明破壁处理有利于裂殖壶菌中活性成分的释放与吸收。TGF-</w:t>
      </w:r>
      <w:r>
        <w:rPr>
          <w:sz w:val="24"/>
          <w:lang w:eastAsia="en-US"/>
        </w:rPr>
        <w:t>β</w:t>
      </w:r>
      <w:r>
        <w:rPr>
          <w:sz w:val="24"/>
        </w:rPr>
        <w:t>信号通路在胶原蛋白合成的过程中起重要作用</w:t>
      </w:r>
      <w:r>
        <w:rPr>
          <w:snapToGrid w:val="0"/>
          <w:color w:val="000000"/>
          <w:spacing w:val="-5"/>
          <w:kern w:val="0"/>
          <w:sz w:val="24"/>
          <w:vertAlign w:val="superscript"/>
        </w:rPr>
        <w:t>[32－34]</w:t>
      </w:r>
      <w:r>
        <w:rPr>
          <w:sz w:val="24"/>
        </w:rPr>
        <w:t>，在本研究中，饲料添加裂殖壶菌的对虾肌肉TGF-</w:t>
      </w:r>
      <w:r>
        <w:rPr>
          <w:sz w:val="24"/>
          <w:lang w:eastAsia="en-US"/>
        </w:rPr>
        <w:t>β</w:t>
      </w:r>
      <w:r>
        <w:rPr>
          <w:sz w:val="24"/>
        </w:rPr>
        <w:t>基因表达显著上调，与肌肉胶原蛋白含量变化趋势相同，说明饲料添加裂殖壶菌通过激活TGF-</w:t>
      </w:r>
      <w:r>
        <w:rPr>
          <w:sz w:val="24"/>
          <w:lang w:eastAsia="en-US"/>
        </w:rPr>
        <w:t>β</w:t>
      </w:r>
      <w:r>
        <w:rPr>
          <w:sz w:val="24"/>
        </w:rPr>
        <w:t>信号通路，促进了肌肉胶原蛋白的合成，并影响肌肉持水力和质构特性。</w:t>
      </w:r>
    </w:p>
    <w:p w14:paraId="68FD3C72">
      <w:pPr>
        <w:kinsoku w:val="0"/>
        <w:autoSpaceDE w:val="0"/>
        <w:autoSpaceDN w:val="0"/>
        <w:adjustRightInd w:val="0"/>
        <w:snapToGrid w:val="0"/>
        <w:spacing w:before="120" w:after="60" w:line="360" w:lineRule="auto"/>
        <w:ind w:left="11" w:right="68"/>
        <w:jc w:val="left"/>
        <w:textAlignment w:val="baseline"/>
        <w:rPr>
          <w:snapToGrid w:val="0"/>
          <w:color w:val="000000"/>
          <w:spacing w:val="16"/>
          <w:kern w:val="0"/>
          <w:sz w:val="24"/>
        </w:rPr>
      </w:pPr>
      <w:r>
        <w:rPr>
          <w:snapToGrid w:val="0"/>
          <w:color w:val="000000"/>
          <w:spacing w:val="16"/>
          <w:kern w:val="0"/>
          <w:sz w:val="24"/>
        </w:rPr>
        <w:t>3.2 饲料添加不同形式裂殖壶菌对凡纳滨对虾肌肉抗氧化能力的影响</w:t>
      </w:r>
    </w:p>
    <w:p w14:paraId="5604D21B">
      <w:pPr>
        <w:spacing w:line="360" w:lineRule="auto"/>
        <w:ind w:firstLine="420"/>
        <w:rPr>
          <w:sz w:val="24"/>
        </w:rPr>
      </w:pPr>
      <w:r>
        <w:rPr>
          <w:sz w:val="24"/>
        </w:rPr>
        <w:t>肌肉的抗氧化能力是维持肌肉品质的关键，氧化反应会导致肌肉中脂质、蛋白质等营养物质发生变化，致使肌肉发生损伤、颜色褐变等不良反应</w:t>
      </w:r>
      <w:r>
        <w:rPr>
          <w:sz w:val="24"/>
          <w:vertAlign w:val="superscript"/>
        </w:rPr>
        <w:t>[35]</w:t>
      </w:r>
      <w:r>
        <w:rPr>
          <w:sz w:val="24"/>
        </w:rPr>
        <w:t>。T-AOC和MDA含量是重要的抗氧化指标</w:t>
      </w:r>
      <w:r>
        <w:rPr>
          <w:snapToGrid w:val="0"/>
          <w:color w:val="000000"/>
          <w:spacing w:val="-5"/>
          <w:kern w:val="0"/>
          <w:sz w:val="24"/>
          <w:vertAlign w:val="superscript"/>
        </w:rPr>
        <w:t>[36－37]</w:t>
      </w:r>
      <w:r>
        <w:rPr>
          <w:sz w:val="24"/>
        </w:rPr>
        <w:t>。在本试验中，与CON组相比，饲料添加未破壁裂殖壶菌对肌肉T-AOC无显著影响，但显著降低肌肉MDA含量，显著上调肌肉</w:t>
      </w:r>
      <w:r>
        <w:rPr>
          <w:i/>
          <w:iCs/>
          <w:sz w:val="24"/>
        </w:rPr>
        <w:t>SOD、CAT</w:t>
      </w:r>
      <w:r>
        <w:rPr>
          <w:sz w:val="24"/>
        </w:rPr>
        <w:t>基因表达。上述结果表明，未破壁裂殖壶菌可通过增强肌肉抗氧化相关基因的表达、减少脂质过氧化产物积累，从而抑制肌肉营养物质降解，改善肌肉品质。这可能与裂殖壶菌富含DHA等不饱和脂肪酸、蛋白质、矿物质、多糖、活性多肽等营养物质有关</w:t>
      </w:r>
      <w:r>
        <w:rPr>
          <w:sz w:val="24"/>
          <w:vertAlign w:val="superscript"/>
        </w:rPr>
        <w:t>[38]</w:t>
      </w:r>
      <w:r>
        <w:rPr>
          <w:sz w:val="24"/>
        </w:rPr>
        <w:t>。研究发现，补充DHA可缓解草鱼肌肉氧化应激</w:t>
      </w:r>
      <w:r>
        <w:rPr>
          <w:sz w:val="24"/>
          <w:vertAlign w:val="superscript"/>
        </w:rPr>
        <w:t>[25]</w:t>
      </w:r>
      <w:r>
        <w:rPr>
          <w:sz w:val="24"/>
        </w:rPr>
        <w:t>;在低鱼粉饲料中添加裂殖壶菌能够提高凡纳滨对虾肌肉抗氧化能力</w:t>
      </w:r>
      <w:r>
        <w:rPr>
          <w:sz w:val="24"/>
          <w:vertAlign w:val="superscript"/>
        </w:rPr>
        <w:t>[7]</w:t>
      </w:r>
      <w:r>
        <w:rPr>
          <w:sz w:val="24"/>
        </w:rPr>
        <w:t>，上述结论与本试验结果相符，类似结果在尼罗罗非鱼</w:t>
      </w:r>
      <w:r>
        <w:rPr>
          <w:sz w:val="24"/>
          <w:vertAlign w:val="superscript"/>
        </w:rPr>
        <w:t>[39]</w:t>
      </w:r>
      <w:r>
        <w:rPr>
          <w:sz w:val="24"/>
        </w:rPr>
        <w:t>（</w:t>
      </w:r>
      <w:r>
        <w:rPr>
          <w:i/>
          <w:iCs/>
          <w:sz w:val="24"/>
        </w:rPr>
        <w:t>Oreochromis niloticus</w:t>
      </w:r>
      <w:r>
        <w:rPr>
          <w:sz w:val="24"/>
        </w:rPr>
        <w:t>）研究中也有报道。本试验中，饲料添加破壁裂殖壶菌后，对虾肌肉T-AOC显著提高，同时肌肉MDA含量显著升高。T-AOC升高表明对虾机体抗氧化系统被激活，抗氧化防御能力上调</w:t>
      </w:r>
      <w:r>
        <w:rPr>
          <w:rFonts w:ascii="Calibri" w:hAnsi="Calibri"/>
          <w:szCs w:val="21"/>
        </w:rPr>
        <w:t>；</w:t>
      </w:r>
      <w:r>
        <w:rPr>
          <w:sz w:val="24"/>
        </w:rPr>
        <w:t>而MDA含量升高反映脂质过氧化程度加剧，这可能与破壁处理释放的部分活性物质诱导体内自由基生成、超出抗氧化系统即时清除能力有关。</w:t>
      </w:r>
    </w:p>
    <w:p w14:paraId="11FD36D8">
      <w:pPr>
        <w:kinsoku w:val="0"/>
        <w:autoSpaceDE w:val="0"/>
        <w:autoSpaceDN w:val="0"/>
        <w:adjustRightInd w:val="0"/>
        <w:snapToGrid w:val="0"/>
        <w:spacing w:before="120" w:after="60" w:line="360" w:lineRule="auto"/>
        <w:ind w:left="11" w:right="68"/>
        <w:jc w:val="left"/>
        <w:textAlignment w:val="baseline"/>
        <w:rPr>
          <w:snapToGrid w:val="0"/>
          <w:color w:val="000000"/>
          <w:spacing w:val="16"/>
          <w:kern w:val="0"/>
          <w:sz w:val="24"/>
        </w:rPr>
      </w:pPr>
      <w:r>
        <w:rPr>
          <w:snapToGrid w:val="0"/>
          <w:color w:val="000000"/>
          <w:spacing w:val="16"/>
          <w:kern w:val="0"/>
          <w:sz w:val="24"/>
        </w:rPr>
        <w:t>3.3 饲料添加不同形式裂殖壶菌对凡纳滨对虾肌肉组织学的影响</w:t>
      </w:r>
    </w:p>
    <w:p w14:paraId="3A2DB890">
      <w:pPr>
        <w:spacing w:line="360" w:lineRule="auto"/>
        <w:ind w:firstLine="420"/>
        <w:rPr>
          <w:sz w:val="24"/>
        </w:rPr>
      </w:pPr>
      <w:r>
        <w:rPr>
          <w:sz w:val="24"/>
        </w:rPr>
        <w:t>肌纤维是肌肉组织的基本构成单位，因此肌纤维的特性在一定程度上决定了肌肉品质</w:t>
      </w:r>
      <w:r>
        <w:rPr>
          <w:sz w:val="24"/>
          <w:vertAlign w:val="superscript"/>
        </w:rPr>
        <w:t>[19]</w:t>
      </w:r>
      <w:r>
        <w:rPr>
          <w:sz w:val="24"/>
        </w:rPr>
        <w:t>。而肌纤维直径和密度是评估肌肉品质的重要指标</w:t>
      </w:r>
      <w:r>
        <w:rPr>
          <w:sz w:val="24"/>
          <w:vertAlign w:val="superscript"/>
        </w:rPr>
        <w:t>[40]</w:t>
      </w:r>
      <w:r>
        <w:rPr>
          <w:sz w:val="24"/>
        </w:rPr>
        <w:t>。在本试验中，饲料添加裂殖壶菌显著减小肌纤维直径，而饲料添加破壁裂殖壶菌可使肌肉纤维排列更加紧密。已有研究表明，肌纤维细化及致密排列与肌肉弹性提升、质构优化有关</w:t>
      </w:r>
      <w:r>
        <w:rPr>
          <w:sz w:val="24"/>
          <w:vertAlign w:val="superscript"/>
        </w:rPr>
        <w:t>[41]</w:t>
      </w:r>
      <w:r>
        <w:rPr>
          <w:sz w:val="24"/>
        </w:rPr>
        <w:t>。结合本试验结果，推测上述肌纤维形态学改变可能有助于提高肌肉弹性，改善肌肉质构特性。这种现象的出现可能与裂殖壶菌富含丰富的DHA有关。已有研究证实，饲料添加DHA可降低团头鲂（</w:t>
      </w:r>
      <w:r>
        <w:rPr>
          <w:i/>
          <w:iCs/>
          <w:sz w:val="24"/>
        </w:rPr>
        <w:t>Megalobrama amblycephala</w:t>
      </w:r>
      <w:r>
        <w:rPr>
          <w:sz w:val="24"/>
        </w:rPr>
        <w:t>）的肌纤维直径，进而改善其肌纤维相关特性</w:t>
      </w:r>
      <w:r>
        <w:rPr>
          <w:sz w:val="24"/>
          <w:vertAlign w:val="superscript"/>
        </w:rPr>
        <w:t>[42]</w:t>
      </w:r>
      <w:r>
        <w:rPr>
          <w:sz w:val="24"/>
        </w:rPr>
        <w:t>;同时，DHA可显著上调草鱼肌肉肌源性调控因子的mRNA表达，包括肌分化因子（</w:t>
      </w:r>
      <w:r>
        <w:rPr>
          <w:i/>
          <w:iCs/>
          <w:sz w:val="24"/>
        </w:rPr>
        <w:t>MyoD</w:t>
      </w:r>
      <w:r>
        <w:rPr>
          <w:sz w:val="24"/>
        </w:rPr>
        <w:t>）、生肌因子5（</w:t>
      </w:r>
      <w:r>
        <w:rPr>
          <w:i/>
          <w:iCs/>
          <w:sz w:val="24"/>
        </w:rPr>
        <w:t>Myf5</w:t>
      </w:r>
      <w:r>
        <w:rPr>
          <w:sz w:val="24"/>
        </w:rPr>
        <w:t>）、肌原调节因子4（</w:t>
      </w:r>
      <w:r>
        <w:rPr>
          <w:i/>
          <w:iCs/>
          <w:sz w:val="24"/>
        </w:rPr>
        <w:t>Mrf4</w:t>
      </w:r>
      <w:r>
        <w:rPr>
          <w:sz w:val="24"/>
        </w:rPr>
        <w:t>）及肌细胞生成素（</w:t>
      </w:r>
      <w:r>
        <w:rPr>
          <w:i/>
          <w:iCs/>
          <w:sz w:val="24"/>
        </w:rPr>
        <w:t>Myog</w:t>
      </w:r>
      <w:r>
        <w:rPr>
          <w:sz w:val="24"/>
        </w:rPr>
        <w:t>），从而改善肌纤维结构</w:t>
      </w:r>
      <w:r>
        <w:rPr>
          <w:sz w:val="24"/>
          <w:vertAlign w:val="superscript"/>
        </w:rPr>
        <w:t>[43]</w:t>
      </w:r>
      <w:r>
        <w:rPr>
          <w:sz w:val="24"/>
        </w:rPr>
        <w:t>。由此推测，裂殖壶菌可能是通过影响凡纳滨对虾肌纤维发育，降低肌纤维直径，从而改善对虾肌肉品质，提升口感。</w:t>
      </w:r>
    </w:p>
    <w:p w14:paraId="070E39B8">
      <w:pPr>
        <w:kinsoku w:val="0"/>
        <w:autoSpaceDE w:val="0"/>
        <w:autoSpaceDN w:val="0"/>
        <w:adjustRightInd w:val="0"/>
        <w:snapToGrid w:val="0"/>
        <w:spacing w:before="160" w:after="80" w:line="360" w:lineRule="auto"/>
        <w:ind w:left="11" w:right="68"/>
        <w:jc w:val="left"/>
        <w:textAlignment w:val="baseline"/>
        <w:rPr>
          <w:sz w:val="24"/>
        </w:rPr>
      </w:pPr>
      <w:r>
        <w:rPr>
          <w:sz w:val="24"/>
        </w:rPr>
        <w:t>4</w:t>
      </w:r>
      <w:r>
        <w:rPr>
          <w:rFonts w:hint="eastAsia"/>
          <w:sz w:val="24"/>
        </w:rPr>
        <w:t xml:space="preserve"> </w:t>
      </w:r>
      <w:r>
        <w:rPr>
          <w:sz w:val="24"/>
        </w:rPr>
        <w:t>结论</w:t>
      </w:r>
    </w:p>
    <w:p w14:paraId="47C8ED4F">
      <w:pPr>
        <w:spacing w:line="360" w:lineRule="auto"/>
        <w:ind w:firstLine="420"/>
        <w:rPr>
          <w:sz w:val="24"/>
        </w:rPr>
      </w:pPr>
      <w:r>
        <w:rPr>
          <w:rFonts w:ascii="Cambria Math" w:hAnsi="Cambria Math" w:cs="Cambria Math"/>
          <w:sz w:val="24"/>
        </w:rPr>
        <w:t>①</w:t>
      </w:r>
      <w:r>
        <w:rPr>
          <w:sz w:val="24"/>
        </w:rPr>
        <w:t>饲料添加裂殖壶菌可激活凡纳滨对虾肌肉中PI3K/AKT/mTOR信号通路及肌肉生成调节基因的表达，提高肌肉粗蛋白质和胶原蛋白含量。</w:t>
      </w:r>
    </w:p>
    <w:p w14:paraId="0244C2A6">
      <w:pPr>
        <w:spacing w:line="360" w:lineRule="auto"/>
        <w:ind w:firstLine="420"/>
        <w:rPr>
          <w:sz w:val="24"/>
        </w:rPr>
      </w:pPr>
      <w:r>
        <w:rPr>
          <w:rFonts w:ascii="Cambria Math" w:hAnsi="Cambria Math" w:cs="Cambria Math"/>
          <w:sz w:val="24"/>
        </w:rPr>
        <w:t>②</w:t>
      </w:r>
      <w:r>
        <w:rPr>
          <w:sz w:val="24"/>
        </w:rPr>
        <w:t>与破壁裂殖壶菌相比，未破壁裂殖壶菌可以提高凡纳滨对虾肌肉抗氧化能力，减少氧化应激。</w:t>
      </w:r>
    </w:p>
    <w:p w14:paraId="0B9F2C15">
      <w:pPr>
        <w:pStyle w:val="9"/>
        <w:spacing w:line="360" w:lineRule="auto"/>
        <w:ind w:firstLine="480" w:firstLineChars="200"/>
        <w:jc w:val="both"/>
        <w:rPr>
          <w:rFonts w:eastAsiaTheme="minorEastAsia"/>
          <w:sz w:val="24"/>
          <w:lang w:eastAsia="zh-CN"/>
        </w:rPr>
      </w:pPr>
      <w:r>
        <w:rPr>
          <w:rFonts w:ascii="Cambria Math" w:hAnsi="Cambria Math" w:eastAsia="宋体" w:cs="Cambria Math"/>
          <w:kern w:val="2"/>
          <w:sz w:val="24"/>
          <w:szCs w:val="24"/>
          <w:lang w:eastAsia="zh-CN" w:bidi="ar-SA"/>
        </w:rPr>
        <w:t>③</w:t>
      </w:r>
      <w:r>
        <w:rPr>
          <w:rFonts w:eastAsia="宋体"/>
          <w:kern w:val="2"/>
          <w:sz w:val="24"/>
          <w:szCs w:val="24"/>
          <w:lang w:eastAsia="zh-CN" w:bidi="ar-SA"/>
        </w:rPr>
        <w:t>与未破壁裂殖壶菌相比，破壁裂殖壶菌能够提高凡纳滨对虾肌肉胶原蛋白含量，减小肌纤维直径，改善肌肉质构特性</w:t>
      </w:r>
      <w:r>
        <w:rPr>
          <w:rFonts w:hint="eastAsia"/>
          <w:sz w:val="24"/>
          <w:lang w:eastAsia="zh-CN"/>
        </w:rPr>
        <w:t>。</w:t>
      </w:r>
    </w:p>
    <w:p w14:paraId="46AAABAF">
      <w:pPr>
        <w:rPr>
          <w:rFonts w:hint="eastAsia" w:ascii="宋体" w:hAnsi="宋体" w:cs="宋体"/>
          <w:sz w:val="24"/>
        </w:rPr>
      </w:pPr>
      <w:r>
        <w:rPr>
          <w:sz w:val="24"/>
        </w:rPr>
        <w:t>参考文献：略</w:t>
      </w:r>
    </w:p>
    <w:p w14:paraId="6EC0862B">
      <w:pPr>
        <w:spacing w:line="360" w:lineRule="auto"/>
        <w:jc w:val="right"/>
        <w:rPr>
          <w:szCs w:val="21"/>
        </w:rPr>
      </w:pPr>
      <w:r>
        <w:rPr>
          <w:rFonts w:hint="eastAsia" w:ascii="宋体" w:hAnsi="宋体" w:cs="宋体"/>
          <w:szCs w:val="21"/>
        </w:rPr>
        <w:t>原文刊登在《动物营养学报》2026年第9</w:t>
      </w:r>
      <w:r>
        <w:rPr>
          <w:rFonts w:hint="eastAsia"/>
          <w:szCs w:val="21"/>
        </w:rPr>
        <w:t>期</w:t>
      </w:r>
    </w:p>
    <w:p w14:paraId="579EEFD3">
      <w:pPr>
        <w:spacing w:line="360" w:lineRule="auto"/>
        <w:ind w:right="840"/>
        <w:rPr>
          <w:rStyle w:val="97"/>
          <w:rFonts w:eastAsiaTheme="minorEastAsia"/>
          <w:szCs w:val="21"/>
        </w:rPr>
      </w:pPr>
    </w:p>
    <w:p w14:paraId="07523AC9">
      <w:pPr>
        <w:jc w:val="center"/>
        <w:outlineLvl w:val="1"/>
        <w:rPr>
          <w:rFonts w:hint="eastAsia" w:eastAsia="黑体"/>
          <w:b/>
          <w:bCs/>
          <w:sz w:val="32"/>
          <w:szCs w:val="32"/>
        </w:rPr>
      </w:pPr>
      <w:bookmarkStart w:id="30" w:name="_Toc241496790"/>
      <w:r>
        <w:rPr>
          <w:rFonts w:eastAsia="黑体"/>
          <w:b/>
          <w:bCs/>
          <w:sz w:val="32"/>
          <w:szCs w:val="32"/>
        </w:rPr>
        <w:t>油脂黏度对水产膨化饲料后喷涂漏油率的影响及预测模型构建</w:t>
      </w:r>
      <w:bookmarkEnd w:id="30"/>
    </w:p>
    <w:p w14:paraId="53F370BB">
      <w:pPr>
        <w:jc w:val="center"/>
        <w:rPr>
          <w:szCs w:val="21"/>
        </w:rPr>
      </w:pPr>
      <w:r>
        <w:rPr>
          <w:szCs w:val="21"/>
        </w:rPr>
        <w:t>赵宇辰</w:t>
      </w:r>
      <w:r>
        <w:rPr>
          <w:szCs w:val="21"/>
          <w:vertAlign w:val="superscript"/>
        </w:rPr>
        <w:t>1</w:t>
      </w:r>
      <w:r>
        <w:rPr>
          <w:szCs w:val="21"/>
        </w:rPr>
        <w:t xml:space="preserve">  王雪凝</w:t>
      </w:r>
      <w:r>
        <w:rPr>
          <w:szCs w:val="21"/>
          <w:vertAlign w:val="superscript"/>
        </w:rPr>
        <w:t>1</w:t>
      </w:r>
      <w:r>
        <w:rPr>
          <w:szCs w:val="21"/>
        </w:rPr>
        <w:t xml:space="preserve">  杨洁</w:t>
      </w:r>
      <w:r>
        <w:rPr>
          <w:szCs w:val="21"/>
          <w:vertAlign w:val="superscript"/>
        </w:rPr>
        <w:t>1</w:t>
      </w:r>
      <w:r>
        <w:rPr>
          <w:szCs w:val="21"/>
        </w:rPr>
        <w:t xml:space="preserve">  马世峰</w:t>
      </w:r>
      <w:r>
        <w:rPr>
          <w:szCs w:val="21"/>
          <w:vertAlign w:val="superscript"/>
        </w:rPr>
        <w:t>1</w:t>
      </w:r>
      <w:r>
        <w:rPr>
          <w:szCs w:val="21"/>
        </w:rPr>
        <w:t xml:space="preserve">  梁晓芳</w:t>
      </w:r>
      <w:r>
        <w:rPr>
          <w:szCs w:val="21"/>
          <w:vertAlign w:val="superscript"/>
        </w:rPr>
        <w:t>1</w:t>
      </w:r>
      <w:r>
        <w:rPr>
          <w:szCs w:val="21"/>
        </w:rPr>
        <w:t xml:space="preserve">  朱亚平</w:t>
      </w:r>
      <w:r>
        <w:rPr>
          <w:szCs w:val="21"/>
          <w:vertAlign w:val="superscript"/>
        </w:rPr>
        <w:t>1</w:t>
      </w:r>
      <w:r>
        <w:rPr>
          <w:rFonts w:hint="eastAsia"/>
          <w:szCs w:val="21"/>
        </w:rPr>
        <w:t xml:space="preserve">  </w:t>
      </w:r>
      <w:r>
        <w:rPr>
          <w:szCs w:val="21"/>
        </w:rPr>
        <w:t>王杰</w:t>
      </w:r>
      <w:r>
        <w:rPr>
          <w:szCs w:val="21"/>
          <w:vertAlign w:val="superscript"/>
        </w:rPr>
        <w:t>1</w:t>
      </w:r>
      <w:r>
        <w:rPr>
          <w:szCs w:val="21"/>
        </w:rPr>
        <w:t xml:space="preserve">  薛敏</w:t>
      </w:r>
      <w:r>
        <w:rPr>
          <w:szCs w:val="21"/>
          <w:vertAlign w:val="superscript"/>
        </w:rPr>
        <w:t>1</w:t>
      </w:r>
      <w:r>
        <w:rPr>
          <w:rFonts w:hint="eastAsia"/>
          <w:szCs w:val="21"/>
          <w:vertAlign w:val="superscript"/>
        </w:rPr>
        <w:t>.</w:t>
      </w:r>
      <w:r>
        <w:rPr>
          <w:szCs w:val="21"/>
          <w:vertAlign w:val="superscript"/>
        </w:rPr>
        <w:t>2</w:t>
      </w:r>
      <w:r>
        <w:fldChar w:fldCharType="begin"/>
      </w:r>
      <w:r>
        <w:instrText xml:space="preserve"> HYPERLINK \l "bookmark1" </w:instrText>
      </w:r>
      <w:r>
        <w:fldChar w:fldCharType="separate"/>
      </w:r>
      <w:r>
        <w:rPr>
          <w:rStyle w:val="25"/>
          <w:szCs w:val="21"/>
          <w:vertAlign w:val="superscript"/>
        </w:rPr>
        <w:t>*</w:t>
      </w:r>
      <w:r>
        <w:rPr>
          <w:rStyle w:val="25"/>
          <w:szCs w:val="21"/>
          <w:vertAlign w:val="superscript"/>
        </w:rPr>
        <w:fldChar w:fldCharType="end"/>
      </w:r>
      <w:r>
        <w:rPr>
          <w:szCs w:val="21"/>
        </w:rPr>
        <w:t xml:space="preserve">  王昊</w:t>
      </w:r>
      <w:r>
        <w:rPr>
          <w:szCs w:val="21"/>
          <w:vertAlign w:val="superscript"/>
        </w:rPr>
        <w:t>1</w:t>
      </w:r>
      <w:r>
        <w:fldChar w:fldCharType="begin"/>
      </w:r>
      <w:r>
        <w:instrText xml:space="preserve"> HYPERLINK \l "bookmark1" </w:instrText>
      </w:r>
      <w:r>
        <w:fldChar w:fldCharType="separate"/>
      </w:r>
      <w:r>
        <w:rPr>
          <w:rStyle w:val="25"/>
          <w:szCs w:val="21"/>
          <w:vertAlign w:val="superscript"/>
        </w:rPr>
        <w:t>*</w:t>
      </w:r>
      <w:r>
        <w:rPr>
          <w:rStyle w:val="25"/>
          <w:szCs w:val="21"/>
          <w:vertAlign w:val="superscript"/>
        </w:rPr>
        <w:fldChar w:fldCharType="end"/>
      </w:r>
    </w:p>
    <w:p w14:paraId="120A4D7B">
      <w:pPr>
        <w:jc w:val="center"/>
        <w:rPr>
          <w:szCs w:val="21"/>
        </w:rPr>
      </w:pPr>
      <w:r>
        <w:rPr>
          <w:szCs w:val="21"/>
        </w:rPr>
        <w:t>（1</w:t>
      </w:r>
      <w:r>
        <w:rPr>
          <w:rFonts w:hint="eastAsia"/>
          <w:szCs w:val="21"/>
        </w:rPr>
        <w:t>.</w:t>
      </w:r>
      <w:r>
        <w:rPr>
          <w:szCs w:val="21"/>
        </w:rPr>
        <w:t>中国农业科学院饲料研究所，饲料加工与质量安全创新团队，北京100081; 2</w:t>
      </w:r>
      <w:r>
        <w:rPr>
          <w:rFonts w:hint="eastAsia"/>
          <w:szCs w:val="21"/>
        </w:rPr>
        <w:t>.</w:t>
      </w:r>
      <w:r>
        <w:rPr>
          <w:szCs w:val="21"/>
        </w:rPr>
        <w:t>农业农村部绿色智能饲料加工装备重点实验室，扬州225100）</w:t>
      </w:r>
    </w:p>
    <w:p w14:paraId="304B2041">
      <w:pPr>
        <w:rPr>
          <w:szCs w:val="21"/>
        </w:rPr>
      </w:pPr>
      <w:r>
        <w:rPr>
          <w:b/>
          <w:bCs/>
          <w:szCs w:val="21"/>
        </w:rPr>
        <w:t>摘要</w:t>
      </w:r>
      <w:r>
        <w:rPr>
          <w:rFonts w:hint="eastAsia"/>
          <w:szCs w:val="21"/>
        </w:rPr>
        <w:t>：</w:t>
      </w:r>
      <w:r>
        <w:rPr>
          <w:rFonts w:hint="eastAsia"/>
          <w:bCs/>
          <w:szCs w:val="21"/>
        </w:rPr>
        <w:t xml:space="preserve">本研究采用流变学方法评价豆油、鱼油、棉籽油、亚麻籽油、棕榈油、黑水虻油和大麦虫油等11份不同种类及来源的油脂样品在不同温度下（24～60 </w:t>
      </w:r>
      <w:r>
        <w:rPr>
          <w:bCs/>
          <w:szCs w:val="21"/>
        </w:rPr>
        <w:t>ºC</w:t>
      </w:r>
      <w:r>
        <w:rPr>
          <w:rFonts w:hint="eastAsia"/>
          <w:bCs/>
          <w:szCs w:val="21"/>
        </w:rPr>
        <w:t>）的黏度特性，并基于水产膨化饲料真空后喷涂试验揭示不同油源及其黏度特性对漏油率的影响规律，建立漏油率预测模型。结果表明:黑水虻油（76.67 mPa·s）和棕榈油（60.23 mPa·s）黏度较高，而鱼油黏度（5.80 mPa·s）最低，其余油源黏度接近（39.30～52.83 mPa·s），且各油源间黏度差异随温度升高而减少。对不同油源进行温度－黏度关系的拟合分析结果显示，幂定律模型（</w:t>
      </w:r>
      <w:r>
        <w:rPr>
          <w:rFonts w:hint="eastAsia"/>
          <w:bCs/>
          <w:i/>
          <w:iCs/>
          <w:szCs w:val="21"/>
        </w:rPr>
        <w:t>R</w:t>
      </w:r>
      <w:r>
        <w:rPr>
          <w:rFonts w:hint="eastAsia"/>
          <w:bCs/>
          <w:szCs w:val="21"/>
          <w:vertAlign w:val="superscript"/>
        </w:rPr>
        <w:t xml:space="preserve">2 </w:t>
      </w:r>
      <w:r>
        <w:rPr>
          <w:rFonts w:hint="eastAsia"/>
          <w:bCs/>
          <w:szCs w:val="21"/>
        </w:rPr>
        <w:t>= 0.98）拟合效果最佳。结合后喷涂试验数据分析，确定油脂黏度与饲料漏油率之间存在极显著的负相关关系（</w:t>
      </w:r>
      <w:r>
        <w:rPr>
          <w:rFonts w:hint="eastAsia"/>
          <w:bCs/>
          <w:i/>
          <w:iCs/>
          <w:szCs w:val="21"/>
        </w:rPr>
        <w:t>P</w:t>
      </w:r>
      <w:r>
        <w:rPr>
          <w:rFonts w:hint="eastAsia"/>
          <w:bCs/>
          <w:szCs w:val="21"/>
        </w:rPr>
        <w:t>＜0.01），其中黑水虻油（2.84%）和棕榈油（2.92%）的漏油率较低，鱼油的漏油率（4.10%）最高，而其余油源的漏油率较为接近，集中在3.29%～3.43%。进一步通过数据整合分析，构建了包含温度、黏度及后喷涂比例的二阶多项式预测模型（</w:t>
      </w:r>
      <w:r>
        <w:rPr>
          <w:rFonts w:hint="eastAsia"/>
          <w:bCs/>
          <w:i/>
          <w:iCs/>
          <w:szCs w:val="21"/>
        </w:rPr>
        <w:t>R</w:t>
      </w:r>
      <w:r>
        <w:rPr>
          <w:rFonts w:hint="eastAsia"/>
          <w:bCs/>
          <w:szCs w:val="21"/>
          <w:vertAlign w:val="superscript"/>
        </w:rPr>
        <w:t xml:space="preserve">2 </w:t>
      </w:r>
      <w:r>
        <w:rPr>
          <w:rFonts w:hint="eastAsia"/>
          <w:bCs/>
          <w:szCs w:val="21"/>
        </w:rPr>
        <w:t>= 0.99），独立样本验证结果显示，该预测模型预测偏差低［均方根误差（RMSE）= 0.1348，平均绝对百分比误差（MAPE）=3.42%］，具有良好的泛化能力。综上所述，本研究揭示出油脂黏度是决定膨化颗粒饲料后喷涂稳定性的关键物理指标，二者之间存在极显著的负相关关系；本研究构建的整合特征流变参数、储藏环境温度及后喷涂比例的综合预测模型可为高油脂饲料后喷涂工艺中油源的选择与判别提供重要参考</w:t>
      </w:r>
      <w:r>
        <w:rPr>
          <w:szCs w:val="21"/>
        </w:rPr>
        <w:t>。</w:t>
      </w:r>
    </w:p>
    <w:p w14:paraId="4D213CC6">
      <w:pPr>
        <w:rPr>
          <w:szCs w:val="21"/>
        </w:rPr>
      </w:pPr>
      <w:r>
        <w:rPr>
          <w:b/>
          <w:bCs/>
          <w:szCs w:val="21"/>
        </w:rPr>
        <w:t>关键词</w:t>
      </w:r>
      <w:r>
        <w:rPr>
          <w:szCs w:val="21"/>
        </w:rPr>
        <w:t>：</w:t>
      </w:r>
      <w:r>
        <w:rPr>
          <w:rFonts w:hint="eastAsia"/>
          <w:bCs/>
          <w:szCs w:val="21"/>
        </w:rPr>
        <w:t>后喷涂工艺；油源；黏度；漏油率；预测模型</w:t>
      </w:r>
    </w:p>
    <w:p w14:paraId="71223DA2">
      <w:pPr>
        <w:jc w:val="center"/>
        <w:rPr>
          <w:b/>
          <w:bCs/>
          <w:sz w:val="24"/>
        </w:rPr>
      </w:pPr>
      <w:r>
        <w:rPr>
          <w:b/>
          <w:bCs/>
          <w:sz w:val="24"/>
        </w:rPr>
        <w:t>Effects of Oil Viscosity on Oil Leakage Rate in Post-Spraying Process of</w:t>
      </w:r>
      <w:r>
        <w:rPr>
          <w:rFonts w:hint="eastAsia"/>
          <w:b/>
          <w:bCs/>
          <w:sz w:val="24"/>
        </w:rPr>
        <w:t xml:space="preserve"> </w:t>
      </w:r>
      <w:r>
        <w:rPr>
          <w:b/>
          <w:bCs/>
          <w:sz w:val="24"/>
        </w:rPr>
        <w:t>Aquatic Extruded Feed and Construction of Prediction Models</w:t>
      </w:r>
    </w:p>
    <w:p w14:paraId="66E32531">
      <w:pPr>
        <w:jc w:val="center"/>
        <w:rPr>
          <w:szCs w:val="21"/>
        </w:rPr>
      </w:pPr>
      <w:r>
        <w:rPr>
          <w:szCs w:val="21"/>
        </w:rPr>
        <w:t>ZHAO Yuchen</w:t>
      </w:r>
      <w:r>
        <w:rPr>
          <w:szCs w:val="21"/>
          <w:vertAlign w:val="superscript"/>
        </w:rPr>
        <w:t>1</w:t>
      </w:r>
      <w:r>
        <w:rPr>
          <w:szCs w:val="21"/>
        </w:rPr>
        <w:t xml:space="preserve">  WANG Xuening</w:t>
      </w:r>
      <w:r>
        <w:rPr>
          <w:szCs w:val="21"/>
          <w:vertAlign w:val="superscript"/>
        </w:rPr>
        <w:t>1</w:t>
      </w:r>
      <w:r>
        <w:rPr>
          <w:szCs w:val="21"/>
        </w:rPr>
        <w:t xml:space="preserve">  YANG Jie</w:t>
      </w:r>
      <w:r>
        <w:rPr>
          <w:szCs w:val="21"/>
          <w:vertAlign w:val="superscript"/>
        </w:rPr>
        <w:t>1</w:t>
      </w:r>
      <w:r>
        <w:rPr>
          <w:szCs w:val="21"/>
        </w:rPr>
        <w:t xml:space="preserve">  MA Shifeng</w:t>
      </w:r>
      <w:r>
        <w:rPr>
          <w:szCs w:val="21"/>
          <w:vertAlign w:val="superscript"/>
        </w:rPr>
        <w:t>1</w:t>
      </w:r>
      <w:r>
        <w:rPr>
          <w:szCs w:val="21"/>
        </w:rPr>
        <w:t xml:space="preserve">  LIANG Xiaofang</w:t>
      </w:r>
      <w:r>
        <w:rPr>
          <w:szCs w:val="21"/>
          <w:vertAlign w:val="superscript"/>
        </w:rPr>
        <w:t>1</w:t>
      </w:r>
      <w:r>
        <w:rPr>
          <w:szCs w:val="21"/>
        </w:rPr>
        <w:t xml:space="preserve">  ZHU Yaping</w:t>
      </w:r>
      <w:r>
        <w:rPr>
          <w:szCs w:val="21"/>
          <w:vertAlign w:val="superscript"/>
        </w:rPr>
        <w:t>1</w:t>
      </w:r>
      <w:r>
        <w:rPr>
          <w:rFonts w:hint="eastAsia"/>
          <w:szCs w:val="21"/>
        </w:rPr>
        <w:t xml:space="preserve">  WANG Jie</w:t>
      </w:r>
      <w:r>
        <w:rPr>
          <w:rFonts w:hint="eastAsia"/>
          <w:szCs w:val="21"/>
          <w:vertAlign w:val="superscript"/>
        </w:rPr>
        <w:t>1</w:t>
      </w:r>
      <w:r>
        <w:rPr>
          <w:rFonts w:hint="eastAsia"/>
          <w:szCs w:val="21"/>
        </w:rPr>
        <w:t xml:space="preserve">  XUE Min</w:t>
      </w:r>
      <w:r>
        <w:rPr>
          <w:rFonts w:hint="eastAsia"/>
          <w:szCs w:val="21"/>
          <w:vertAlign w:val="superscript"/>
        </w:rPr>
        <w:t>1,2*</w:t>
      </w:r>
      <w:r>
        <w:rPr>
          <w:rFonts w:hint="eastAsia"/>
          <w:szCs w:val="21"/>
        </w:rPr>
        <w:t xml:space="preserve">  WANG Hao</w:t>
      </w:r>
      <w:r>
        <w:rPr>
          <w:rFonts w:hint="eastAsia"/>
          <w:szCs w:val="21"/>
          <w:vertAlign w:val="superscript"/>
        </w:rPr>
        <w:t>1*</w:t>
      </w:r>
    </w:p>
    <w:p w14:paraId="59EC2F43">
      <w:pPr>
        <w:jc w:val="center"/>
        <w:rPr>
          <w:i/>
          <w:iCs/>
          <w:szCs w:val="21"/>
        </w:rPr>
      </w:pPr>
      <w:r>
        <w:rPr>
          <w:szCs w:val="21"/>
        </w:rPr>
        <w:t>（</w:t>
      </w:r>
      <w:r>
        <w:rPr>
          <w:rFonts w:hint="eastAsia"/>
          <w:i/>
          <w:iCs/>
          <w:szCs w:val="21"/>
        </w:rPr>
        <w:t>1.Feed Processing and Quality and Safety Innovation Team, Feed Research Institute, Chinese Academy of Agricultural Sciences, Beijing 100081, China;2.Key Laboratory of Green and Intelligent Feed Processing Equipment, Ministry of Agriculture and Rural Affairs, Yangzhou 225100, China</w:t>
      </w:r>
      <w:r>
        <w:rPr>
          <w:szCs w:val="21"/>
        </w:rPr>
        <w:t>）</w:t>
      </w:r>
    </w:p>
    <w:p w14:paraId="54DDFB99">
      <w:pPr>
        <w:rPr>
          <w:szCs w:val="21"/>
        </w:rPr>
      </w:pPr>
      <w:r>
        <w:rPr>
          <w:b/>
          <w:bCs/>
          <w:szCs w:val="21"/>
        </w:rPr>
        <w:t>Abstract</w:t>
      </w:r>
      <w:r>
        <w:rPr>
          <w:szCs w:val="21"/>
        </w:rPr>
        <w:t xml:space="preserve">: </w:t>
      </w:r>
      <w:r>
        <w:rPr>
          <w:rFonts w:hint="eastAsia"/>
          <w:bCs/>
          <w:szCs w:val="21"/>
        </w:rPr>
        <w:t xml:space="preserve">In this study, rheological methods were employed to evaluate the viscosity characteristics of 11 oils from different sources, including soybean oil, fish oil, cottonseed oil, linseed oil, palm oil, black soldier fly oil and mealworm oil at temperatures ranging from 24 to 60 </w:t>
      </w:r>
      <w:r>
        <w:rPr>
          <w:bCs/>
          <w:szCs w:val="21"/>
        </w:rPr>
        <w:t>ºC</w:t>
      </w:r>
      <w:r>
        <w:rPr>
          <w:rFonts w:hint="eastAsia"/>
          <w:bCs/>
          <w:szCs w:val="21"/>
        </w:rPr>
        <w:t>. Based on vacuum post-spraying experiments of aquatic extruded feed, the influence of different oil sources and their viscosity characteristics on oil leakage rate was investigated, and a prediction model for oil leakage rate was established. The results showed that black soldier fly oil (76.67 mPa·s) and palm oil (60.23 mPa·s) exhibited relatively high viscosity, while fish oil showed the lowest viscosity (5.80 mPa·s). The viscosities of the other oil sources were comparable, ranging from 39.30 to 52.83 mPa·s, and the viscosity differences among all oil sources decreased as the temperature increased. Fitting analysis of the temperature-viscosity relationship for different oil sources indicated that the power law model provided the best fit (</w:t>
      </w:r>
      <w:r>
        <w:rPr>
          <w:rFonts w:hint="eastAsia"/>
          <w:bCs/>
          <w:i/>
          <w:iCs/>
          <w:szCs w:val="21"/>
        </w:rPr>
        <w:t>R</w:t>
      </w:r>
      <w:r>
        <w:rPr>
          <w:rFonts w:hint="eastAsia"/>
          <w:bCs/>
          <w:szCs w:val="21"/>
          <w:vertAlign w:val="superscript"/>
        </w:rPr>
        <w:t>2</w:t>
      </w:r>
      <w:r>
        <w:rPr>
          <w:rFonts w:hint="eastAsia"/>
          <w:bCs/>
          <w:szCs w:val="21"/>
        </w:rPr>
        <w:t xml:space="preserve"> = 0.98). Combined with the post spraying experimental data.an extremely significant negative correlation was identified between oil viscosity and oil leakage rate (</w:t>
      </w:r>
      <w:r>
        <w:rPr>
          <w:rFonts w:hint="eastAsia"/>
          <w:bCs/>
          <w:i/>
          <w:iCs/>
          <w:szCs w:val="21"/>
        </w:rPr>
        <w:t>P</w:t>
      </w:r>
      <w:r>
        <w:rPr>
          <w:rFonts w:hint="eastAsia"/>
          <w:bCs/>
          <w:szCs w:val="21"/>
        </w:rPr>
        <w:t>＜0.01). Among the tested oils, black soldier fly oil (2.84%) and palm oil (2.92%) demonstrated lower oil leakage rate, fish oil showed the highest oil leakage rate (4.10%) and the oil leakage rates of the remaining oils were relatively close ranging from 3.29% to 3.43%. Furthermore, a second order polynomial prediction model incorporating temperature, viscosity and post spraying ratio was developed through integrated data analysis (</w:t>
      </w:r>
      <w:r>
        <w:rPr>
          <w:rFonts w:hint="eastAsia"/>
          <w:bCs/>
          <w:i/>
          <w:iCs/>
          <w:szCs w:val="21"/>
        </w:rPr>
        <w:t>R</w:t>
      </w:r>
      <w:r>
        <w:rPr>
          <w:rFonts w:hint="eastAsia"/>
          <w:bCs/>
          <w:szCs w:val="21"/>
          <w:vertAlign w:val="superscript"/>
        </w:rPr>
        <w:t>2</w:t>
      </w:r>
      <w:r>
        <w:rPr>
          <w:rFonts w:hint="eastAsia"/>
          <w:bCs/>
          <w:szCs w:val="21"/>
        </w:rPr>
        <w:t xml:space="preserve"> = 0.99). Independent sample validation indicated that the prediction model exhibited low prediction bias [root mean square error (RMSE)=0.1348 mean absolute percentage error (MAPE) =3.42%] demonstrating good generalization capability. In summary, this study reveals that oil viscosity is a critical physical parameter determining the post-spraying stability of extruded pellet feed, with an extremely significant negative correlation between the two. The comprehensive prediction model developed in this study, which integrates characteristic rheological parameters, storage temperature, and post-spraying ratio, serves as an important reference for the selection and differentiation of oil sources in the post-spraying process of high-oil extruded feed. [Chinese Jour- nal of Animal Nutrition.2026.38(9): 7148-7158]</w:t>
      </w:r>
    </w:p>
    <w:p w14:paraId="630A09C0">
      <w:pPr>
        <w:rPr>
          <w:szCs w:val="21"/>
        </w:rPr>
      </w:pPr>
      <w:r>
        <w:rPr>
          <w:b/>
          <w:bCs/>
          <w:szCs w:val="21"/>
        </w:rPr>
        <w:t>Key words</w:t>
      </w:r>
      <w:r>
        <w:rPr>
          <w:szCs w:val="21"/>
        </w:rPr>
        <w:t xml:space="preserve">: </w:t>
      </w:r>
      <w:r>
        <w:rPr>
          <w:bCs/>
          <w:i/>
          <w:iCs/>
          <w:color w:val="231F20"/>
          <w:kern w:val="0"/>
          <w:szCs w:val="21"/>
        </w:rPr>
        <w:t>post-spraying process; oil sources; viscosity; oil leakage rate; prediction model</w:t>
      </w:r>
    </w:p>
    <w:p w14:paraId="1324FD8B">
      <w:pPr>
        <w:rPr>
          <w:szCs w:val="21"/>
        </w:rPr>
      </w:pPr>
    </w:p>
    <w:p w14:paraId="7E08181D">
      <w:pPr>
        <w:widowControl/>
        <w:spacing w:after="200" w:line="360" w:lineRule="auto"/>
        <w:ind w:firstLine="480" w:firstLineChars="200"/>
        <w:jc w:val="left"/>
        <w:rPr>
          <w:kern w:val="0"/>
          <w:sz w:val="24"/>
          <w:szCs w:val="22"/>
        </w:rPr>
      </w:pPr>
      <w:r>
        <w:rPr>
          <w:rFonts w:hint="eastAsia"/>
          <w:kern w:val="0"/>
          <w:sz w:val="24"/>
          <w:szCs w:val="22"/>
        </w:rPr>
        <w:t>随着全球水产养殖业向集约化和高效化发展，高能量配合饲料成为满足许多养殖鱼类（特别是肉食性鱼类）营养需求的关键</w:t>
      </w:r>
      <w:r>
        <w:rPr>
          <w:rFonts w:hint="eastAsia"/>
          <w:kern w:val="0"/>
          <w:sz w:val="24"/>
          <w:szCs w:val="22"/>
          <w:vertAlign w:val="superscript"/>
        </w:rPr>
        <w:t>[1]</w:t>
      </w:r>
      <w:r>
        <w:rPr>
          <w:rFonts w:hint="eastAsia"/>
          <w:kern w:val="0"/>
          <w:sz w:val="24"/>
          <w:szCs w:val="22"/>
        </w:rPr>
        <w:t>。为了在饲料中实现10%～30%甚至更高的脂肪含量，油脂的添加工艺至关重要。传统的挤压膨化工艺中，在混合阶段添加过量油脂（内加）会因其润滑作用而显著降低膨化腔内的剪切力和机械能输入，从而对颗粒的糊化度和成型质量产生负面影响</w:t>
      </w:r>
      <w:r>
        <w:rPr>
          <w:rFonts w:hint="eastAsia"/>
          <w:kern w:val="0"/>
          <w:sz w:val="24"/>
          <w:szCs w:val="22"/>
          <w:vertAlign w:val="superscript"/>
        </w:rPr>
        <w:t>[2]</w:t>
      </w:r>
      <w:r>
        <w:rPr>
          <w:rFonts w:hint="eastAsia"/>
          <w:kern w:val="0"/>
          <w:sz w:val="24"/>
          <w:szCs w:val="22"/>
        </w:rPr>
        <w:t>。因此，真空后喷涂技术逐渐成为生产高能水产饲料的主流工艺，该技术不仅能有效避免高温高压对不饱和脂肪酸、维生素等热敏性营养物质的破坏，还能确保颗粒具有良好的物理质量</w:t>
      </w:r>
      <w:r>
        <w:rPr>
          <w:rFonts w:hint="eastAsia"/>
          <w:kern w:val="0"/>
          <w:sz w:val="24"/>
          <w:szCs w:val="22"/>
          <w:vertAlign w:val="superscript"/>
        </w:rPr>
        <w:t>[3]</w:t>
      </w:r>
      <w:r>
        <w:rPr>
          <w:rFonts w:hint="eastAsia"/>
          <w:kern w:val="0"/>
          <w:sz w:val="24"/>
          <w:szCs w:val="22"/>
        </w:rPr>
        <w:t>。然而，高比例的油脂后喷涂常常引起高漏油率，即油脂不能被颗粒的多孔结构有效吸收和锁定时，便会从颗粒表面渗出，这意味着饲料实际能量值的降低和营养物质的损失，直接影响饲料转化率和鱼类的生长性能。此外，渗出的油脂易发生氧化酸败，降低饲料的适口性和储存稳定性，并可能对鱼类健康造成负面影响</w:t>
      </w:r>
      <w:r>
        <w:rPr>
          <w:rFonts w:hint="eastAsia"/>
          <w:kern w:val="0"/>
          <w:sz w:val="24"/>
          <w:szCs w:val="22"/>
          <w:vertAlign w:val="superscript"/>
        </w:rPr>
        <w:t>[4－6]</w:t>
      </w:r>
      <w:r>
        <w:rPr>
          <w:rFonts w:hint="eastAsia"/>
          <w:kern w:val="0"/>
          <w:sz w:val="24"/>
          <w:szCs w:val="22"/>
        </w:rPr>
        <w:t>。</w:t>
      </w:r>
    </w:p>
    <w:p w14:paraId="17921191">
      <w:pPr>
        <w:widowControl/>
        <w:spacing w:after="200" w:line="360" w:lineRule="auto"/>
        <w:ind w:firstLine="480" w:firstLineChars="200"/>
        <w:jc w:val="left"/>
        <w:rPr>
          <w:kern w:val="0"/>
          <w:sz w:val="24"/>
          <w:szCs w:val="22"/>
        </w:rPr>
      </w:pPr>
      <w:r>
        <w:rPr>
          <w:rFonts w:hint="eastAsia"/>
          <w:kern w:val="0"/>
          <w:sz w:val="24"/>
          <w:szCs w:val="22"/>
        </w:rPr>
        <w:t>目前，针对后喷涂工艺的研究主要集中在优化工艺参数，以提升油脂保留率。例如，Chaabani等</w:t>
      </w:r>
      <w:r>
        <w:rPr>
          <w:rFonts w:hint="eastAsia"/>
          <w:kern w:val="0"/>
          <w:sz w:val="24"/>
          <w:szCs w:val="22"/>
          <w:vertAlign w:val="superscript"/>
        </w:rPr>
        <w:t>[7]</w:t>
      </w:r>
      <w:r>
        <w:rPr>
          <w:rFonts w:hint="eastAsia"/>
          <w:kern w:val="0"/>
          <w:sz w:val="24"/>
          <w:szCs w:val="22"/>
        </w:rPr>
        <w:t>的研究指出，真空度是降低漏油率最有效的因素，高真空度下随着室内压力的降低，油脂能够更深入地渗透到颗粒内部孔隙中，从而减少表面残油和后期泄漏。此外，已有研究还探讨了分步喷涂</w:t>
      </w:r>
      <w:r>
        <w:rPr>
          <w:rFonts w:hint="eastAsia"/>
          <w:kern w:val="0"/>
          <w:sz w:val="24"/>
          <w:szCs w:val="22"/>
          <w:vertAlign w:val="superscript"/>
        </w:rPr>
        <w:t>[8]</w:t>
      </w:r>
      <w:r>
        <w:rPr>
          <w:rFonts w:hint="eastAsia"/>
          <w:kern w:val="0"/>
          <w:sz w:val="24"/>
          <w:szCs w:val="22"/>
        </w:rPr>
        <w:t>、搅拌速度、泄压时间等参数对漏油率的影响</w:t>
      </w:r>
      <w:r>
        <w:rPr>
          <w:rFonts w:hint="eastAsia"/>
          <w:kern w:val="0"/>
          <w:sz w:val="24"/>
          <w:szCs w:val="22"/>
          <w:vertAlign w:val="superscript"/>
        </w:rPr>
        <w:t>[9-11]</w:t>
      </w:r>
      <w:r>
        <w:rPr>
          <w:rFonts w:hint="eastAsia"/>
          <w:kern w:val="0"/>
          <w:sz w:val="24"/>
          <w:szCs w:val="22"/>
        </w:rPr>
        <w:t>，并通过工艺优化取得了一定进展。在实际生产中，随着鱼粉、鱼油等传统原料的供应日益紧张，饲料配方中的油源选择趋于多元化，除鱼油、豆油外，棕榈油、亚麻籽油，乃至新兴的黑水虻油等昆虫油脂也逐渐被应用</w:t>
      </w:r>
      <w:r>
        <w:rPr>
          <w:rFonts w:hint="eastAsia"/>
          <w:kern w:val="0"/>
          <w:sz w:val="24"/>
          <w:szCs w:val="22"/>
          <w:vertAlign w:val="superscript"/>
        </w:rPr>
        <w:t>[12-13]</w:t>
      </w:r>
      <w:r>
        <w:rPr>
          <w:rFonts w:hint="eastAsia"/>
          <w:kern w:val="0"/>
          <w:sz w:val="24"/>
          <w:szCs w:val="22"/>
        </w:rPr>
        <w:t>。这些不同来源的油脂理化特性差异较大，但目前研究多关注其在饲料中应用的营养学特性，忽略了其理化特性尤其是黏度特性对饲料漏油率等加工质量的影响。在食品科学领域，对油脂黏度的研究已较为成熟，明确了黏度主要由其内在的脂肪酸组成和温度决定</w:t>
      </w:r>
      <w:r>
        <w:rPr>
          <w:rFonts w:hint="eastAsia"/>
          <w:kern w:val="0"/>
          <w:sz w:val="24"/>
          <w:szCs w:val="22"/>
          <w:vertAlign w:val="superscript"/>
        </w:rPr>
        <w:t>[14-16]</w:t>
      </w:r>
      <w:r>
        <w:rPr>
          <w:rFonts w:hint="eastAsia"/>
          <w:kern w:val="0"/>
          <w:sz w:val="24"/>
          <w:szCs w:val="22"/>
        </w:rPr>
        <w:t>。天然植物油中常见的不饱和脂肪酸多为顺式构型，其双键结构会使碳链产生“拐点”，这种空间位阻破坏了分子链之间平行堆积的规整性，增大了分子间距，从而显著削弱了范德华力，分子流动的活化能降低，宏观上表现为黏度下降</w:t>
      </w:r>
      <w:r>
        <w:rPr>
          <w:rFonts w:hint="eastAsia"/>
          <w:kern w:val="0"/>
          <w:sz w:val="24"/>
          <w:szCs w:val="22"/>
          <w:vertAlign w:val="superscript"/>
        </w:rPr>
        <w:t>[17]</w:t>
      </w:r>
      <w:r>
        <w:rPr>
          <w:rFonts w:hint="eastAsia"/>
          <w:kern w:val="0"/>
          <w:sz w:val="24"/>
          <w:szCs w:val="22"/>
        </w:rPr>
        <w:t>。同时，在相同不饱和度下，脂肪酸的碳链越长（即有效碳原子数越大），分子间的接触面积与作用力越大，流动活化能随之增高，导致黏度上升</w:t>
      </w:r>
      <w:r>
        <w:rPr>
          <w:rFonts w:hint="eastAsia"/>
          <w:kern w:val="0"/>
          <w:sz w:val="24"/>
          <w:szCs w:val="22"/>
          <w:vertAlign w:val="superscript"/>
        </w:rPr>
        <w:t>[18]</w:t>
      </w:r>
      <w:r>
        <w:rPr>
          <w:rFonts w:hint="eastAsia"/>
          <w:kern w:val="0"/>
          <w:sz w:val="24"/>
          <w:szCs w:val="22"/>
        </w:rPr>
        <w:t>。此外，温度对油脂黏度的影响也可能与其不饱和度相关，双键数目越多的油脂，其黏度随温度变化越为敏感</w:t>
      </w:r>
      <w:r>
        <w:rPr>
          <w:rFonts w:hint="eastAsia"/>
          <w:kern w:val="0"/>
          <w:sz w:val="24"/>
          <w:szCs w:val="22"/>
          <w:vertAlign w:val="superscript"/>
        </w:rPr>
        <w:t>[19]</w:t>
      </w:r>
      <w:r>
        <w:rPr>
          <w:rFonts w:hint="eastAsia"/>
          <w:kern w:val="0"/>
          <w:sz w:val="24"/>
          <w:szCs w:val="22"/>
        </w:rPr>
        <w:t>。黏度越高的油脂，其在食品体系中的迁移速率越低。例如，在巧克力夹心模型中，低黏度三辛酸甘油酯(37.2 mPa·s)迁移速率最高，而高黏度花生油(97.2 mPa·s)迁移速率最低，黏度高于60 mPa·s时，迁移速率显著下降</w:t>
      </w:r>
      <w:r>
        <w:rPr>
          <w:rFonts w:hint="eastAsia"/>
          <w:kern w:val="0"/>
          <w:sz w:val="24"/>
          <w:szCs w:val="22"/>
          <w:vertAlign w:val="superscript"/>
        </w:rPr>
        <w:t>[20]</w:t>
      </w:r>
      <w:r>
        <w:rPr>
          <w:rFonts w:hint="eastAsia"/>
          <w:kern w:val="0"/>
          <w:sz w:val="24"/>
          <w:szCs w:val="22"/>
        </w:rPr>
        <w:t>。尽管如此，目前尚缺乏将这一流变学原理应用于水产饲料领域的系统研究，特别是关于不同油源黏度特性如何具体调控颗粒漏油率的定量规律亟待阐明。</w:t>
      </w:r>
    </w:p>
    <w:p w14:paraId="59B8930F">
      <w:pPr>
        <w:widowControl/>
        <w:spacing w:after="200" w:line="360" w:lineRule="auto"/>
        <w:ind w:firstLine="480" w:firstLineChars="200"/>
        <w:jc w:val="left"/>
        <w:rPr>
          <w:kern w:val="0"/>
          <w:sz w:val="24"/>
          <w:szCs w:val="22"/>
        </w:rPr>
      </w:pPr>
      <w:r>
        <w:rPr>
          <w:rFonts w:hint="eastAsia"/>
          <w:kern w:val="0"/>
          <w:sz w:val="24"/>
          <w:szCs w:val="22"/>
        </w:rPr>
        <w:t>因此，本研究旨在通过测定不同种类油脂在不同温度下的黏度，并结合后喷涂试验系统探究油脂黏度对水产膨化饲料漏油率的影响规律，以期为高能水产饲料的配方设计和后喷涂工艺中油</w:t>
      </w:r>
      <w:r>
        <w:rPr>
          <w:kern w:val="0"/>
          <w:sz w:val="24"/>
          <w:szCs w:val="22"/>
        </w:rPr>
        <w:t>源的科学选择与应用提供理论依据和实践指导。</w:t>
      </w:r>
    </w:p>
    <w:p w14:paraId="18EE86CF">
      <w:pPr>
        <w:widowControl/>
        <w:spacing w:after="200" w:line="360" w:lineRule="auto"/>
        <w:jc w:val="left"/>
        <w:rPr>
          <w:kern w:val="0"/>
          <w:sz w:val="24"/>
          <w:szCs w:val="22"/>
        </w:rPr>
      </w:pPr>
      <w:r>
        <w:rPr>
          <w:rFonts w:hint="eastAsia"/>
          <w:kern w:val="0"/>
          <w:sz w:val="24"/>
          <w:szCs w:val="22"/>
        </w:rPr>
        <w:t>1 材料与方法</w:t>
      </w:r>
    </w:p>
    <w:p w14:paraId="11B67D4E">
      <w:pPr>
        <w:widowControl/>
        <w:spacing w:after="200" w:line="360" w:lineRule="auto"/>
        <w:jc w:val="left"/>
        <w:rPr>
          <w:kern w:val="0"/>
          <w:sz w:val="24"/>
          <w:szCs w:val="22"/>
        </w:rPr>
      </w:pPr>
      <w:r>
        <w:rPr>
          <w:rFonts w:hint="eastAsia"/>
          <w:kern w:val="0"/>
          <w:sz w:val="24"/>
          <w:szCs w:val="22"/>
        </w:rPr>
        <w:t>1.1 试验油脂种类</w:t>
      </w:r>
    </w:p>
    <w:p w14:paraId="20F1E577">
      <w:pPr>
        <w:widowControl/>
        <w:spacing w:after="200" w:line="360" w:lineRule="auto"/>
        <w:ind w:firstLine="480" w:firstLineChars="200"/>
        <w:jc w:val="left"/>
        <w:rPr>
          <w:kern w:val="0"/>
          <w:sz w:val="24"/>
          <w:szCs w:val="22"/>
        </w:rPr>
      </w:pPr>
      <w:r>
        <w:rPr>
          <w:rFonts w:hint="eastAsia"/>
          <w:kern w:val="0"/>
          <w:sz w:val="24"/>
          <w:szCs w:val="22"/>
        </w:rPr>
        <w:t>本试验采用7种类型共11个油脂样品，涵盖植物油脂、动物油脂及昆虫油脂。其中，植物油脂包括2种食用级大豆</w:t>
      </w:r>
      <w:r>
        <w:rPr>
          <w:rFonts w:hint="eastAsia" w:ascii="宋体" w:hAnsi="宋体"/>
          <w:kern w:val="0"/>
          <w:sz w:val="24"/>
          <w:szCs w:val="22"/>
        </w:rPr>
        <w:t>油（</w:t>
      </w:r>
      <w:r>
        <w:rPr>
          <w:rFonts w:hint="eastAsia"/>
          <w:kern w:val="0"/>
          <w:sz w:val="24"/>
          <w:szCs w:val="22"/>
        </w:rPr>
        <w:t>豆油1和豆油4</w:t>
      </w:r>
      <w:r>
        <w:rPr>
          <w:rFonts w:hint="eastAsia" w:ascii="宋体" w:hAnsi="宋体"/>
          <w:kern w:val="0"/>
          <w:sz w:val="24"/>
          <w:szCs w:val="22"/>
        </w:rPr>
        <w:t>）</w:t>
      </w:r>
      <w:r>
        <w:rPr>
          <w:rFonts w:hint="eastAsia"/>
          <w:kern w:val="0"/>
          <w:sz w:val="24"/>
          <w:szCs w:val="22"/>
        </w:rPr>
        <w:t>、2种饲料级大豆油（豆油2和豆油3）、1种棉籽油、1种棕榈油以及1种亚麻籽油；动物油脂包括1种鱼油；昆虫油脂包括2种黑水虻油（黑水虻油1和黑水虻油2）和1种大麦虫油。所有商品化油脂均在保质期内使用。</w:t>
      </w:r>
    </w:p>
    <w:p w14:paraId="7AFCCEAF">
      <w:pPr>
        <w:widowControl/>
        <w:spacing w:after="200" w:line="360" w:lineRule="auto"/>
        <w:jc w:val="left"/>
        <w:rPr>
          <w:kern w:val="0"/>
          <w:sz w:val="24"/>
          <w:szCs w:val="22"/>
        </w:rPr>
      </w:pPr>
      <w:r>
        <w:rPr>
          <w:rFonts w:hint="eastAsia"/>
          <w:kern w:val="0"/>
          <w:sz w:val="24"/>
          <w:szCs w:val="22"/>
        </w:rPr>
        <w:t>1.2 试验饲料加工参数及颗粒质量</w:t>
      </w:r>
    </w:p>
    <w:p w14:paraId="4F920237">
      <w:pPr>
        <w:widowControl/>
        <w:spacing w:after="200" w:line="360" w:lineRule="auto"/>
        <w:ind w:firstLine="480" w:firstLineChars="200"/>
        <w:jc w:val="left"/>
        <w:rPr>
          <w:kern w:val="0"/>
          <w:sz w:val="24"/>
          <w:szCs w:val="22"/>
        </w:rPr>
      </w:pPr>
      <w:r>
        <w:rPr>
          <w:rFonts w:hint="eastAsia"/>
          <w:kern w:val="0"/>
          <w:sz w:val="24"/>
          <w:szCs w:val="22"/>
        </w:rPr>
        <w:t>用于比较漏油率的试验饲料是由洋工TPE62S双螺杆挤压机在同一配方和挤压膨化参数下制备的粒径为3 mm的膨化颗粒饲料。试验饲料配方参考鲑鳟鱼营养需求设计，其组成及营养水平见表1。</w:t>
      </w:r>
    </w:p>
    <w:p w14:paraId="2F6BCE86">
      <w:pPr>
        <w:widowControl/>
        <w:spacing w:after="200" w:line="360" w:lineRule="auto"/>
        <w:ind w:firstLine="480" w:firstLineChars="200"/>
        <w:jc w:val="center"/>
        <w:rPr>
          <w:kern w:val="0"/>
          <w:sz w:val="24"/>
          <w:szCs w:val="22"/>
          <w:lang w:eastAsia="en-US"/>
        </w:rPr>
      </w:pPr>
      <w:r>
        <w:rPr>
          <w:kern w:val="0"/>
          <w:sz w:val="24"/>
          <w:szCs w:val="22"/>
          <w:lang w:eastAsia="en-US"/>
        </w:rPr>
        <w:drawing>
          <wp:inline distT="0" distB="0" distL="0" distR="0">
            <wp:extent cx="3874770" cy="5697220"/>
            <wp:effectExtent l="0" t="0" r="0" b="0"/>
            <wp:docPr id="10447152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15245" name="图片 1"/>
                    <pic:cNvPicPr>
                      <a:picLocks noChangeAspect="1"/>
                    </pic:cNvPicPr>
                  </pic:nvPicPr>
                  <pic:blipFill>
                    <a:blip r:embed="rId44"/>
                    <a:stretch>
                      <a:fillRect/>
                    </a:stretch>
                  </pic:blipFill>
                  <pic:spPr>
                    <a:xfrm>
                      <a:off x="0" y="0"/>
                      <a:ext cx="3905034" cy="5741257"/>
                    </a:xfrm>
                    <a:prstGeom prst="rect">
                      <a:avLst/>
                    </a:prstGeom>
                  </pic:spPr>
                </pic:pic>
              </a:graphicData>
            </a:graphic>
          </wp:inline>
        </w:drawing>
      </w:r>
    </w:p>
    <w:p w14:paraId="55DEBCA6">
      <w:pPr>
        <w:widowControl/>
        <w:spacing w:after="200" w:line="360" w:lineRule="auto"/>
        <w:ind w:firstLine="480" w:firstLineChars="200"/>
        <w:jc w:val="center"/>
        <w:rPr>
          <w:kern w:val="0"/>
          <w:sz w:val="24"/>
          <w:szCs w:val="22"/>
          <w:lang w:eastAsia="en-US"/>
        </w:rPr>
      </w:pPr>
      <w:r>
        <w:rPr>
          <w:kern w:val="0"/>
          <w:sz w:val="24"/>
          <w:szCs w:val="22"/>
          <w:lang w:eastAsia="en-US"/>
        </w:rPr>
        <w:drawing>
          <wp:inline distT="0" distB="0" distL="0" distR="0">
            <wp:extent cx="3874770" cy="711200"/>
            <wp:effectExtent l="0" t="0" r="0" b="0"/>
            <wp:docPr id="4973274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27476" name="图片 1"/>
                    <pic:cNvPicPr>
                      <a:picLocks noChangeAspect="1"/>
                    </pic:cNvPicPr>
                  </pic:nvPicPr>
                  <pic:blipFill>
                    <a:blip r:embed="rId45"/>
                    <a:stretch>
                      <a:fillRect/>
                    </a:stretch>
                  </pic:blipFill>
                  <pic:spPr>
                    <a:xfrm>
                      <a:off x="0" y="0"/>
                      <a:ext cx="3941829" cy="723501"/>
                    </a:xfrm>
                    <a:prstGeom prst="rect">
                      <a:avLst/>
                    </a:prstGeom>
                  </pic:spPr>
                </pic:pic>
              </a:graphicData>
            </a:graphic>
          </wp:inline>
        </w:drawing>
      </w:r>
    </w:p>
    <w:p w14:paraId="5CF82191">
      <w:pPr>
        <w:widowControl/>
        <w:spacing w:after="200" w:line="360" w:lineRule="auto"/>
        <w:ind w:firstLine="480" w:firstLineChars="200"/>
        <w:jc w:val="left"/>
        <w:rPr>
          <w:kern w:val="0"/>
          <w:sz w:val="24"/>
          <w:szCs w:val="22"/>
        </w:rPr>
      </w:pPr>
      <w:r>
        <w:rPr>
          <w:rFonts w:hint="eastAsia"/>
          <w:kern w:val="0"/>
          <w:sz w:val="24"/>
          <w:szCs w:val="22"/>
        </w:rPr>
        <w:t>颗粒质量测定方法参考Xing等</w:t>
      </w:r>
      <w:r>
        <w:rPr>
          <w:rFonts w:hint="eastAsia"/>
          <w:kern w:val="0"/>
          <w:sz w:val="24"/>
          <w:szCs w:val="22"/>
          <w:vertAlign w:val="superscript"/>
        </w:rPr>
        <w:t>[21]</w:t>
      </w:r>
      <w:r>
        <w:rPr>
          <w:rFonts w:hint="eastAsia"/>
          <w:kern w:val="0"/>
          <w:sz w:val="24"/>
          <w:szCs w:val="22"/>
        </w:rPr>
        <w:t>的研究，饲料加工参数及颗粒质量见表2。</w:t>
      </w:r>
    </w:p>
    <w:p w14:paraId="362C9BC8">
      <w:pPr>
        <w:widowControl/>
        <w:spacing w:after="200" w:line="360" w:lineRule="auto"/>
        <w:ind w:firstLine="480" w:firstLineChars="200"/>
        <w:jc w:val="center"/>
        <w:rPr>
          <w:kern w:val="0"/>
          <w:sz w:val="24"/>
          <w:szCs w:val="22"/>
          <w:lang w:eastAsia="en-US"/>
        </w:rPr>
      </w:pPr>
      <w:r>
        <w:rPr>
          <w:kern w:val="0"/>
          <w:sz w:val="24"/>
          <w:szCs w:val="22"/>
          <w:lang w:eastAsia="en-US"/>
        </w:rPr>
        <w:drawing>
          <wp:inline distT="0" distB="0" distL="0" distR="0">
            <wp:extent cx="3952875" cy="6859905"/>
            <wp:effectExtent l="0" t="0" r="0" b="0"/>
            <wp:docPr id="15214116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11668" name="图片 1"/>
                    <pic:cNvPicPr>
                      <a:picLocks noChangeAspect="1"/>
                    </pic:cNvPicPr>
                  </pic:nvPicPr>
                  <pic:blipFill>
                    <a:blip r:embed="rId46"/>
                    <a:stretch>
                      <a:fillRect/>
                    </a:stretch>
                  </pic:blipFill>
                  <pic:spPr>
                    <a:xfrm>
                      <a:off x="0" y="0"/>
                      <a:ext cx="3957522" cy="6868527"/>
                    </a:xfrm>
                    <a:prstGeom prst="rect">
                      <a:avLst/>
                    </a:prstGeom>
                  </pic:spPr>
                </pic:pic>
              </a:graphicData>
            </a:graphic>
          </wp:inline>
        </w:drawing>
      </w:r>
    </w:p>
    <w:p w14:paraId="686114E8">
      <w:pPr>
        <w:widowControl/>
        <w:spacing w:after="60" w:line="360" w:lineRule="auto"/>
        <w:jc w:val="left"/>
        <w:rPr>
          <w:kern w:val="0"/>
          <w:sz w:val="24"/>
          <w:szCs w:val="22"/>
        </w:rPr>
      </w:pPr>
      <w:r>
        <w:rPr>
          <w:rFonts w:hint="eastAsia"/>
          <w:kern w:val="0"/>
          <w:sz w:val="24"/>
          <w:szCs w:val="22"/>
        </w:rPr>
        <w:t>1.3 饲料营养成分测定</w:t>
      </w:r>
    </w:p>
    <w:p w14:paraId="6F6BEC88">
      <w:pPr>
        <w:widowControl/>
        <w:spacing w:after="60" w:line="360" w:lineRule="auto"/>
        <w:ind w:firstLine="480" w:firstLineChars="200"/>
        <w:jc w:val="left"/>
        <w:rPr>
          <w:kern w:val="0"/>
          <w:sz w:val="24"/>
          <w:szCs w:val="22"/>
        </w:rPr>
      </w:pPr>
      <w:r>
        <w:rPr>
          <w:rFonts w:hint="eastAsia"/>
          <w:kern w:val="0"/>
          <w:sz w:val="24"/>
          <w:szCs w:val="22"/>
        </w:rPr>
        <w:t>饲料中干物质含量测定参考GB/T6435—2014，粗蛋白质含量测定参考GB/T6432—2018，粗脂肪含量测定参考GB/T6433—2006，粗灰分含量测定参考GB/T6438—2007。</w:t>
      </w:r>
    </w:p>
    <w:p w14:paraId="1A5E1EF6">
      <w:pPr>
        <w:widowControl/>
        <w:spacing w:after="60" w:line="360" w:lineRule="auto"/>
        <w:jc w:val="left"/>
        <w:rPr>
          <w:kern w:val="0"/>
          <w:sz w:val="24"/>
          <w:szCs w:val="22"/>
        </w:rPr>
      </w:pPr>
      <w:r>
        <w:rPr>
          <w:rFonts w:hint="eastAsia"/>
          <w:kern w:val="0"/>
          <w:sz w:val="24"/>
          <w:szCs w:val="22"/>
        </w:rPr>
        <w:t>1.4 油脂黏度测定</w:t>
      </w:r>
    </w:p>
    <w:p w14:paraId="27D67918">
      <w:pPr>
        <w:widowControl/>
        <w:spacing w:after="60" w:line="360" w:lineRule="auto"/>
        <w:ind w:firstLine="480" w:firstLineChars="200"/>
        <w:jc w:val="left"/>
        <w:rPr>
          <w:kern w:val="0"/>
          <w:sz w:val="24"/>
          <w:szCs w:val="22"/>
        </w:rPr>
      </w:pPr>
      <w:r>
        <w:rPr>
          <w:rFonts w:hint="eastAsia"/>
          <w:kern w:val="0"/>
          <w:sz w:val="24"/>
          <w:szCs w:val="22"/>
        </w:rPr>
        <w:t>根据食品科学领域对油脂黏度的测定方法</w:t>
      </w:r>
      <w:r>
        <w:rPr>
          <w:rFonts w:hint="eastAsia"/>
          <w:kern w:val="0"/>
          <w:sz w:val="24"/>
          <w:szCs w:val="22"/>
          <w:vertAlign w:val="superscript"/>
        </w:rPr>
        <w:t>[22-23]</w:t>
      </w:r>
      <w:r>
        <w:rPr>
          <w:rFonts w:hint="eastAsia"/>
          <w:kern w:val="0"/>
          <w:sz w:val="24"/>
          <w:szCs w:val="22"/>
        </w:rPr>
        <w:t>，使用触屏数显旋转黏度计（LC-NDJ－1T型，上海力辰仪器）测定油脂样品的黏度。测试温度由恒温水浴锅精确控制，分别设定为297.15、303.15、313.15、323.15和333.15 K(分别对应24、30、40、50和60 ℃)。测试采用同心圆筒测量系统，该系统由1个外筒(500 mL烧杯)和1个直径为25 mm的旋转转子构成。将适量油样注入烧杯，确保转子完全浸没于样品内。在上述各温度点下，通过调节转子转速使仪器扭矩维持在有效范围(10%～90%)内，记录对应黏度值。每个样品在各温度点下重复测定3次，结果取平均值。</w:t>
      </w:r>
    </w:p>
    <w:p w14:paraId="69F04A42">
      <w:pPr>
        <w:widowControl/>
        <w:spacing w:after="60" w:line="360" w:lineRule="auto"/>
        <w:jc w:val="left"/>
        <w:rPr>
          <w:kern w:val="0"/>
          <w:sz w:val="24"/>
          <w:szCs w:val="22"/>
        </w:rPr>
      </w:pPr>
      <w:r>
        <w:rPr>
          <w:rFonts w:hint="eastAsia"/>
          <w:kern w:val="0"/>
          <w:sz w:val="24"/>
          <w:szCs w:val="22"/>
        </w:rPr>
        <w:t>1.5 漏油率测定</w:t>
      </w:r>
    </w:p>
    <w:p w14:paraId="425DBD30">
      <w:pPr>
        <w:widowControl/>
        <w:spacing w:after="60" w:line="360" w:lineRule="auto"/>
        <w:ind w:firstLine="480" w:firstLineChars="200"/>
        <w:jc w:val="left"/>
        <w:rPr>
          <w:kern w:val="0"/>
          <w:sz w:val="24"/>
          <w:szCs w:val="22"/>
        </w:rPr>
      </w:pPr>
      <w:r>
        <w:rPr>
          <w:rFonts w:hint="eastAsia"/>
          <w:kern w:val="0"/>
          <w:sz w:val="24"/>
          <w:szCs w:val="22"/>
        </w:rPr>
        <w:t>漏油率测定参照Xing等</w:t>
      </w:r>
      <w:r>
        <w:rPr>
          <w:rFonts w:hint="eastAsia"/>
          <w:kern w:val="0"/>
          <w:sz w:val="24"/>
          <w:szCs w:val="22"/>
          <w:vertAlign w:val="superscript"/>
        </w:rPr>
        <w:t>[21]</w:t>
      </w:r>
      <w:r>
        <w:rPr>
          <w:rFonts w:hint="eastAsia"/>
          <w:kern w:val="0"/>
          <w:sz w:val="24"/>
          <w:szCs w:val="22"/>
        </w:rPr>
        <w:t>和Ma等</w:t>
      </w:r>
      <w:r>
        <w:rPr>
          <w:rFonts w:hint="eastAsia"/>
          <w:kern w:val="0"/>
          <w:sz w:val="24"/>
          <w:szCs w:val="22"/>
          <w:vertAlign w:val="superscript"/>
        </w:rPr>
        <w:t>[24]</w:t>
      </w:r>
      <w:r>
        <w:rPr>
          <w:rFonts w:hint="eastAsia"/>
          <w:kern w:val="0"/>
          <w:sz w:val="24"/>
          <w:szCs w:val="22"/>
        </w:rPr>
        <w:t>的方法，并稍作调整。采用实验室模拟真空喷涂结合吸油纸渗油法评价饲料的漏油率，具体操作如下：精确称取约60.0 g膨化颗粒饲料样品(记为W</w:t>
      </w:r>
      <w:r>
        <w:rPr>
          <w:rFonts w:hint="eastAsia"/>
          <w:kern w:val="0"/>
          <w:sz w:val="24"/>
          <w:szCs w:val="22"/>
          <w:vertAlign w:val="subscript"/>
        </w:rPr>
        <w:t>1</w:t>
      </w:r>
      <w:r>
        <w:rPr>
          <w:rFonts w:hint="eastAsia"/>
          <w:kern w:val="0"/>
          <w:sz w:val="24"/>
          <w:szCs w:val="22"/>
        </w:rPr>
        <w:t>)，并将其堆放于真空干燥器的一侧；另精确称取约6.0 g待测油脂(记为W</w:t>
      </w:r>
      <w:r>
        <w:rPr>
          <w:rFonts w:hint="eastAsia"/>
          <w:kern w:val="0"/>
          <w:sz w:val="24"/>
          <w:szCs w:val="22"/>
          <w:vertAlign w:val="subscript"/>
        </w:rPr>
        <w:t>2</w:t>
      </w:r>
      <w:r>
        <w:rPr>
          <w:rFonts w:hint="eastAsia"/>
          <w:kern w:val="0"/>
          <w:sz w:val="24"/>
          <w:szCs w:val="22"/>
        </w:rPr>
        <w:t>)，加热至60 ℃后倒入干燥器内（避免与饲料颗粒直接接触）。将干燥器密封后，抽真空至表压－0.08 MPa，在保持真空的状态下缓慢倾斜干燥器使油脂与饲料颗粒充分混合。随后，缓慢破除真空，使腔内恢复至常压（回气时间不小于2 min），以促进油脂渗入颗粒孔隙。取出包被后的饲料，观察到颗粒表面干燥且无明显油膜，立即称重（记为B</w:t>
      </w:r>
      <w:r>
        <w:rPr>
          <w:rFonts w:hint="eastAsia"/>
          <w:kern w:val="0"/>
          <w:sz w:val="24"/>
          <w:szCs w:val="22"/>
          <w:vertAlign w:val="subscript"/>
        </w:rPr>
        <w:t>1</w:t>
      </w:r>
      <w:r>
        <w:rPr>
          <w:rFonts w:hint="eastAsia"/>
          <w:kern w:val="0"/>
          <w:sz w:val="24"/>
          <w:szCs w:val="22"/>
        </w:rPr>
        <w:t>），并进行质量平衡验证，确保|B</w:t>
      </w:r>
      <w:r>
        <w:rPr>
          <w:rFonts w:hint="eastAsia"/>
          <w:kern w:val="0"/>
          <w:sz w:val="24"/>
          <w:szCs w:val="22"/>
          <w:vertAlign w:val="subscript"/>
        </w:rPr>
        <w:t>1</w:t>
      </w:r>
      <w:r>
        <w:rPr>
          <w:rFonts w:hint="eastAsia"/>
          <w:kern w:val="0"/>
          <w:sz w:val="24"/>
          <w:szCs w:val="22"/>
        </w:rPr>
        <w:t>－(W</w:t>
      </w:r>
      <w:r>
        <w:rPr>
          <w:rFonts w:hint="eastAsia"/>
          <w:kern w:val="0"/>
          <w:sz w:val="24"/>
          <w:szCs w:val="22"/>
          <w:vertAlign w:val="subscript"/>
        </w:rPr>
        <w:t>1</w:t>
      </w:r>
      <w:r>
        <w:rPr>
          <w:rFonts w:hint="eastAsia"/>
          <w:kern w:val="0"/>
          <w:sz w:val="24"/>
          <w:szCs w:val="22"/>
        </w:rPr>
        <w:t>+W</w:t>
      </w:r>
      <w:r>
        <w:rPr>
          <w:rFonts w:hint="eastAsia"/>
          <w:kern w:val="0"/>
          <w:sz w:val="24"/>
          <w:szCs w:val="22"/>
          <w:vertAlign w:val="subscript"/>
        </w:rPr>
        <w:t>2</w:t>
      </w:r>
      <w:r>
        <w:rPr>
          <w:rFonts w:hint="eastAsia"/>
          <w:kern w:val="0"/>
          <w:sz w:val="24"/>
          <w:szCs w:val="22"/>
        </w:rPr>
        <w:t>)|＜0.5 g，以确认操作过程无显著物料损失。随后，将包被后的饲料均匀平铺于3层吸油纸上恒温静置24 h，静置结束后再次称重（记为B</w:t>
      </w:r>
      <w:r>
        <w:rPr>
          <w:rFonts w:hint="eastAsia"/>
          <w:kern w:val="0"/>
          <w:sz w:val="24"/>
          <w:szCs w:val="22"/>
          <w:vertAlign w:val="subscript"/>
        </w:rPr>
        <w:t>2</w:t>
      </w:r>
      <w:r>
        <w:rPr>
          <w:rFonts w:hint="eastAsia"/>
          <w:kern w:val="0"/>
          <w:sz w:val="24"/>
          <w:szCs w:val="22"/>
        </w:rPr>
        <w:t>）。漏油率通过公式漏油率(%)= [(B</w:t>
      </w:r>
      <w:r>
        <w:rPr>
          <w:rFonts w:hint="eastAsia"/>
          <w:kern w:val="0"/>
          <w:sz w:val="24"/>
          <w:szCs w:val="22"/>
          <w:vertAlign w:val="subscript"/>
        </w:rPr>
        <w:t>1</w:t>
      </w:r>
      <w:r>
        <w:rPr>
          <w:rFonts w:hint="eastAsia"/>
          <w:kern w:val="0"/>
          <w:sz w:val="24"/>
          <w:szCs w:val="22"/>
        </w:rPr>
        <w:t>－B</w:t>
      </w:r>
      <w:r>
        <w:rPr>
          <w:rFonts w:hint="eastAsia"/>
          <w:kern w:val="0"/>
          <w:sz w:val="24"/>
          <w:szCs w:val="22"/>
          <w:vertAlign w:val="subscript"/>
        </w:rPr>
        <w:t>2</w:t>
      </w:r>
      <w:r>
        <w:rPr>
          <w:rFonts w:hint="eastAsia"/>
          <w:kern w:val="0"/>
          <w:sz w:val="24"/>
          <w:szCs w:val="22"/>
        </w:rPr>
        <w:t>)/B</w:t>
      </w:r>
      <w:r>
        <w:rPr>
          <w:rFonts w:hint="eastAsia"/>
          <w:kern w:val="0"/>
          <w:sz w:val="24"/>
          <w:szCs w:val="22"/>
          <w:vertAlign w:val="subscript"/>
        </w:rPr>
        <w:t>1</w:t>
      </w:r>
      <w:r>
        <w:rPr>
          <w:rFonts w:hint="eastAsia"/>
          <w:kern w:val="0"/>
          <w:sz w:val="24"/>
          <w:szCs w:val="22"/>
        </w:rPr>
        <w:t>]×100计算得出。所有样品均平行测定3次，结果取平均值。</w:t>
      </w:r>
    </w:p>
    <w:p w14:paraId="212FB3E7">
      <w:pPr>
        <w:widowControl/>
        <w:spacing w:after="60" w:line="360" w:lineRule="auto"/>
        <w:ind w:firstLine="480" w:firstLineChars="200"/>
        <w:jc w:val="left"/>
        <w:rPr>
          <w:kern w:val="0"/>
          <w:sz w:val="24"/>
          <w:szCs w:val="22"/>
        </w:rPr>
      </w:pPr>
      <w:r>
        <w:rPr>
          <w:rFonts w:hint="eastAsia"/>
          <w:kern w:val="0"/>
          <w:sz w:val="24"/>
          <w:szCs w:val="22"/>
        </w:rPr>
        <w:t>此外，为探究后喷涂比例与油脂黏度对漏油率的交互影响，本研究选取了具有代表性的高、中、低黏度的3种油脂（黑水虻油2、豆油3、鱼油），分别设定5%、10%和15% 3个后喷涂比例（即油脂添加量分别为3.0、6.0、9.0 g，对应膨化颗粒饲料质量维持60.0 g不变）进行上述喷涂试验，以用于构建多变量漏油率预测模型。同时，选取其余8种不同油源在10%喷涂比例下的实测数据作为独立验证集，用于评估预测模型的准确性与泛化能力。</w:t>
      </w:r>
    </w:p>
    <w:p w14:paraId="3E157A1D">
      <w:pPr>
        <w:widowControl/>
        <w:spacing w:after="60" w:line="360" w:lineRule="auto"/>
        <w:jc w:val="left"/>
        <w:rPr>
          <w:kern w:val="0"/>
          <w:sz w:val="24"/>
          <w:szCs w:val="22"/>
        </w:rPr>
      </w:pPr>
      <w:r>
        <w:rPr>
          <w:rFonts w:hint="eastAsia"/>
          <w:kern w:val="0"/>
          <w:sz w:val="24"/>
          <w:szCs w:val="22"/>
        </w:rPr>
        <w:t>1.6 模型拟合与统计分析</w:t>
      </w:r>
    </w:p>
    <w:p w14:paraId="58FA722A">
      <w:pPr>
        <w:widowControl/>
        <w:spacing w:after="60" w:line="360" w:lineRule="auto"/>
        <w:ind w:firstLine="480" w:firstLineChars="200"/>
        <w:jc w:val="left"/>
        <w:rPr>
          <w:kern w:val="0"/>
          <w:sz w:val="24"/>
          <w:szCs w:val="22"/>
          <w:lang w:eastAsia="en-US"/>
        </w:rPr>
      </w:pPr>
      <w:r>
        <w:rPr>
          <w:rFonts w:hint="eastAsia"/>
          <w:kern w:val="0"/>
          <w:sz w:val="24"/>
          <w:szCs w:val="22"/>
        </w:rPr>
        <w:t>所有数据处理、模型拟合及统计分析均基于Python 3.9环境完成。本研究的模型构建分为2个阶段:首先，建立油脂黏度与温度的关系模型；其次，建立饲料漏油率与油脂黏度的关系模型。</w:t>
      </w:r>
      <w:r>
        <w:rPr>
          <w:rFonts w:hint="eastAsia"/>
          <w:kern w:val="0"/>
          <w:sz w:val="24"/>
          <w:szCs w:val="22"/>
          <w:lang w:eastAsia="en-US"/>
        </w:rPr>
        <w:t>依据食品颗粒相关研究</w:t>
      </w:r>
      <w:r>
        <w:rPr>
          <w:rFonts w:hint="eastAsia"/>
          <w:kern w:val="0"/>
          <w:sz w:val="24"/>
          <w:szCs w:val="22"/>
          <w:vertAlign w:val="superscript"/>
          <w:lang w:eastAsia="en-US"/>
        </w:rPr>
        <w:t>[25-26]</w:t>
      </w:r>
      <w:r>
        <w:rPr>
          <w:rFonts w:hint="eastAsia"/>
          <w:kern w:val="0"/>
          <w:sz w:val="24"/>
          <w:szCs w:val="22"/>
          <w:lang w:eastAsia="en-US"/>
        </w:rPr>
        <w:t>及预试验结果，选用修正的Williams-Landel-Ferry(WLF)模型与幂定律模型(power law model)分别对试验数据进行拟合。</w:t>
      </w:r>
    </w:p>
    <w:p w14:paraId="1AFAA7FA">
      <w:pPr>
        <w:widowControl/>
        <w:spacing w:after="60" w:line="360" w:lineRule="auto"/>
        <w:ind w:firstLine="480" w:firstLineChars="200"/>
        <w:jc w:val="left"/>
        <w:rPr>
          <w:kern w:val="0"/>
          <w:sz w:val="24"/>
          <w:szCs w:val="22"/>
          <w:lang w:eastAsia="en-US"/>
        </w:rPr>
      </w:pPr>
      <w:r>
        <w:rPr>
          <w:rFonts w:hint="eastAsia"/>
          <w:kern w:val="0"/>
          <w:sz w:val="24"/>
          <w:szCs w:val="22"/>
          <w:lang w:eastAsia="en-US"/>
        </w:rPr>
        <w:t>修正的WLF模型:</w:t>
      </w:r>
    </w:p>
    <w:p w14:paraId="1D0AD8D2">
      <w:pPr>
        <w:widowControl/>
        <w:spacing w:after="60" w:line="360" w:lineRule="auto"/>
        <w:ind w:firstLine="480" w:firstLineChars="200"/>
        <w:jc w:val="center"/>
        <w:rPr>
          <w:kern w:val="0"/>
          <w:sz w:val="24"/>
          <w:szCs w:val="22"/>
          <w:lang w:eastAsia="en-US"/>
        </w:rPr>
      </w:pPr>
      <w:r>
        <w:rPr>
          <w:kern w:val="0"/>
          <w:sz w:val="24"/>
          <w:szCs w:val="22"/>
          <w:lang w:eastAsia="en-US"/>
        </w:rPr>
        <w:drawing>
          <wp:inline distT="0" distB="0" distL="0" distR="0">
            <wp:extent cx="2636520" cy="1356360"/>
            <wp:effectExtent l="0" t="0" r="0" b="0"/>
            <wp:docPr id="17059577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957795" name="图片 1"/>
                    <pic:cNvPicPr>
                      <a:picLocks noChangeAspect="1"/>
                    </pic:cNvPicPr>
                  </pic:nvPicPr>
                  <pic:blipFill>
                    <a:blip r:embed="rId47"/>
                    <a:srcRect t="14071"/>
                    <a:stretch>
                      <a:fillRect/>
                    </a:stretch>
                  </pic:blipFill>
                  <pic:spPr>
                    <a:xfrm>
                      <a:off x="0" y="0"/>
                      <a:ext cx="2690484" cy="1384247"/>
                    </a:xfrm>
                    <a:prstGeom prst="rect">
                      <a:avLst/>
                    </a:prstGeom>
                    <a:ln>
                      <a:noFill/>
                    </a:ln>
                  </pic:spPr>
                </pic:pic>
              </a:graphicData>
            </a:graphic>
          </wp:inline>
        </w:drawing>
      </w:r>
    </w:p>
    <w:p w14:paraId="442CB034">
      <w:pPr>
        <w:widowControl/>
        <w:spacing w:after="60" w:line="360" w:lineRule="auto"/>
        <w:ind w:firstLine="480" w:firstLineChars="200"/>
        <w:jc w:val="left"/>
        <w:rPr>
          <w:kern w:val="0"/>
          <w:sz w:val="24"/>
          <w:szCs w:val="22"/>
          <w:lang w:eastAsia="en-US"/>
        </w:rPr>
      </w:pPr>
      <w:r>
        <w:rPr>
          <w:rFonts w:hint="eastAsia"/>
          <w:kern w:val="0"/>
          <w:sz w:val="24"/>
          <w:szCs w:val="22"/>
          <w:lang w:eastAsia="en-US"/>
        </w:rPr>
        <w:t>通过比较决定系数(coefficient of determina-tion，R</w:t>
      </w:r>
      <w:r>
        <w:rPr>
          <w:rFonts w:hint="eastAsia"/>
          <w:kern w:val="0"/>
          <w:sz w:val="24"/>
          <w:szCs w:val="22"/>
          <w:vertAlign w:val="superscript"/>
          <w:lang w:eastAsia="en-US"/>
        </w:rPr>
        <w:t>2</w:t>
      </w:r>
      <w:r>
        <w:rPr>
          <w:rFonts w:hint="eastAsia"/>
          <w:kern w:val="0"/>
          <w:sz w:val="24"/>
          <w:szCs w:val="22"/>
          <w:lang w:eastAsia="en-US"/>
        </w:rPr>
        <w:t>)和标准估计误差(standard error of esti-mate，SEE)，选择拟合优度最高的模型来描述温度对黏度的影响。采用线性回归（一次模型）、二次多项式回归以及对数回归模型，对黏度与漏油率的关系进行拟合。</w:t>
      </w:r>
      <w:r>
        <w:rPr>
          <w:rFonts w:hint="eastAsia"/>
          <w:kern w:val="0"/>
          <w:sz w:val="24"/>
          <w:szCs w:val="22"/>
        </w:rPr>
        <w:t>同样根据R</w:t>
      </w:r>
      <w:r>
        <w:rPr>
          <w:rFonts w:hint="eastAsia"/>
          <w:kern w:val="0"/>
          <w:sz w:val="24"/>
          <w:szCs w:val="22"/>
          <w:vertAlign w:val="superscript"/>
        </w:rPr>
        <w:t>2</w:t>
      </w:r>
      <w:r>
        <w:rPr>
          <w:rFonts w:hint="eastAsia"/>
          <w:kern w:val="0"/>
          <w:sz w:val="24"/>
          <w:szCs w:val="22"/>
        </w:rPr>
        <w:t>及SEE，选取最优模型进行分析与结果展示。采用均方根误差(root mean square error，RMSE)和平均绝对百分比误差(mean absolute percentage error，MAPE)评估预测模型的准确性和泛化能力，RMSE越小表示预测精度越高，MAPE越小表示相对误差越小。</w:t>
      </w:r>
      <w:r>
        <w:rPr>
          <w:rFonts w:hint="eastAsia"/>
          <w:kern w:val="0"/>
          <w:sz w:val="24"/>
          <w:szCs w:val="22"/>
          <w:lang w:eastAsia="en-US"/>
        </w:rPr>
        <w:t>RMSE和MAPE的计算公式如下：</w:t>
      </w:r>
    </w:p>
    <w:p w14:paraId="01709269">
      <w:pPr>
        <w:widowControl/>
        <w:spacing w:after="60" w:line="360" w:lineRule="auto"/>
        <w:ind w:firstLine="480" w:firstLineChars="200"/>
        <w:jc w:val="center"/>
        <w:rPr>
          <w:kern w:val="0"/>
          <w:sz w:val="24"/>
          <w:szCs w:val="22"/>
          <w:lang w:eastAsia="en-US"/>
        </w:rPr>
      </w:pPr>
      <w:r>
        <w:rPr>
          <w:kern w:val="0"/>
          <w:sz w:val="24"/>
          <w:szCs w:val="22"/>
          <w:lang w:eastAsia="en-US"/>
        </w:rPr>
        <w:drawing>
          <wp:inline distT="0" distB="0" distL="0" distR="0">
            <wp:extent cx="2999105" cy="971550"/>
            <wp:effectExtent l="0" t="0" r="0" b="0"/>
            <wp:docPr id="6578543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54313" name="图片 1"/>
                    <pic:cNvPicPr>
                      <a:picLocks noChangeAspect="1"/>
                    </pic:cNvPicPr>
                  </pic:nvPicPr>
                  <pic:blipFill>
                    <a:blip r:embed="rId48"/>
                    <a:srcRect r="2206"/>
                    <a:stretch>
                      <a:fillRect/>
                    </a:stretch>
                  </pic:blipFill>
                  <pic:spPr>
                    <a:xfrm>
                      <a:off x="0" y="0"/>
                      <a:ext cx="2999431" cy="971557"/>
                    </a:xfrm>
                    <a:prstGeom prst="rect">
                      <a:avLst/>
                    </a:prstGeom>
                    <a:ln>
                      <a:noFill/>
                    </a:ln>
                  </pic:spPr>
                </pic:pic>
              </a:graphicData>
            </a:graphic>
          </wp:inline>
        </w:drawing>
      </w:r>
    </w:p>
    <w:p w14:paraId="56AD7F9D">
      <w:pPr>
        <w:widowControl/>
        <w:spacing w:after="60" w:line="360" w:lineRule="auto"/>
        <w:jc w:val="left"/>
        <w:rPr>
          <w:kern w:val="0"/>
          <w:sz w:val="24"/>
          <w:szCs w:val="22"/>
        </w:rPr>
      </w:pPr>
      <w:r>
        <w:rPr>
          <w:rFonts w:hint="eastAsia"/>
          <w:kern w:val="0"/>
          <w:sz w:val="24"/>
          <w:szCs w:val="22"/>
        </w:rPr>
        <w:t>2 结果与分析</w:t>
      </w:r>
    </w:p>
    <w:p w14:paraId="59059016">
      <w:pPr>
        <w:widowControl/>
        <w:spacing w:after="60" w:line="360" w:lineRule="auto"/>
        <w:jc w:val="left"/>
        <w:rPr>
          <w:kern w:val="0"/>
          <w:sz w:val="24"/>
          <w:szCs w:val="22"/>
        </w:rPr>
      </w:pPr>
      <w:r>
        <w:rPr>
          <w:rFonts w:hint="eastAsia"/>
          <w:kern w:val="0"/>
          <w:sz w:val="24"/>
          <w:szCs w:val="22"/>
        </w:rPr>
        <w:t>2.1不同油脂在不同温度下的黏度</w:t>
      </w:r>
    </w:p>
    <w:p w14:paraId="4575906E">
      <w:pPr>
        <w:widowControl/>
        <w:spacing w:after="60" w:line="360" w:lineRule="auto"/>
        <w:ind w:firstLine="480" w:firstLineChars="200"/>
        <w:jc w:val="left"/>
        <w:rPr>
          <w:kern w:val="0"/>
          <w:sz w:val="24"/>
          <w:szCs w:val="22"/>
        </w:rPr>
      </w:pPr>
      <w:r>
        <w:rPr>
          <w:rFonts w:hint="eastAsia"/>
          <w:kern w:val="0"/>
          <w:sz w:val="24"/>
          <w:szCs w:val="22"/>
        </w:rPr>
        <w:t>由表3可知，所有测试油脂样品的黏度均表现出对温度的显著依赖性，随温度从297.15 K(24 ℃)升高至333.15 K(60 ℃)，各油脂的黏度均呈单调下降趋势；此外，不同油脂之间的黏度在低温下差异较大，随温度升高差异趋于减小。其中，黑水虻油2表现出最高的黏度，在297.15 K达到76.67 mPa·s，其次为棕榈油(60.23 mPa·s)；与此形成鲜明对比的是，鱼油在所有温度下均呈现最低的黏度（在297.15 K时仅为5.80 mPa·s）；其余大部分油脂样品，包括4种豆油、棉籽油、亚麻籽油及大麦虫油，在297.15 K时的黏度则处于39.30～52.83 mPa·s。上述结果表明油脂的来源和类型是决定其流变学特性的关键因素，这种由温度和油源共同决定的黏度差异，预计将直接影响后续真空喷涂过程中的包被效率以及饲料最终的漏油率。</w:t>
      </w:r>
    </w:p>
    <w:p w14:paraId="4A32B024">
      <w:pPr>
        <w:widowControl/>
        <w:spacing w:after="60" w:line="360" w:lineRule="auto"/>
        <w:jc w:val="left"/>
        <w:rPr>
          <w:kern w:val="0"/>
          <w:sz w:val="24"/>
          <w:szCs w:val="22"/>
          <w:lang w:eastAsia="en-US"/>
        </w:rPr>
      </w:pPr>
      <w:r>
        <w:rPr>
          <w:kern w:val="0"/>
          <w:sz w:val="24"/>
          <w:szCs w:val="22"/>
          <w:lang w:eastAsia="en-US"/>
        </w:rPr>
        <w:drawing>
          <wp:inline distT="0" distB="0" distL="0" distR="0">
            <wp:extent cx="5976620" cy="2327275"/>
            <wp:effectExtent l="0" t="0" r="5080" b="0"/>
            <wp:docPr id="3074402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40262" name="图片 1"/>
                    <pic:cNvPicPr>
                      <a:picLocks noChangeAspect="1"/>
                    </pic:cNvPicPr>
                  </pic:nvPicPr>
                  <pic:blipFill>
                    <a:blip r:embed="rId49"/>
                    <a:stretch>
                      <a:fillRect/>
                    </a:stretch>
                  </pic:blipFill>
                  <pic:spPr>
                    <a:xfrm>
                      <a:off x="0" y="0"/>
                      <a:ext cx="5976620" cy="2327275"/>
                    </a:xfrm>
                    <a:prstGeom prst="rect">
                      <a:avLst/>
                    </a:prstGeom>
                  </pic:spPr>
                </pic:pic>
              </a:graphicData>
            </a:graphic>
          </wp:inline>
        </w:drawing>
      </w:r>
      <w:r>
        <w:rPr>
          <w:kern w:val="0"/>
          <w:sz w:val="24"/>
          <w:szCs w:val="22"/>
          <w:lang w:eastAsia="en-US"/>
        </w:rPr>
        <w:drawing>
          <wp:inline distT="0" distB="0" distL="0" distR="0">
            <wp:extent cx="5976620" cy="542290"/>
            <wp:effectExtent l="0" t="0" r="5080" b="0"/>
            <wp:docPr id="4881637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63739" name="图片 1"/>
                    <pic:cNvPicPr>
                      <a:picLocks noChangeAspect="1"/>
                    </pic:cNvPicPr>
                  </pic:nvPicPr>
                  <pic:blipFill>
                    <a:blip r:embed="rId50"/>
                    <a:stretch>
                      <a:fillRect/>
                    </a:stretch>
                  </pic:blipFill>
                  <pic:spPr>
                    <a:xfrm>
                      <a:off x="0" y="0"/>
                      <a:ext cx="5976620" cy="542290"/>
                    </a:xfrm>
                    <a:prstGeom prst="rect">
                      <a:avLst/>
                    </a:prstGeom>
                  </pic:spPr>
                </pic:pic>
              </a:graphicData>
            </a:graphic>
          </wp:inline>
        </w:drawing>
      </w:r>
    </w:p>
    <w:p w14:paraId="159C294D">
      <w:pPr>
        <w:widowControl/>
        <w:spacing w:after="60" w:line="360" w:lineRule="auto"/>
        <w:jc w:val="left"/>
        <w:rPr>
          <w:kern w:val="0"/>
          <w:sz w:val="24"/>
          <w:szCs w:val="22"/>
        </w:rPr>
      </w:pPr>
      <w:r>
        <w:rPr>
          <w:rFonts w:hint="eastAsia"/>
          <w:kern w:val="0"/>
          <w:sz w:val="24"/>
          <w:szCs w:val="22"/>
        </w:rPr>
        <w:t>2.2 油脂的温度－黏度曲线模型拟合效果</w:t>
      </w:r>
    </w:p>
    <w:p w14:paraId="22E928BF">
      <w:pPr>
        <w:widowControl/>
        <w:spacing w:after="60" w:line="360" w:lineRule="auto"/>
        <w:ind w:firstLine="480" w:firstLineChars="200"/>
        <w:jc w:val="left"/>
        <w:rPr>
          <w:kern w:val="0"/>
          <w:sz w:val="24"/>
          <w:szCs w:val="22"/>
        </w:rPr>
      </w:pPr>
      <w:r>
        <w:rPr>
          <w:rFonts w:hint="eastAsia"/>
          <w:kern w:val="0"/>
          <w:sz w:val="24"/>
          <w:szCs w:val="22"/>
        </w:rPr>
        <w:t>如表4所示，2种模型对所有油脂样品的温度－黏度数据均表现出较好的拟合优度，模型对大部分油脂样品的R</w:t>
      </w:r>
      <w:r>
        <w:rPr>
          <w:rFonts w:hint="eastAsia"/>
          <w:kern w:val="0"/>
          <w:sz w:val="24"/>
          <w:szCs w:val="22"/>
          <w:vertAlign w:val="superscript"/>
        </w:rPr>
        <w:t>2</w:t>
      </w:r>
      <w:r>
        <w:rPr>
          <w:rFonts w:hint="eastAsia"/>
          <w:kern w:val="0"/>
          <w:sz w:val="24"/>
          <w:szCs w:val="22"/>
        </w:rPr>
        <w:t>在0.97以上，表明模型能很好地解释试验数据的变化。为了更直观地比较2种模型的整体性能，绘制了所有油脂样品拟合结果的R</w:t>
      </w:r>
      <w:r>
        <w:rPr>
          <w:rFonts w:hint="eastAsia"/>
          <w:kern w:val="0"/>
          <w:sz w:val="24"/>
          <w:szCs w:val="22"/>
          <w:vertAlign w:val="superscript"/>
        </w:rPr>
        <w:t>2</w:t>
      </w:r>
      <w:r>
        <w:rPr>
          <w:rFonts w:hint="eastAsia"/>
          <w:kern w:val="0"/>
          <w:sz w:val="24"/>
          <w:szCs w:val="22"/>
        </w:rPr>
        <w:t>和SEE的分布情况。如图1-A所示，2种模型的R</w:t>
      </w:r>
      <w:r>
        <w:rPr>
          <w:rFonts w:hint="eastAsia"/>
          <w:kern w:val="0"/>
          <w:sz w:val="24"/>
          <w:szCs w:val="22"/>
          <w:vertAlign w:val="superscript"/>
        </w:rPr>
        <w:t>2</w:t>
      </w:r>
      <w:r>
        <w:rPr>
          <w:rFonts w:hint="eastAsia"/>
          <w:kern w:val="0"/>
          <w:sz w:val="24"/>
          <w:szCs w:val="22"/>
        </w:rPr>
        <w:t>都非常接近1.0，差异不明显。然而，在评价模型预测精度的关键指标SEE上，幂律模型表现出明显优势。从图1-B可以看出，幂定律模型的SEE整体分布更低，且数据更为集中，表明其预测的误差更小、稳定性更高。综合比较，尽管2种模型均能有效拟合试验数据，但幂定律模型凭借其更低的平均SEE(1.49)和同样优异的平均R</w:t>
      </w:r>
      <w:r>
        <w:rPr>
          <w:rFonts w:hint="eastAsia"/>
          <w:kern w:val="0"/>
          <w:sz w:val="24"/>
          <w:szCs w:val="22"/>
          <w:vertAlign w:val="superscript"/>
        </w:rPr>
        <w:t>2</w:t>
      </w:r>
      <w:r>
        <w:rPr>
          <w:rFonts w:hint="eastAsia"/>
          <w:kern w:val="0"/>
          <w:sz w:val="24"/>
          <w:szCs w:val="22"/>
        </w:rPr>
        <w:t>(0.98)，被选为描述本研究中油脂温度－黏度关系的最佳模型。从幂定律模型的</w:t>
      </w:r>
      <w:r>
        <w:rPr>
          <w:rFonts w:hint="eastAsia" w:ascii="宋体" w:hAnsi="宋体"/>
          <w:kern w:val="0"/>
          <w:sz w:val="24"/>
          <w:szCs w:val="22"/>
        </w:rPr>
        <w:t>参数(表</w:t>
      </w:r>
      <w:r>
        <w:rPr>
          <w:kern w:val="0"/>
          <w:sz w:val="24"/>
          <w:szCs w:val="22"/>
        </w:rPr>
        <w:t>4</w:t>
      </w:r>
      <w:r>
        <w:rPr>
          <w:rFonts w:hint="eastAsia" w:ascii="宋体" w:hAnsi="宋体"/>
          <w:kern w:val="0"/>
          <w:sz w:val="24"/>
          <w:szCs w:val="22"/>
        </w:rPr>
        <w:t>)</w:t>
      </w:r>
      <w:r>
        <w:rPr>
          <w:rFonts w:hint="eastAsia"/>
          <w:kern w:val="0"/>
          <w:sz w:val="24"/>
          <w:szCs w:val="22"/>
        </w:rPr>
        <w:t>来看，k</w:t>
      </w:r>
      <w:r>
        <w:rPr>
          <w:rFonts w:hint="eastAsia" w:ascii="宋体" w:hAnsi="宋体"/>
          <w:kern w:val="0"/>
          <w:sz w:val="24"/>
          <w:szCs w:val="22"/>
        </w:rPr>
        <w:t>（代表比例系数，反映了油脂的基础黏度水平）</w:t>
      </w:r>
      <w:r>
        <w:rPr>
          <w:rFonts w:hint="eastAsia"/>
          <w:kern w:val="0"/>
          <w:sz w:val="24"/>
          <w:szCs w:val="22"/>
        </w:rPr>
        <w:t>与297.15 K下的实测黏度有很强的正相关性</w:t>
      </w:r>
      <w:r>
        <w:rPr>
          <w:rFonts w:hint="eastAsia" w:ascii="宋体" w:hAnsi="宋体"/>
          <w:kern w:val="0"/>
          <w:sz w:val="24"/>
          <w:szCs w:val="22"/>
        </w:rPr>
        <w:t>（</w:t>
      </w:r>
      <w:r>
        <w:rPr>
          <w:rFonts w:hint="eastAsia"/>
          <w:kern w:val="0"/>
          <w:sz w:val="24"/>
          <w:szCs w:val="22"/>
        </w:rPr>
        <w:t>例如，黑水虻油2的k最高，鱼油的k最低</w:t>
      </w:r>
      <w:r>
        <w:rPr>
          <w:rFonts w:hint="eastAsia" w:ascii="宋体" w:hAnsi="宋体"/>
          <w:kern w:val="0"/>
          <w:sz w:val="24"/>
          <w:szCs w:val="22"/>
        </w:rPr>
        <w:t>）</w:t>
      </w:r>
      <w:r>
        <w:rPr>
          <w:rFonts w:hint="eastAsia"/>
          <w:kern w:val="0"/>
          <w:sz w:val="24"/>
          <w:szCs w:val="22"/>
        </w:rPr>
        <w:t>；n</w:t>
      </w:r>
      <w:r>
        <w:rPr>
          <w:rFonts w:hint="eastAsia" w:ascii="宋体" w:hAnsi="宋体"/>
          <w:kern w:val="0"/>
          <w:sz w:val="24"/>
          <w:szCs w:val="22"/>
        </w:rPr>
        <w:t>（代表温度指数）均为负</w:t>
      </w:r>
      <w:r>
        <w:rPr>
          <w:rFonts w:hint="eastAsia"/>
          <w:kern w:val="0"/>
          <w:sz w:val="24"/>
          <w:szCs w:val="22"/>
        </w:rPr>
        <w:t>值，这与黏度随温度升高而降低的物理现象相符，其绝对值的大小反映了黏度对温度变化的敏感程度。</w:t>
      </w:r>
    </w:p>
    <w:p w14:paraId="65CCDC95">
      <w:pPr>
        <w:widowControl/>
        <w:spacing w:after="60" w:line="360" w:lineRule="auto"/>
        <w:jc w:val="center"/>
        <w:rPr>
          <w:kern w:val="0"/>
          <w:sz w:val="24"/>
          <w:szCs w:val="22"/>
          <w:lang w:eastAsia="en-US"/>
        </w:rPr>
      </w:pPr>
      <w:r>
        <w:rPr>
          <w:kern w:val="0"/>
          <w:sz w:val="24"/>
          <w:szCs w:val="22"/>
          <w:lang w:eastAsia="en-US"/>
        </w:rPr>
        <w:drawing>
          <wp:inline distT="0" distB="0" distL="0" distR="0">
            <wp:extent cx="5831205" cy="3251200"/>
            <wp:effectExtent l="0" t="0" r="0" b="6350"/>
            <wp:docPr id="13721374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137422" name="图片 1"/>
                    <pic:cNvPicPr>
                      <a:picLocks noChangeAspect="1"/>
                    </pic:cNvPicPr>
                  </pic:nvPicPr>
                  <pic:blipFill>
                    <a:blip r:embed="rId51"/>
                    <a:stretch>
                      <a:fillRect/>
                    </a:stretch>
                  </pic:blipFill>
                  <pic:spPr>
                    <a:xfrm>
                      <a:off x="0" y="0"/>
                      <a:ext cx="5838248" cy="3255055"/>
                    </a:xfrm>
                    <a:prstGeom prst="rect">
                      <a:avLst/>
                    </a:prstGeom>
                  </pic:spPr>
                </pic:pic>
              </a:graphicData>
            </a:graphic>
          </wp:inline>
        </w:drawing>
      </w:r>
    </w:p>
    <w:p w14:paraId="7F373EFB">
      <w:pPr>
        <w:widowControl/>
        <w:spacing w:after="60" w:line="360" w:lineRule="auto"/>
        <w:jc w:val="left"/>
        <w:rPr>
          <w:kern w:val="0"/>
          <w:sz w:val="24"/>
          <w:szCs w:val="22"/>
        </w:rPr>
      </w:pPr>
      <w:r>
        <w:rPr>
          <w:rFonts w:hint="eastAsia"/>
          <w:kern w:val="0"/>
          <w:sz w:val="24"/>
          <w:szCs w:val="22"/>
        </w:rPr>
        <w:t>2.3 油脂漏油率</w:t>
      </w:r>
    </w:p>
    <w:p w14:paraId="057810E2">
      <w:pPr>
        <w:widowControl/>
        <w:spacing w:after="60" w:line="360" w:lineRule="auto"/>
        <w:ind w:firstLine="480" w:firstLineChars="200"/>
        <w:jc w:val="left"/>
        <w:rPr>
          <w:kern w:val="0"/>
          <w:sz w:val="24"/>
          <w:szCs w:val="22"/>
        </w:rPr>
      </w:pPr>
      <w:r>
        <w:rPr>
          <w:rFonts w:hint="eastAsia"/>
          <w:kern w:val="0"/>
          <w:sz w:val="24"/>
          <w:szCs w:val="22"/>
        </w:rPr>
        <w:t>不同油脂的漏油率测定基于单一待测膨化颗粒饲料，测定结</w:t>
      </w:r>
      <w:r>
        <w:rPr>
          <w:rFonts w:hint="eastAsia" w:ascii="宋体" w:hAnsi="宋体"/>
          <w:kern w:val="0"/>
          <w:sz w:val="24"/>
          <w:szCs w:val="22"/>
        </w:rPr>
        <w:t>果（图</w:t>
      </w:r>
      <w:r>
        <w:rPr>
          <w:kern w:val="0"/>
          <w:sz w:val="24"/>
          <w:szCs w:val="22"/>
        </w:rPr>
        <w:t>2</w:t>
      </w:r>
      <w:r>
        <w:rPr>
          <w:rFonts w:hint="eastAsia" w:ascii="宋体" w:hAnsi="宋体"/>
          <w:kern w:val="0"/>
          <w:sz w:val="24"/>
          <w:szCs w:val="22"/>
        </w:rPr>
        <w:t>）显</w:t>
      </w:r>
      <w:r>
        <w:rPr>
          <w:rFonts w:hint="eastAsia"/>
          <w:kern w:val="0"/>
          <w:sz w:val="24"/>
          <w:szCs w:val="22"/>
        </w:rPr>
        <w:t>示，与2.1节中的黏度测试结果相对应，黏度最低的鱼油表现出最高的漏油率，达到4.10%；相反，初始黏度最高的黑水虻油2(2.84%)和棕榈油(2.92%)则表现出较低的漏油率；其余油源，包括各类豆油、棉籽油、亚麻籽油和大麦虫油，漏油率较为接近，集中在3.29%～3.43%。</w:t>
      </w:r>
    </w:p>
    <w:p w14:paraId="6A2C5E94">
      <w:pPr>
        <w:widowControl/>
        <w:spacing w:after="60" w:line="360" w:lineRule="auto"/>
        <w:ind w:firstLine="480" w:firstLineChars="200"/>
        <w:jc w:val="center"/>
        <w:rPr>
          <w:kern w:val="0"/>
          <w:sz w:val="24"/>
          <w:szCs w:val="22"/>
          <w:lang w:eastAsia="en-US"/>
        </w:rPr>
      </w:pPr>
      <w:r>
        <w:rPr>
          <w:kern w:val="0"/>
          <w:sz w:val="24"/>
          <w:szCs w:val="22"/>
          <w:lang w:eastAsia="en-US"/>
        </w:rPr>
        <w:drawing>
          <wp:inline distT="0" distB="0" distL="0" distR="0">
            <wp:extent cx="5585460" cy="4749800"/>
            <wp:effectExtent l="0" t="0" r="0" b="0"/>
            <wp:docPr id="2699346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34645" name="图片 1"/>
                    <pic:cNvPicPr>
                      <a:picLocks noChangeAspect="1"/>
                    </pic:cNvPicPr>
                  </pic:nvPicPr>
                  <pic:blipFill>
                    <a:blip r:embed="rId52"/>
                    <a:stretch>
                      <a:fillRect/>
                    </a:stretch>
                  </pic:blipFill>
                  <pic:spPr>
                    <a:xfrm>
                      <a:off x="0" y="0"/>
                      <a:ext cx="5594428" cy="4757084"/>
                    </a:xfrm>
                    <a:prstGeom prst="rect">
                      <a:avLst/>
                    </a:prstGeom>
                  </pic:spPr>
                </pic:pic>
              </a:graphicData>
            </a:graphic>
          </wp:inline>
        </w:drawing>
      </w:r>
    </w:p>
    <w:p w14:paraId="4335419C">
      <w:pPr>
        <w:widowControl/>
        <w:spacing w:after="60" w:line="360" w:lineRule="auto"/>
        <w:jc w:val="left"/>
        <w:rPr>
          <w:kern w:val="0"/>
          <w:sz w:val="24"/>
          <w:szCs w:val="22"/>
        </w:rPr>
      </w:pPr>
      <w:r>
        <w:rPr>
          <w:rFonts w:hint="eastAsia"/>
          <w:kern w:val="0"/>
          <w:sz w:val="24"/>
          <w:szCs w:val="22"/>
        </w:rPr>
        <w:t>2.4 基于油脂黏度及饲料储藏温度的漏油率预测模型构建</w:t>
      </w:r>
    </w:p>
    <w:p w14:paraId="6D22E273">
      <w:pPr>
        <w:widowControl/>
        <w:spacing w:after="60" w:line="360" w:lineRule="auto"/>
        <w:ind w:firstLine="480" w:firstLineChars="200"/>
        <w:jc w:val="left"/>
        <w:rPr>
          <w:kern w:val="0"/>
          <w:sz w:val="24"/>
          <w:szCs w:val="22"/>
        </w:rPr>
      </w:pPr>
      <w:r>
        <w:rPr>
          <w:rFonts w:hint="eastAsia"/>
          <w:kern w:val="0"/>
          <w:sz w:val="24"/>
          <w:szCs w:val="22"/>
        </w:rPr>
        <w:t>为了进一步量化关系，将各油脂在297.15 K（24 ℃，模拟实际喷涂后环境温度）下的黏度与对应的漏油率进行线性回归分析，结果如图3所示。线性回归分析表明，油脂黏度与饲料的漏油率之间存在极显著的负相关关系(P＜0.01)；线性回归模型表现出优异的拟合效果，其R</w:t>
      </w:r>
      <w:r>
        <w:rPr>
          <w:rFonts w:hint="eastAsia"/>
          <w:kern w:val="0"/>
          <w:sz w:val="24"/>
          <w:szCs w:val="22"/>
          <w:vertAlign w:val="superscript"/>
        </w:rPr>
        <w:t>2</w:t>
      </w:r>
      <w:r>
        <w:rPr>
          <w:rFonts w:hint="eastAsia"/>
          <w:kern w:val="0"/>
          <w:sz w:val="24"/>
          <w:szCs w:val="22"/>
        </w:rPr>
        <w:t>为0.8932，该关系由以下回归方程描述：</w:t>
      </w:r>
    </w:p>
    <w:p w14:paraId="6E563B61">
      <w:pPr>
        <w:widowControl/>
        <w:spacing w:after="60" w:line="360" w:lineRule="auto"/>
        <w:ind w:firstLine="480" w:firstLineChars="200"/>
        <w:jc w:val="center"/>
        <w:rPr>
          <w:kern w:val="0"/>
          <w:sz w:val="24"/>
          <w:szCs w:val="22"/>
        </w:rPr>
      </w:pPr>
      <w:r>
        <w:rPr>
          <w:rFonts w:hint="eastAsia"/>
          <w:kern w:val="0"/>
          <w:sz w:val="24"/>
          <w:szCs w:val="22"/>
        </w:rPr>
        <w:t>L=-0.0178</w:t>
      </w:r>
      <w:r>
        <w:rPr>
          <w:kern w:val="0"/>
          <w:sz w:val="24"/>
          <w:szCs w:val="22"/>
          <w:lang w:eastAsia="en-US"/>
        </w:rPr>
        <w:t>μ</w:t>
      </w:r>
      <w:r>
        <w:rPr>
          <w:rFonts w:hint="eastAsia"/>
          <w:kern w:val="0"/>
          <w:sz w:val="24"/>
          <w:szCs w:val="22"/>
        </w:rPr>
        <w:t>+4.1706。</w:t>
      </w:r>
    </w:p>
    <w:p w14:paraId="7D30DDC3">
      <w:pPr>
        <w:widowControl/>
        <w:spacing w:after="60" w:line="360" w:lineRule="auto"/>
        <w:ind w:firstLine="480" w:firstLineChars="200"/>
        <w:jc w:val="left"/>
        <w:rPr>
          <w:kern w:val="0"/>
          <w:sz w:val="24"/>
          <w:szCs w:val="22"/>
        </w:rPr>
      </w:pPr>
      <w:r>
        <w:rPr>
          <w:rFonts w:hint="eastAsia"/>
          <w:kern w:val="0"/>
          <w:sz w:val="24"/>
          <w:szCs w:val="22"/>
        </w:rPr>
        <w:t>式中：L为预测的饲料漏油率(%)；</w:t>
      </w:r>
      <w:r>
        <w:rPr>
          <w:kern w:val="0"/>
          <w:sz w:val="24"/>
          <w:szCs w:val="22"/>
          <w:lang w:eastAsia="en-US"/>
        </w:rPr>
        <w:t>μ</w:t>
      </w:r>
      <w:r>
        <w:rPr>
          <w:rFonts w:hint="eastAsia"/>
          <w:kern w:val="0"/>
          <w:sz w:val="24"/>
          <w:szCs w:val="22"/>
        </w:rPr>
        <w:t>为油脂黏度(mPa·s)。</w:t>
      </w:r>
    </w:p>
    <w:p w14:paraId="56B886D6">
      <w:pPr>
        <w:widowControl/>
        <w:spacing w:after="60" w:line="360" w:lineRule="auto"/>
        <w:ind w:firstLine="480" w:firstLineChars="200"/>
        <w:jc w:val="center"/>
        <w:rPr>
          <w:kern w:val="0"/>
          <w:sz w:val="24"/>
          <w:szCs w:val="22"/>
          <w:lang w:eastAsia="en-US"/>
        </w:rPr>
      </w:pPr>
      <w:r>
        <w:rPr>
          <w:kern w:val="0"/>
          <w:sz w:val="24"/>
          <w:szCs w:val="22"/>
          <w:lang w:eastAsia="en-US"/>
        </w:rPr>
        <w:drawing>
          <wp:inline distT="0" distB="0" distL="0" distR="0">
            <wp:extent cx="3775075" cy="4662805"/>
            <wp:effectExtent l="0" t="0" r="0" b="4445"/>
            <wp:docPr id="3138937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93748" name="图片 1"/>
                    <pic:cNvPicPr>
                      <a:picLocks noChangeAspect="1"/>
                    </pic:cNvPicPr>
                  </pic:nvPicPr>
                  <pic:blipFill>
                    <a:blip r:embed="rId53"/>
                    <a:stretch>
                      <a:fillRect/>
                    </a:stretch>
                  </pic:blipFill>
                  <pic:spPr>
                    <a:xfrm>
                      <a:off x="0" y="0"/>
                      <a:ext cx="3783225" cy="4673396"/>
                    </a:xfrm>
                    <a:prstGeom prst="rect">
                      <a:avLst/>
                    </a:prstGeom>
                  </pic:spPr>
                </pic:pic>
              </a:graphicData>
            </a:graphic>
          </wp:inline>
        </w:drawing>
      </w:r>
    </w:p>
    <w:p w14:paraId="0019A978">
      <w:pPr>
        <w:widowControl/>
        <w:spacing w:after="60" w:line="360" w:lineRule="auto"/>
        <w:ind w:firstLine="480" w:firstLineChars="200"/>
        <w:jc w:val="left"/>
        <w:rPr>
          <w:kern w:val="0"/>
          <w:sz w:val="24"/>
          <w:szCs w:val="22"/>
        </w:rPr>
      </w:pPr>
      <w:r>
        <w:rPr>
          <w:rFonts w:hint="eastAsia"/>
          <w:kern w:val="0"/>
          <w:sz w:val="24"/>
          <w:szCs w:val="22"/>
        </w:rPr>
        <w:t>该回归方程系数的大小与待测饲料的结构、吸油能力有关，不同颗粒质量的饲料需要重新测定漏油率以调整系数大小。同时，提高油脂自身的黏度是降低喷涂后漏油率、增强油脂在饲料颗粒表面附着稳定性的关键物理因素。黏度越高的油脂，其流动性越差，在颗粒内部及表面的状态更倾向于维持稳定，从而有效减少因重力或颗粒摩</w:t>
      </w:r>
      <w:r>
        <w:rPr>
          <w:kern w:val="0"/>
          <w:sz w:val="24"/>
          <w:szCs w:val="22"/>
        </w:rPr>
        <w:t>擦导致的油脂损失。</w:t>
      </w:r>
    </w:p>
    <w:p w14:paraId="73871F61">
      <w:pPr>
        <w:widowControl/>
        <w:spacing w:after="60" w:line="360" w:lineRule="auto"/>
        <w:ind w:firstLine="480" w:firstLineChars="200"/>
        <w:jc w:val="left"/>
        <w:rPr>
          <w:kern w:val="0"/>
          <w:sz w:val="24"/>
          <w:szCs w:val="22"/>
        </w:rPr>
      </w:pPr>
      <w:r>
        <w:rPr>
          <w:rFonts w:hint="eastAsia"/>
          <w:kern w:val="0"/>
          <w:sz w:val="24"/>
          <w:szCs w:val="22"/>
        </w:rPr>
        <w:t>通过将被选为最优的幂定律模型代入漏油率－黏度线性回归模型，可得到一个统一的、能够描述储藏温度(T)与最终漏油率(L)之间关系的综合预测模型。在颗粒质量保持稳定的情况下，该综合模型将漏油率与温度和油脂的固有物性参数(k和n)直接关联。该综合预测模型的最终表达式如下：</w:t>
      </w:r>
    </w:p>
    <w:p w14:paraId="21CBD4B0">
      <w:pPr>
        <w:widowControl/>
        <w:spacing w:after="60" w:line="360" w:lineRule="auto"/>
        <w:jc w:val="center"/>
        <w:rPr>
          <w:kern w:val="0"/>
          <w:sz w:val="24"/>
          <w:szCs w:val="22"/>
        </w:rPr>
      </w:pPr>
      <w:r>
        <w:rPr>
          <w:rFonts w:hint="eastAsia"/>
          <w:kern w:val="0"/>
          <w:sz w:val="24"/>
          <w:szCs w:val="22"/>
        </w:rPr>
        <w:t>L=-0.0178[k(T－T</w:t>
      </w:r>
      <w:r>
        <w:rPr>
          <w:rFonts w:hint="eastAsia"/>
          <w:kern w:val="0"/>
          <w:sz w:val="24"/>
          <w:szCs w:val="22"/>
          <w:vertAlign w:val="subscript"/>
        </w:rPr>
        <w:t>ref</w:t>
      </w:r>
      <w:r>
        <w:rPr>
          <w:rFonts w:hint="eastAsia"/>
          <w:kern w:val="0"/>
          <w:sz w:val="24"/>
          <w:szCs w:val="22"/>
        </w:rPr>
        <w:t>)</w:t>
      </w:r>
      <w:r>
        <w:rPr>
          <w:rFonts w:hint="eastAsia"/>
          <w:kern w:val="0"/>
          <w:sz w:val="24"/>
          <w:szCs w:val="22"/>
          <w:vertAlign w:val="superscript"/>
        </w:rPr>
        <w:t>n</w:t>
      </w:r>
      <w:r>
        <w:rPr>
          <w:rFonts w:hint="eastAsia"/>
          <w:kern w:val="0"/>
          <w:sz w:val="24"/>
          <w:szCs w:val="22"/>
        </w:rPr>
        <w:t>]+4.1706。</w:t>
      </w:r>
    </w:p>
    <w:p w14:paraId="23AB1C36">
      <w:pPr>
        <w:widowControl/>
        <w:spacing w:after="60" w:line="360" w:lineRule="auto"/>
        <w:ind w:firstLine="480" w:firstLineChars="200"/>
        <w:jc w:val="left"/>
        <w:rPr>
          <w:kern w:val="0"/>
          <w:sz w:val="24"/>
          <w:szCs w:val="22"/>
        </w:rPr>
      </w:pPr>
      <w:r>
        <w:rPr>
          <w:rFonts w:hint="eastAsia"/>
          <w:kern w:val="0"/>
          <w:sz w:val="24"/>
          <w:szCs w:val="22"/>
        </w:rPr>
        <w:t>式中：L为预测的饲料漏油率(%)；T为饲料的储藏温度(K)；T</w:t>
      </w:r>
      <w:r>
        <w:rPr>
          <w:rFonts w:hint="eastAsia"/>
          <w:kern w:val="0"/>
          <w:sz w:val="24"/>
          <w:szCs w:val="22"/>
          <w:vertAlign w:val="subscript"/>
        </w:rPr>
        <w:t>ref</w:t>
      </w:r>
      <w:r>
        <w:rPr>
          <w:rFonts w:hint="eastAsia"/>
          <w:kern w:val="0"/>
          <w:sz w:val="24"/>
          <w:szCs w:val="22"/>
        </w:rPr>
        <w:t>为参考温度，即0 ℃的绝对温度，其值为273.15 K；k，n为特定油源的幂定律模型</w:t>
      </w:r>
      <w:r>
        <w:rPr>
          <w:rFonts w:hint="eastAsia" w:ascii="宋体" w:hAnsi="宋体"/>
          <w:kern w:val="0"/>
          <w:sz w:val="24"/>
          <w:szCs w:val="22"/>
        </w:rPr>
        <w:t>参数（分别代表比例系数和温度指数）</w:t>
      </w:r>
      <w:r>
        <w:rPr>
          <w:rFonts w:hint="eastAsia"/>
          <w:kern w:val="0"/>
          <w:sz w:val="24"/>
          <w:szCs w:val="22"/>
        </w:rPr>
        <w:t>，其数值取决于油脂的种类。</w:t>
      </w:r>
    </w:p>
    <w:p w14:paraId="766606E6">
      <w:pPr>
        <w:widowControl/>
        <w:spacing w:after="60" w:line="360" w:lineRule="auto"/>
        <w:jc w:val="left"/>
        <w:rPr>
          <w:kern w:val="0"/>
          <w:sz w:val="24"/>
          <w:szCs w:val="22"/>
        </w:rPr>
      </w:pPr>
      <w:r>
        <w:rPr>
          <w:rFonts w:hint="eastAsia"/>
          <w:kern w:val="0"/>
          <w:sz w:val="24"/>
          <w:szCs w:val="22"/>
        </w:rPr>
        <w:t>2.5 不同喷涂比例下油脂黏度对漏油率的交互影响及模型构建</w:t>
      </w:r>
    </w:p>
    <w:p w14:paraId="4323AA1A">
      <w:pPr>
        <w:widowControl/>
        <w:spacing w:after="60" w:line="360" w:lineRule="auto"/>
        <w:ind w:firstLine="480" w:firstLineChars="200"/>
        <w:jc w:val="left"/>
        <w:rPr>
          <w:kern w:val="0"/>
          <w:sz w:val="24"/>
          <w:szCs w:val="22"/>
        </w:rPr>
      </w:pPr>
      <w:r>
        <w:rPr>
          <w:rFonts w:hint="eastAsia"/>
          <w:kern w:val="0"/>
          <w:sz w:val="24"/>
          <w:szCs w:val="22"/>
        </w:rPr>
        <w:t>为进一步量化实际生产中不同喷涂工艺参数的影响，本研究测试了代表性高、中、低黏度的油脂在不同后喷涂比例(5%、10%、15%)下的漏油率，结果如表5所示。</w:t>
      </w:r>
    </w:p>
    <w:p w14:paraId="4A418DB9">
      <w:pPr>
        <w:widowControl/>
        <w:spacing w:after="60" w:line="360" w:lineRule="auto"/>
        <w:jc w:val="center"/>
        <w:rPr>
          <w:kern w:val="0"/>
          <w:sz w:val="24"/>
          <w:szCs w:val="22"/>
          <w:lang w:eastAsia="en-US"/>
        </w:rPr>
      </w:pPr>
      <w:r>
        <w:rPr>
          <w:kern w:val="0"/>
          <w:sz w:val="24"/>
          <w:szCs w:val="22"/>
          <w:lang w:eastAsia="en-US"/>
        </w:rPr>
        <w:drawing>
          <wp:inline distT="0" distB="0" distL="0" distR="0">
            <wp:extent cx="6085205" cy="1403350"/>
            <wp:effectExtent l="0" t="0" r="0" b="6350"/>
            <wp:docPr id="10142003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200362" name="图片 1"/>
                    <pic:cNvPicPr>
                      <a:picLocks noChangeAspect="1"/>
                    </pic:cNvPicPr>
                  </pic:nvPicPr>
                  <pic:blipFill>
                    <a:blip r:embed="rId54"/>
                    <a:stretch>
                      <a:fillRect/>
                    </a:stretch>
                  </pic:blipFill>
                  <pic:spPr>
                    <a:xfrm>
                      <a:off x="0" y="0"/>
                      <a:ext cx="6088707" cy="1404155"/>
                    </a:xfrm>
                    <a:prstGeom prst="rect">
                      <a:avLst/>
                    </a:prstGeom>
                  </pic:spPr>
                </pic:pic>
              </a:graphicData>
            </a:graphic>
          </wp:inline>
        </w:drawing>
      </w:r>
    </w:p>
    <w:p w14:paraId="4FE6C9B9">
      <w:pPr>
        <w:widowControl/>
        <w:spacing w:after="60" w:line="360" w:lineRule="auto"/>
        <w:ind w:firstLine="480" w:firstLineChars="200"/>
        <w:jc w:val="left"/>
        <w:rPr>
          <w:kern w:val="0"/>
          <w:sz w:val="24"/>
          <w:szCs w:val="22"/>
        </w:rPr>
      </w:pPr>
      <w:r>
        <w:rPr>
          <w:rFonts w:hint="eastAsia"/>
          <w:kern w:val="0"/>
          <w:sz w:val="24"/>
          <w:szCs w:val="22"/>
        </w:rPr>
        <w:t>表5中数据表明，后喷涂比例和油脂黏度对漏油率具有交互影响：在5%的低后喷涂比例下，3种油脂的漏油率均极低(0.15%～0.26%)，黏度差异未对漏油率产生明显影响；然而，当后喷涂比例提升至15%时，低黏度鱼油的漏油率增至8.94%，而高黏度黑水虻油仍能将漏油率控制在4.06%。这表明，提高油脂黏度可以抑制高后喷涂比例下大剂量油脂游离引发的渗漏风险。基于上述多变量数据，采用二阶多项式回归对漏油率(L)、后喷涂比例(P)及油脂黏度(</w:t>
      </w:r>
      <w:r>
        <w:rPr>
          <w:kern w:val="0"/>
          <w:sz w:val="24"/>
          <w:szCs w:val="22"/>
          <w:lang w:eastAsia="en-US"/>
        </w:rPr>
        <w:t>μ</w:t>
      </w:r>
      <w:r>
        <w:rPr>
          <w:rFonts w:hint="eastAsia"/>
          <w:kern w:val="0"/>
          <w:sz w:val="24"/>
          <w:szCs w:val="22"/>
        </w:rPr>
        <w:t>)进行建模，剔除不显著项后，得到如下预测方程：</w:t>
      </w:r>
    </w:p>
    <w:p w14:paraId="63D59E0A">
      <w:pPr>
        <w:widowControl/>
        <w:spacing w:after="60" w:line="360" w:lineRule="auto"/>
        <w:ind w:firstLine="480" w:firstLineChars="200"/>
        <w:jc w:val="center"/>
        <w:rPr>
          <w:kern w:val="0"/>
          <w:sz w:val="24"/>
          <w:szCs w:val="22"/>
        </w:rPr>
      </w:pPr>
      <w:r>
        <w:rPr>
          <w:rFonts w:hint="eastAsia"/>
          <w:kern w:val="0"/>
          <w:sz w:val="24"/>
          <w:szCs w:val="22"/>
        </w:rPr>
        <w:t>L=-4.9910+0.0376</w:t>
      </w:r>
      <w:r>
        <w:rPr>
          <w:kern w:val="0"/>
          <w:sz w:val="24"/>
          <w:szCs w:val="22"/>
          <w:lang w:eastAsia="en-US"/>
        </w:rPr>
        <w:t>μ</w:t>
      </w:r>
      <w:r>
        <w:rPr>
          <w:rFonts w:hint="eastAsia"/>
          <w:kern w:val="0"/>
          <w:sz w:val="24"/>
          <w:szCs w:val="22"/>
        </w:rPr>
        <w:t>+1.0314P-0.0067</w:t>
      </w:r>
      <w:r>
        <w:rPr>
          <w:kern w:val="0"/>
          <w:sz w:val="24"/>
          <w:szCs w:val="22"/>
          <w:lang w:eastAsia="en-US"/>
        </w:rPr>
        <w:t>μ</w:t>
      </w:r>
      <w:r>
        <w:rPr>
          <w:kern w:val="0"/>
          <w:sz w:val="24"/>
          <w:szCs w:val="22"/>
        </w:rPr>
        <w:t>P</w:t>
      </w:r>
      <w:r>
        <w:rPr>
          <w:rFonts w:hint="eastAsia"/>
          <w:kern w:val="0"/>
          <w:sz w:val="24"/>
          <w:szCs w:val="22"/>
        </w:rPr>
        <w:t>-0.0059P</w:t>
      </w:r>
      <w:r>
        <w:rPr>
          <w:rFonts w:hint="eastAsia"/>
          <w:kern w:val="0"/>
          <w:sz w:val="24"/>
          <w:szCs w:val="22"/>
          <w:vertAlign w:val="superscript"/>
        </w:rPr>
        <w:t>2</w:t>
      </w:r>
      <w:r>
        <w:rPr>
          <w:rFonts w:hint="eastAsia"/>
          <w:kern w:val="0"/>
          <w:sz w:val="24"/>
          <w:szCs w:val="22"/>
        </w:rPr>
        <w:t>。</w:t>
      </w:r>
    </w:p>
    <w:p w14:paraId="151CCBB0">
      <w:pPr>
        <w:widowControl/>
        <w:spacing w:after="60" w:line="360" w:lineRule="auto"/>
        <w:ind w:firstLine="480" w:firstLineChars="200"/>
        <w:jc w:val="left"/>
        <w:rPr>
          <w:kern w:val="0"/>
          <w:sz w:val="24"/>
          <w:szCs w:val="22"/>
        </w:rPr>
      </w:pPr>
      <w:r>
        <w:rPr>
          <w:rFonts w:hint="eastAsia"/>
          <w:kern w:val="0"/>
          <w:sz w:val="24"/>
          <w:szCs w:val="22"/>
        </w:rPr>
        <w:t>式中：L为预测的饲料漏油率(%)；P为后喷涂比例(%)；</w:t>
      </w:r>
      <w:r>
        <w:rPr>
          <w:kern w:val="0"/>
          <w:sz w:val="24"/>
          <w:szCs w:val="22"/>
          <w:lang w:eastAsia="en-US"/>
        </w:rPr>
        <w:t>μ</w:t>
      </w:r>
      <w:r>
        <w:rPr>
          <w:rFonts w:hint="eastAsia"/>
          <w:kern w:val="0"/>
          <w:sz w:val="24"/>
          <w:szCs w:val="22"/>
        </w:rPr>
        <w:t>为油脂黏度(mPa·s)。</w:t>
      </w:r>
    </w:p>
    <w:p w14:paraId="0CBEE18D">
      <w:pPr>
        <w:widowControl/>
        <w:spacing w:after="60" w:line="360" w:lineRule="auto"/>
        <w:ind w:firstLine="480" w:firstLineChars="200"/>
        <w:jc w:val="left"/>
        <w:rPr>
          <w:kern w:val="0"/>
          <w:sz w:val="24"/>
          <w:szCs w:val="22"/>
        </w:rPr>
      </w:pPr>
      <w:r>
        <w:rPr>
          <w:rFonts w:hint="eastAsia"/>
          <w:kern w:val="0"/>
          <w:sz w:val="24"/>
          <w:szCs w:val="22"/>
        </w:rPr>
        <w:t>该预测方程的R</w:t>
      </w:r>
      <w:r>
        <w:rPr>
          <w:rFonts w:hint="eastAsia"/>
          <w:kern w:val="0"/>
          <w:sz w:val="24"/>
          <w:szCs w:val="22"/>
          <w:vertAlign w:val="superscript"/>
        </w:rPr>
        <w:t>2</w:t>
      </w:r>
      <w:r>
        <w:rPr>
          <w:rFonts w:hint="eastAsia"/>
          <w:kern w:val="0"/>
          <w:sz w:val="24"/>
          <w:szCs w:val="22"/>
        </w:rPr>
        <w:t>为0.99，交互项(</w:t>
      </w:r>
      <w:r>
        <w:rPr>
          <w:kern w:val="0"/>
          <w:sz w:val="24"/>
          <w:szCs w:val="22"/>
          <w:lang w:eastAsia="en-US"/>
        </w:rPr>
        <w:t>μ</w:t>
      </w:r>
      <w:r>
        <w:rPr>
          <w:rFonts w:hint="eastAsia"/>
          <w:kern w:val="0"/>
          <w:sz w:val="24"/>
          <w:szCs w:val="22"/>
        </w:rPr>
        <w:t>P)的系数为负值(-0.0067)，从数学原理上印证了“高黏度能抵消高喷涂比例带来的漏油增加”这一物理机制。进一步，将幂定律模型代入该方程，即可得到考虑不同后喷涂比例下的油脂漏油率预测模型：</w:t>
      </w:r>
    </w:p>
    <w:p w14:paraId="11DFA40F">
      <w:pPr>
        <w:widowControl/>
        <w:spacing w:after="60" w:line="360" w:lineRule="auto"/>
        <w:jc w:val="center"/>
        <w:rPr>
          <w:kern w:val="0"/>
          <w:sz w:val="24"/>
          <w:szCs w:val="22"/>
          <w:lang w:eastAsia="en-US"/>
        </w:rPr>
      </w:pPr>
      <w:r>
        <w:rPr>
          <w:rFonts w:hint="eastAsia"/>
          <w:kern w:val="0"/>
          <w:sz w:val="24"/>
          <w:szCs w:val="22"/>
          <w:lang w:eastAsia="en-US"/>
        </w:rPr>
        <w:t>L=-4.9910+0.0376[k(T－T</w:t>
      </w:r>
      <w:r>
        <w:rPr>
          <w:rFonts w:hint="eastAsia"/>
          <w:kern w:val="0"/>
          <w:sz w:val="24"/>
          <w:szCs w:val="22"/>
          <w:vertAlign w:val="subscript"/>
          <w:lang w:eastAsia="en-US"/>
        </w:rPr>
        <w:t>ref</w:t>
      </w:r>
      <w:r>
        <w:rPr>
          <w:rFonts w:hint="eastAsia"/>
          <w:kern w:val="0"/>
          <w:sz w:val="24"/>
          <w:szCs w:val="22"/>
          <w:lang w:eastAsia="en-US"/>
        </w:rPr>
        <w:t>)</w:t>
      </w:r>
      <w:r>
        <w:rPr>
          <w:rFonts w:hint="eastAsia"/>
          <w:kern w:val="0"/>
          <w:sz w:val="24"/>
          <w:szCs w:val="22"/>
          <w:vertAlign w:val="superscript"/>
          <w:lang w:eastAsia="en-US"/>
        </w:rPr>
        <w:t>n</w:t>
      </w:r>
      <w:r>
        <w:rPr>
          <w:rFonts w:hint="eastAsia"/>
          <w:kern w:val="0"/>
          <w:sz w:val="24"/>
          <w:szCs w:val="22"/>
          <w:lang w:eastAsia="en-US"/>
        </w:rPr>
        <w:t>]+1.0314P-0.0067[k(T－T</w:t>
      </w:r>
      <w:r>
        <w:rPr>
          <w:rFonts w:hint="eastAsia"/>
          <w:kern w:val="0"/>
          <w:sz w:val="24"/>
          <w:szCs w:val="22"/>
          <w:vertAlign w:val="subscript"/>
          <w:lang w:eastAsia="en-US"/>
        </w:rPr>
        <w:t>ref</w:t>
      </w:r>
      <w:r>
        <w:rPr>
          <w:rFonts w:hint="eastAsia"/>
          <w:kern w:val="0"/>
          <w:sz w:val="24"/>
          <w:szCs w:val="22"/>
          <w:lang w:eastAsia="en-US"/>
        </w:rPr>
        <w:t>)</w:t>
      </w:r>
      <w:r>
        <w:rPr>
          <w:rFonts w:hint="eastAsia"/>
          <w:kern w:val="0"/>
          <w:sz w:val="24"/>
          <w:szCs w:val="22"/>
          <w:vertAlign w:val="superscript"/>
          <w:lang w:eastAsia="en-US"/>
        </w:rPr>
        <w:t>n</w:t>
      </w:r>
      <w:r>
        <w:rPr>
          <w:rFonts w:hint="eastAsia"/>
          <w:kern w:val="0"/>
          <w:sz w:val="24"/>
          <w:szCs w:val="22"/>
          <w:lang w:eastAsia="en-US"/>
        </w:rPr>
        <w:t>]P－0.0059P</w:t>
      </w:r>
      <w:r>
        <w:rPr>
          <w:rFonts w:hint="eastAsia"/>
          <w:kern w:val="0"/>
          <w:sz w:val="24"/>
          <w:szCs w:val="22"/>
          <w:vertAlign w:val="superscript"/>
          <w:lang w:eastAsia="en-US"/>
        </w:rPr>
        <w:t>2</w:t>
      </w:r>
      <w:r>
        <w:rPr>
          <w:rFonts w:hint="eastAsia"/>
          <w:kern w:val="0"/>
          <w:sz w:val="24"/>
          <w:szCs w:val="22"/>
          <w:lang w:eastAsia="en-US"/>
        </w:rPr>
        <w:t>。</w:t>
      </w:r>
    </w:p>
    <w:p w14:paraId="4BA59204">
      <w:pPr>
        <w:widowControl/>
        <w:spacing w:after="60" w:line="360" w:lineRule="auto"/>
        <w:ind w:firstLine="480" w:firstLineChars="200"/>
        <w:rPr>
          <w:kern w:val="0"/>
          <w:sz w:val="24"/>
          <w:szCs w:val="22"/>
        </w:rPr>
      </w:pPr>
      <w:r>
        <w:rPr>
          <w:rFonts w:hint="eastAsia"/>
          <w:kern w:val="0"/>
          <w:sz w:val="24"/>
          <w:szCs w:val="22"/>
        </w:rPr>
        <w:t>式中：L为预测的饲料漏油率(%)；P为后喷涂比例(%)；T为饲料的储藏温度(K)；T</w:t>
      </w:r>
      <w:r>
        <w:rPr>
          <w:rFonts w:hint="eastAsia"/>
          <w:kern w:val="0"/>
          <w:sz w:val="24"/>
          <w:szCs w:val="22"/>
          <w:vertAlign w:val="subscript"/>
        </w:rPr>
        <w:t>ref</w:t>
      </w:r>
      <w:r>
        <w:rPr>
          <w:rFonts w:hint="eastAsia"/>
          <w:kern w:val="0"/>
          <w:sz w:val="24"/>
          <w:szCs w:val="22"/>
        </w:rPr>
        <w:t>为参考温度，即0 ℃的绝对温度，其值为273.15 K；k，n为特定油源的幂定律模型参数（分别代表比例系数和温度指数），其数值取决于油脂的种类。</w:t>
      </w:r>
    </w:p>
    <w:p w14:paraId="29DF70A2">
      <w:pPr>
        <w:widowControl/>
        <w:spacing w:after="60" w:line="360" w:lineRule="auto"/>
        <w:ind w:firstLine="480" w:firstLineChars="200"/>
        <w:rPr>
          <w:kern w:val="0"/>
          <w:sz w:val="24"/>
          <w:szCs w:val="22"/>
        </w:rPr>
      </w:pPr>
      <w:r>
        <w:rPr>
          <w:rFonts w:hint="eastAsia"/>
          <w:kern w:val="0"/>
          <w:sz w:val="24"/>
          <w:szCs w:val="22"/>
        </w:rPr>
        <w:t>为评估上述综合预测模型在实际未知油脂样品中的泛化能力，将未参与建模的8种油脂在10%后喷涂比例、24 ℃条件下的实测漏油率与模型的预测值进行对比，验证结果如图4所示。由于剔除了两端的黑水虻油2和鱼油后验证集样本的漏油率波动范围较窄(2．84%～4.10%)，</w:t>
      </w:r>
      <w:r>
        <w:rPr>
          <w:rFonts w:hint="eastAsia"/>
          <w:i/>
          <w:iCs/>
          <w:kern w:val="0"/>
          <w:sz w:val="24"/>
          <w:szCs w:val="22"/>
        </w:rPr>
        <w:t>R</w:t>
      </w:r>
      <w:r>
        <w:rPr>
          <w:rFonts w:hint="eastAsia"/>
          <w:kern w:val="0"/>
          <w:sz w:val="24"/>
          <w:szCs w:val="22"/>
          <w:vertAlign w:val="superscript"/>
        </w:rPr>
        <w:t>2</w:t>
      </w:r>
      <w:r>
        <w:rPr>
          <w:rFonts w:hint="eastAsia"/>
          <w:kern w:val="0"/>
          <w:sz w:val="24"/>
          <w:szCs w:val="22"/>
        </w:rPr>
        <w:t>对因变量方差幅度高度敏感，不适合作为该验证场景的准确性指标，因此以RMSE和MAPE作为模型泛化能力的评价依据，模型的RMSE为0．1348，MAPE为3．42%，所有验证样本的预测偏差绝对值均控制在0.25%以内，且正负偏差分布较为均匀，未表现出明显的系统性偏倚，表明该模型在实际应用场景中具有较高的预测精度和良好的泛化能力。</w:t>
      </w:r>
    </w:p>
    <w:p w14:paraId="7BF0ADC5">
      <w:pPr>
        <w:widowControl/>
        <w:spacing w:after="60" w:line="360" w:lineRule="auto"/>
        <w:jc w:val="left"/>
        <w:rPr>
          <w:kern w:val="0"/>
          <w:sz w:val="24"/>
          <w:szCs w:val="22"/>
        </w:rPr>
      </w:pPr>
      <w:r>
        <w:rPr>
          <w:rFonts w:hint="eastAsia"/>
          <w:kern w:val="0"/>
          <w:sz w:val="24"/>
          <w:szCs w:val="22"/>
        </w:rPr>
        <w:t>3 讨论</w:t>
      </w:r>
    </w:p>
    <w:p w14:paraId="5B47643D">
      <w:pPr>
        <w:widowControl/>
        <w:spacing w:after="60" w:line="360" w:lineRule="auto"/>
        <w:ind w:firstLine="480" w:firstLineChars="200"/>
        <w:rPr>
          <w:kern w:val="0"/>
          <w:sz w:val="24"/>
          <w:szCs w:val="22"/>
        </w:rPr>
      </w:pPr>
      <w:r>
        <w:rPr>
          <w:rFonts w:hint="eastAsia"/>
          <w:kern w:val="0"/>
          <w:sz w:val="24"/>
          <w:szCs w:val="22"/>
        </w:rPr>
        <w:t>本研究证实了油脂黏度是决定膨化颗粒饲料后喷涂稳定性的核心流变学参数。回归分析显示漏油率与黏度呈极显著负相关。油脂黏度差异本质上源于各油脂脂肪酸组成的分子结构特性，鱼油富含多不饱和脂肪酸，其碳链中大量的顺式双键造成了分子构型的空间卷曲，这种不规则结构破坏了分子间的紧密堆积并削弱了分子间范德华</w:t>
      </w:r>
      <w:r>
        <w:rPr>
          <w:kern w:val="0"/>
          <w:sz w:val="24"/>
          <w:szCs w:val="22"/>
        </w:rPr>
        <w:t>力，从而在宏观上表现为极低的动力黏度</w:t>
      </w:r>
      <w:r>
        <w:rPr>
          <w:kern w:val="0"/>
          <w:sz w:val="24"/>
          <w:szCs w:val="22"/>
          <w:vertAlign w:val="superscript"/>
        </w:rPr>
        <w:t>[27</w:t>
      </w:r>
      <w:r>
        <w:rPr>
          <w:rFonts w:hint="eastAsia"/>
          <w:kern w:val="0"/>
          <w:sz w:val="24"/>
          <w:szCs w:val="22"/>
          <w:vertAlign w:val="superscript"/>
        </w:rPr>
        <w:t>-</w:t>
      </w:r>
      <w:r>
        <w:rPr>
          <w:kern w:val="0"/>
          <w:sz w:val="24"/>
          <w:szCs w:val="22"/>
          <w:vertAlign w:val="superscript"/>
        </w:rPr>
        <w:t>28]</w:t>
      </w:r>
      <w:r>
        <w:rPr>
          <w:kern w:val="0"/>
          <w:sz w:val="24"/>
          <w:szCs w:val="22"/>
        </w:rPr>
        <w:t>。相反，黑水虻油和棕榈油含有高比例的饱和脂肪酸，其线性的碳链结构有利于分子规则排列和高密度堆积，显著增强了流体分子的内摩擦力</w:t>
      </w:r>
      <w:r>
        <w:rPr>
          <w:kern w:val="0"/>
          <w:sz w:val="24"/>
          <w:szCs w:val="22"/>
          <w:vertAlign w:val="superscript"/>
        </w:rPr>
        <w:t>[29</w:t>
      </w:r>
      <w:r>
        <w:rPr>
          <w:rFonts w:hint="eastAsia"/>
          <w:kern w:val="0"/>
          <w:sz w:val="24"/>
          <w:szCs w:val="22"/>
          <w:vertAlign w:val="superscript"/>
        </w:rPr>
        <w:t>-</w:t>
      </w:r>
      <w:r>
        <w:rPr>
          <w:kern w:val="0"/>
          <w:sz w:val="24"/>
          <w:szCs w:val="22"/>
          <w:vertAlign w:val="superscript"/>
        </w:rPr>
        <w:t>30]</w:t>
      </w:r>
      <w:r>
        <w:rPr>
          <w:kern w:val="0"/>
          <w:sz w:val="24"/>
          <w:szCs w:val="22"/>
        </w:rPr>
        <w:t>，使其在常温下呈现高黏度甚至半固态特征。漏油率与黏度的负相关性可由多孔介质流体力学理论解释。膨化饲料颗粒内部具有高度连通的微孔网络结构，油脂在其中的迁移行为受毛细管压力和重力的双重驱动。根据Washburn方程的变体及其在多孔介质中的应用</w:t>
      </w:r>
      <w:r>
        <w:rPr>
          <w:kern w:val="0"/>
          <w:sz w:val="24"/>
          <w:szCs w:val="22"/>
          <w:vertAlign w:val="superscript"/>
        </w:rPr>
        <w:t>[31]</w:t>
      </w:r>
      <w:r>
        <w:rPr>
          <w:kern w:val="0"/>
          <w:sz w:val="24"/>
          <w:szCs w:val="22"/>
        </w:rPr>
        <w:t>，液体的渗透或迁移速率(dh/dt)与流体的动力黏度(</w:t>
      </w:r>
      <w:r>
        <w:rPr>
          <w:kern w:val="0"/>
          <w:sz w:val="24"/>
          <w:szCs w:val="22"/>
          <w:lang w:eastAsia="en-US"/>
        </w:rPr>
        <w:t>η</w:t>
      </w:r>
      <w:r>
        <w:rPr>
          <w:kern w:val="0"/>
          <w:sz w:val="24"/>
          <w:szCs w:val="22"/>
        </w:rPr>
        <w:t>)成反比</w:t>
      </w:r>
      <w:r>
        <w:rPr>
          <w:kern w:val="0"/>
          <w:sz w:val="24"/>
          <w:szCs w:val="22"/>
          <w:vertAlign w:val="superscript"/>
        </w:rPr>
        <w:t>[32]</w:t>
      </w:r>
      <w:r>
        <w:rPr>
          <w:kern w:val="0"/>
          <w:sz w:val="24"/>
          <w:szCs w:val="22"/>
        </w:rPr>
        <w:t>。高黏度油</w:t>
      </w:r>
      <w:r>
        <w:rPr>
          <w:rFonts w:ascii="宋体" w:hAnsi="宋体"/>
          <w:kern w:val="0"/>
          <w:sz w:val="24"/>
          <w:szCs w:val="22"/>
        </w:rPr>
        <w:t>脂</w:t>
      </w:r>
      <w:r>
        <w:rPr>
          <w:rFonts w:hint="eastAsia" w:ascii="宋体" w:hAnsi="宋体"/>
          <w:kern w:val="0"/>
          <w:sz w:val="24"/>
          <w:szCs w:val="22"/>
        </w:rPr>
        <w:t>（</w:t>
      </w:r>
      <w:r>
        <w:rPr>
          <w:rFonts w:ascii="宋体" w:hAnsi="宋体"/>
          <w:kern w:val="0"/>
          <w:sz w:val="24"/>
          <w:szCs w:val="22"/>
        </w:rPr>
        <w:t>如本研究中的黑水虻油和棕榈油</w:t>
      </w:r>
      <w:r>
        <w:rPr>
          <w:rFonts w:hint="eastAsia" w:ascii="宋体" w:hAnsi="宋体"/>
          <w:kern w:val="0"/>
          <w:sz w:val="24"/>
          <w:szCs w:val="22"/>
        </w:rPr>
        <w:t>）</w:t>
      </w:r>
      <w:r>
        <w:rPr>
          <w:rFonts w:ascii="宋体" w:hAnsi="宋体"/>
          <w:kern w:val="0"/>
          <w:sz w:val="24"/>
          <w:szCs w:val="22"/>
        </w:rPr>
        <w:t>由于其分子间内摩擦力大，在颗粒孔隙网络中流动时面临巨大的流体动力学阻力。这种高阻力在仓储阶段有效锁定了油脂，极大地延缓了由重力引起的逆向迁移</w:t>
      </w:r>
      <w:r>
        <w:rPr>
          <w:rFonts w:hint="eastAsia" w:ascii="宋体" w:hAnsi="宋体"/>
          <w:kern w:val="0"/>
          <w:sz w:val="24"/>
          <w:szCs w:val="22"/>
        </w:rPr>
        <w:t>（</w:t>
      </w:r>
      <w:r>
        <w:rPr>
          <w:rFonts w:ascii="宋体" w:hAnsi="宋体"/>
          <w:kern w:val="0"/>
          <w:sz w:val="24"/>
          <w:szCs w:val="22"/>
        </w:rPr>
        <w:t>即渗油</w:t>
      </w:r>
      <w:r>
        <w:rPr>
          <w:rFonts w:hint="eastAsia" w:ascii="宋体" w:hAnsi="宋体"/>
          <w:kern w:val="0"/>
          <w:sz w:val="24"/>
          <w:szCs w:val="22"/>
        </w:rPr>
        <w:t>）</w:t>
      </w:r>
      <w:r>
        <w:rPr>
          <w:rFonts w:ascii="宋体" w:hAnsi="宋体"/>
          <w:kern w:val="0"/>
          <w:sz w:val="24"/>
          <w:szCs w:val="22"/>
        </w:rPr>
        <w:t>，而正向迁移</w:t>
      </w:r>
      <w:r>
        <w:rPr>
          <w:rFonts w:hint="eastAsia" w:ascii="宋体" w:hAnsi="宋体"/>
          <w:kern w:val="0"/>
          <w:sz w:val="24"/>
          <w:szCs w:val="22"/>
        </w:rPr>
        <w:t>（</w:t>
      </w:r>
      <w:r>
        <w:rPr>
          <w:rFonts w:ascii="宋体" w:hAnsi="宋体"/>
          <w:kern w:val="0"/>
          <w:sz w:val="24"/>
          <w:szCs w:val="22"/>
        </w:rPr>
        <w:t>喷涂阶段</w:t>
      </w:r>
      <w:r>
        <w:rPr>
          <w:rFonts w:hint="eastAsia" w:ascii="宋体" w:hAnsi="宋体"/>
          <w:kern w:val="0"/>
          <w:sz w:val="24"/>
          <w:szCs w:val="22"/>
        </w:rPr>
        <w:t>）</w:t>
      </w:r>
      <w:r>
        <w:rPr>
          <w:rFonts w:ascii="宋体" w:hAnsi="宋体"/>
          <w:kern w:val="0"/>
          <w:sz w:val="24"/>
          <w:szCs w:val="22"/>
        </w:rPr>
        <w:t>中这种高阻力对于油脂渗透是负面作用，产业端通过升高喷涂温度，使</w:t>
      </w:r>
      <w:r>
        <w:rPr>
          <w:kern w:val="0"/>
          <w:sz w:val="24"/>
          <w:szCs w:val="22"/>
        </w:rPr>
        <w:t>脂质分子的动能增加，降低黏度并增加迁移速率，降低渗透难度。而低黏度鱼油由于缺乏足够的黏滞阻力，迁移速率高，虽无需升温即可喷涂至饲料颗粒孔隙内部，但极易在孔隙通道中发生滑移和渗出，导致高漏油率。</w:t>
      </w:r>
    </w:p>
    <w:p w14:paraId="5CDD53CC">
      <w:pPr>
        <w:widowControl/>
        <w:spacing w:after="60" w:line="360" w:lineRule="auto"/>
        <w:jc w:val="center"/>
        <w:rPr>
          <w:kern w:val="0"/>
          <w:sz w:val="24"/>
          <w:szCs w:val="22"/>
          <w:lang w:eastAsia="en-US"/>
        </w:rPr>
      </w:pPr>
      <w:r>
        <w:rPr>
          <w:kern w:val="0"/>
          <w:sz w:val="24"/>
          <w:szCs w:val="22"/>
          <w:lang w:eastAsia="en-US"/>
        </w:rPr>
        <w:drawing>
          <wp:inline distT="0" distB="0" distL="0" distR="0">
            <wp:extent cx="5041265" cy="2730500"/>
            <wp:effectExtent l="0" t="0" r="6985" b="0"/>
            <wp:docPr id="6804907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490726" name="图片 1"/>
                    <pic:cNvPicPr>
                      <a:picLocks noChangeAspect="1"/>
                    </pic:cNvPicPr>
                  </pic:nvPicPr>
                  <pic:blipFill>
                    <a:blip r:embed="rId55"/>
                    <a:stretch>
                      <a:fillRect/>
                    </a:stretch>
                  </pic:blipFill>
                  <pic:spPr>
                    <a:xfrm>
                      <a:off x="0" y="0"/>
                      <a:ext cx="5050572" cy="2735253"/>
                    </a:xfrm>
                    <a:prstGeom prst="rect">
                      <a:avLst/>
                    </a:prstGeom>
                  </pic:spPr>
                </pic:pic>
              </a:graphicData>
            </a:graphic>
          </wp:inline>
        </w:drawing>
      </w:r>
    </w:p>
    <w:p w14:paraId="31E49892">
      <w:pPr>
        <w:widowControl/>
        <w:spacing w:after="60" w:line="360" w:lineRule="auto"/>
        <w:ind w:firstLine="480" w:firstLineChars="200"/>
        <w:rPr>
          <w:kern w:val="0"/>
          <w:sz w:val="24"/>
          <w:szCs w:val="22"/>
        </w:rPr>
      </w:pPr>
      <w:r>
        <w:rPr>
          <w:kern w:val="0"/>
          <w:sz w:val="24"/>
          <w:szCs w:val="22"/>
        </w:rPr>
        <w:t>除了黏度这一核心驱动力外，实际流体体系中伴生的其他物性特征也值得进一步探讨，它们可能为高黏度油脂的优异表现提供了额外的物理支持。值得注意的是，本研究中表现最佳的黑水虻油属于粗油，其高黏度特性往往伴随着微量胶体或悬浮颗</w:t>
      </w:r>
      <w:r>
        <w:rPr>
          <w:rFonts w:ascii="宋体" w:hAnsi="宋体"/>
          <w:kern w:val="0"/>
          <w:sz w:val="24"/>
          <w:szCs w:val="22"/>
        </w:rPr>
        <w:t>粒</w:t>
      </w:r>
      <w:r>
        <w:rPr>
          <w:rFonts w:hint="eastAsia" w:ascii="宋体" w:hAnsi="宋体"/>
          <w:kern w:val="0"/>
          <w:sz w:val="24"/>
          <w:szCs w:val="22"/>
        </w:rPr>
        <w:t>（</w:t>
      </w:r>
      <w:r>
        <w:rPr>
          <w:rFonts w:ascii="宋体" w:hAnsi="宋体"/>
          <w:kern w:val="0"/>
          <w:sz w:val="24"/>
          <w:szCs w:val="22"/>
        </w:rPr>
        <w:t>如几丁质碎片</w:t>
      </w:r>
      <w:r>
        <w:rPr>
          <w:rFonts w:hint="eastAsia" w:ascii="宋体" w:hAnsi="宋体"/>
          <w:kern w:val="0"/>
          <w:sz w:val="24"/>
          <w:szCs w:val="22"/>
        </w:rPr>
        <w:t>）</w:t>
      </w:r>
      <w:r>
        <w:rPr>
          <w:rFonts w:ascii="宋体" w:hAnsi="宋体"/>
          <w:kern w:val="0"/>
          <w:sz w:val="24"/>
          <w:szCs w:val="22"/>
        </w:rPr>
        <w:t>的</w:t>
      </w:r>
      <w:r>
        <w:rPr>
          <w:kern w:val="0"/>
          <w:sz w:val="24"/>
          <w:szCs w:val="22"/>
        </w:rPr>
        <w:t>存在。相关研究表明，这些微细颗粒在多孔介质流动中倾向于形成“物理堵塞”效应，这可能在微观层面上辅助阻断了油脂的流出通道，与宏观黏度形成协同增效</w:t>
      </w:r>
      <w:r>
        <w:rPr>
          <w:kern w:val="0"/>
          <w:sz w:val="24"/>
          <w:szCs w:val="22"/>
          <w:vertAlign w:val="superscript"/>
        </w:rPr>
        <w:t>[33</w:t>
      </w:r>
      <w:r>
        <w:rPr>
          <w:rFonts w:hint="eastAsia"/>
          <w:kern w:val="0"/>
          <w:sz w:val="24"/>
          <w:szCs w:val="22"/>
          <w:vertAlign w:val="superscript"/>
        </w:rPr>
        <w:t>-</w:t>
      </w:r>
      <w:r>
        <w:rPr>
          <w:kern w:val="0"/>
          <w:sz w:val="24"/>
          <w:szCs w:val="22"/>
          <w:vertAlign w:val="superscript"/>
        </w:rPr>
        <w:t>35]</w:t>
      </w:r>
      <w:r>
        <w:rPr>
          <w:kern w:val="0"/>
          <w:sz w:val="24"/>
          <w:szCs w:val="22"/>
        </w:rPr>
        <w:t>。此外，关于密度</w:t>
      </w:r>
      <w:r>
        <w:rPr>
          <w:kern w:val="0"/>
          <w:sz w:val="24"/>
          <w:szCs w:val="22"/>
          <w:vertAlign w:val="superscript"/>
        </w:rPr>
        <w:t>[36]</w:t>
      </w:r>
      <w:r>
        <w:rPr>
          <w:kern w:val="0"/>
          <w:sz w:val="24"/>
          <w:szCs w:val="22"/>
        </w:rPr>
        <w:t>和表面张力</w:t>
      </w:r>
      <w:r>
        <w:rPr>
          <w:kern w:val="0"/>
          <w:sz w:val="24"/>
          <w:szCs w:val="22"/>
          <w:vertAlign w:val="superscript"/>
        </w:rPr>
        <w:t>[37]</w:t>
      </w:r>
      <w:r>
        <w:rPr>
          <w:kern w:val="0"/>
          <w:sz w:val="24"/>
          <w:szCs w:val="22"/>
        </w:rPr>
        <w:t>的理论分析表明，虽然它们是影响毛细管压力和重力势能的基础参数，但在本研究涉及的常见饲料油脂中，这2项指标在饲料级的变异幅度远小于黏度的数量级差异</w:t>
      </w:r>
      <w:r>
        <w:rPr>
          <w:kern w:val="0"/>
          <w:sz w:val="24"/>
          <w:szCs w:val="22"/>
          <w:vertAlign w:val="superscript"/>
        </w:rPr>
        <w:t>[38]</w:t>
      </w:r>
      <w:r>
        <w:rPr>
          <w:kern w:val="0"/>
          <w:sz w:val="24"/>
          <w:szCs w:val="22"/>
        </w:rPr>
        <w:t>。因此，将目光聚焦于黏度变化足以解释绝大部分的漏油率差异，而杂质等伴生因素则可视为对特定油</w:t>
      </w:r>
      <w:r>
        <w:rPr>
          <w:rFonts w:ascii="宋体" w:hAnsi="宋体"/>
          <w:kern w:val="0"/>
          <w:sz w:val="24"/>
          <w:szCs w:val="22"/>
        </w:rPr>
        <w:t>源</w:t>
      </w:r>
      <w:r>
        <w:rPr>
          <w:rFonts w:hint="eastAsia" w:ascii="宋体" w:hAnsi="宋体"/>
          <w:kern w:val="0"/>
          <w:sz w:val="24"/>
          <w:szCs w:val="22"/>
        </w:rPr>
        <w:t>（</w:t>
      </w:r>
      <w:r>
        <w:rPr>
          <w:rFonts w:ascii="宋体" w:hAnsi="宋体"/>
          <w:kern w:val="0"/>
          <w:sz w:val="24"/>
          <w:szCs w:val="22"/>
        </w:rPr>
        <w:t>如昆虫油</w:t>
      </w:r>
      <w:r>
        <w:rPr>
          <w:rFonts w:hint="eastAsia" w:ascii="宋体" w:hAnsi="宋体"/>
          <w:kern w:val="0"/>
          <w:sz w:val="24"/>
          <w:szCs w:val="22"/>
        </w:rPr>
        <w:t>）</w:t>
      </w:r>
      <w:r>
        <w:rPr>
          <w:rFonts w:ascii="宋体" w:hAnsi="宋体"/>
          <w:kern w:val="0"/>
          <w:sz w:val="24"/>
          <w:szCs w:val="22"/>
        </w:rPr>
        <w:t>固油能</w:t>
      </w:r>
      <w:r>
        <w:rPr>
          <w:kern w:val="0"/>
          <w:sz w:val="24"/>
          <w:szCs w:val="22"/>
        </w:rPr>
        <w:t>力</w:t>
      </w:r>
      <w:r>
        <w:rPr>
          <w:rFonts w:hint="eastAsia"/>
          <w:kern w:val="0"/>
          <w:sz w:val="24"/>
          <w:szCs w:val="22"/>
        </w:rPr>
        <w:t>的补充贡献。在喷涂比例方面，当后喷涂比例升高至15%时，颗粒表层孔隙趋于饱和，多余油脂被迫滞留于颗粒表面或大孔径通道中，此时重力势能主导了油脂的渗出行为，流体内部的黏滞阻力成为阻止漏油的唯一屏障。正如模型中负向的交互项系数所指示的，在此极端条件下，高黏度油</w:t>
      </w:r>
      <w:r>
        <w:rPr>
          <w:rFonts w:hint="eastAsia" w:ascii="宋体" w:hAnsi="宋体"/>
          <w:kern w:val="0"/>
          <w:sz w:val="24"/>
          <w:szCs w:val="22"/>
        </w:rPr>
        <w:t>脂（如黑水虻油）凭借其</w:t>
      </w:r>
      <w:r>
        <w:rPr>
          <w:rFonts w:hint="eastAsia"/>
          <w:kern w:val="0"/>
          <w:sz w:val="24"/>
          <w:szCs w:val="22"/>
        </w:rPr>
        <w:t>强大的分子间内摩擦力，有效抵抗了重力驱动的滑移，展现出了远优于低黏度鱼油的固持能力。</w:t>
      </w:r>
    </w:p>
    <w:p w14:paraId="29BDDC40">
      <w:pPr>
        <w:widowControl/>
        <w:spacing w:after="60" w:line="360" w:lineRule="auto"/>
        <w:ind w:firstLine="480" w:firstLineChars="200"/>
        <w:rPr>
          <w:kern w:val="0"/>
          <w:sz w:val="24"/>
          <w:szCs w:val="22"/>
        </w:rPr>
      </w:pPr>
      <w:r>
        <w:rPr>
          <w:rFonts w:hint="eastAsia"/>
          <w:kern w:val="0"/>
          <w:sz w:val="24"/>
          <w:szCs w:val="22"/>
        </w:rPr>
        <w:t>本研究构建的“温度－黏度－漏油率”综合模型不仅验证了理论假设，更具有显著的工程应用价值，它将抽象的漏油风险成功量化为可测量的流变学参数(k、n)，并根据不同喷涂比例条件进行调整。在饲料原料日益多元化的背景下，该模型首先为油源的准入与替代提供了高效的评估工具；当企业计划引入微藻油或新型昆虫油替代传统鱼油时，无需进行耗时且昂贵的喷涂中试，只需测定新油源的流变参数并代入模型，即可快速预判其在特定储藏条件下的稳定性表现，大幅降低研发试错成本。此外，该模型还为生产过程中的动态工艺控制提供了量化依据，特别是针对环境温度这一关键变量。例如，在夏季高温或热带地区生产时，若模型预警低黏度油脂</w:t>
      </w:r>
      <w:r>
        <w:rPr>
          <w:rFonts w:hint="eastAsia" w:ascii="宋体" w:hAnsi="宋体"/>
          <w:kern w:val="0"/>
          <w:sz w:val="24"/>
          <w:szCs w:val="22"/>
        </w:rPr>
        <w:t>（如豆油）的漏油风险超出阈值，生产端可据此迅速决策，采取降低喷涂温度、延长冷却时间，或与高熔点油脂（如棕榈油）复</w:t>
      </w:r>
      <w:r>
        <w:rPr>
          <w:rFonts w:hint="eastAsia"/>
          <w:kern w:val="0"/>
          <w:sz w:val="24"/>
          <w:szCs w:val="22"/>
        </w:rPr>
        <w:t>配以提高体系黏度等主动干预措施，从而确保最终产品质量的均一性与稳定性。</w:t>
      </w:r>
    </w:p>
    <w:p w14:paraId="73B75A77">
      <w:pPr>
        <w:widowControl/>
        <w:spacing w:after="60" w:line="360" w:lineRule="auto"/>
        <w:jc w:val="left"/>
        <w:rPr>
          <w:kern w:val="0"/>
          <w:sz w:val="24"/>
          <w:szCs w:val="22"/>
        </w:rPr>
      </w:pPr>
      <w:r>
        <w:rPr>
          <w:rFonts w:hint="eastAsia"/>
          <w:kern w:val="0"/>
          <w:sz w:val="24"/>
          <w:szCs w:val="22"/>
        </w:rPr>
        <w:t>4 结论</w:t>
      </w:r>
    </w:p>
    <w:p w14:paraId="3D823D03">
      <w:pPr>
        <w:pStyle w:val="9"/>
        <w:spacing w:line="360" w:lineRule="auto"/>
        <w:ind w:firstLine="480" w:firstLineChars="200"/>
        <w:jc w:val="both"/>
        <w:rPr>
          <w:rFonts w:eastAsiaTheme="minorEastAsia"/>
          <w:sz w:val="24"/>
          <w:lang w:eastAsia="zh-CN"/>
        </w:rPr>
      </w:pPr>
      <w:r>
        <w:rPr>
          <w:rFonts w:hint="eastAsia" w:eastAsia="宋体"/>
          <w:sz w:val="24"/>
          <w:szCs w:val="22"/>
          <w:lang w:eastAsia="zh-CN" w:bidi="ar-SA"/>
        </w:rPr>
        <w:t>本研究系统揭示了油脂黏度是决定膨化颗粒饲料后喷涂稳定性的关键物理指标，二者之间存在极显著的负相关关系，高黏度油脂表现出优异的固持能力。在所测典型油脂中，固油能力由高到低为黑水虻油＞棕榈油＞豆油＞鱼油，表明黑水虻油和棕榈油是替代低黏度鱼油、提升产品外观质量的理想选择。本研究还构建了整合特征流变参数(k、n)、储藏环境温度及后喷涂比例的综合预测模型，该模型可为饲料加工行业优化油脂配方、改进喷涂工艺及保障产品质量提供重要的理论依据与技术参考</w:t>
      </w:r>
      <w:r>
        <w:rPr>
          <w:rFonts w:hint="eastAsia"/>
          <w:sz w:val="24"/>
          <w:lang w:eastAsia="zh-CN"/>
        </w:rPr>
        <w:t>。</w:t>
      </w:r>
    </w:p>
    <w:p w14:paraId="486B6A04">
      <w:pPr>
        <w:spacing w:line="360" w:lineRule="auto"/>
        <w:rPr>
          <w:rFonts w:hint="eastAsia" w:ascii="宋体" w:hAnsi="宋体" w:cs="宋体"/>
          <w:sz w:val="24"/>
        </w:rPr>
      </w:pPr>
      <w:r>
        <w:rPr>
          <w:sz w:val="24"/>
        </w:rPr>
        <w:t>参考文献：略</w:t>
      </w:r>
    </w:p>
    <w:p w14:paraId="5BCEF1B2">
      <w:pPr>
        <w:spacing w:line="360" w:lineRule="auto"/>
        <w:jc w:val="right"/>
        <w:rPr>
          <w:szCs w:val="21"/>
        </w:rPr>
      </w:pPr>
      <w:r>
        <w:rPr>
          <w:rFonts w:hint="eastAsia" w:ascii="宋体" w:hAnsi="宋体" w:cs="宋体"/>
          <w:szCs w:val="21"/>
        </w:rPr>
        <w:t>原文刊登在《动物营养学报》2026年第9</w:t>
      </w:r>
      <w:r>
        <w:rPr>
          <w:rFonts w:hint="eastAsia"/>
          <w:szCs w:val="21"/>
        </w:rPr>
        <w:t>期</w:t>
      </w:r>
    </w:p>
    <w:p w14:paraId="2D1B1621">
      <w:pPr>
        <w:spacing w:line="360" w:lineRule="auto"/>
        <w:ind w:right="840"/>
        <w:rPr>
          <w:rStyle w:val="97"/>
          <w:rFonts w:eastAsiaTheme="minorEastAsia"/>
          <w:szCs w:val="21"/>
        </w:rPr>
      </w:pPr>
    </w:p>
    <w:p w14:paraId="29B7B2C7">
      <w:pPr>
        <w:spacing w:line="360" w:lineRule="auto"/>
        <w:ind w:right="840"/>
        <w:rPr>
          <w:rStyle w:val="97"/>
          <w:rFonts w:hint="eastAsia" w:eastAsiaTheme="minorEastAsia"/>
          <w:szCs w:val="21"/>
        </w:rPr>
      </w:pPr>
    </w:p>
    <w:sectPr>
      <w:footerReference r:id="rId3" w:type="default"/>
      <w:pgSz w:w="11906" w:h="16838"/>
      <w:pgMar w:top="1440" w:right="1247" w:bottom="1440" w:left="1247"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TimesNewRomanPSMT">
    <w:altName w:val="Times New Roman"/>
    <w:panose1 w:val="00000000000000000000"/>
    <w:charset w:val="00"/>
    <w:family w:val="roman"/>
    <w:pitch w:val="default"/>
    <w:sig w:usb0="00000000" w:usb1="00000000" w:usb2="00000010" w:usb3="00000000" w:csb0="00040000" w:csb1="00000000"/>
  </w:font>
  <w:font w:name="TimesNewRomanPS-ItalicMT">
    <w:altName w:val="Times New Roman"/>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226461"/>
      <w:docPartObj>
        <w:docPartGallery w:val="autotext"/>
      </w:docPartObj>
    </w:sdtPr>
    <w:sdtContent>
      <w:p w14:paraId="16AD406C">
        <w:pPr>
          <w:pStyle w:val="13"/>
          <w:jc w:val="center"/>
        </w:pPr>
        <w:r>
          <w:fldChar w:fldCharType="begin"/>
        </w:r>
        <w:r>
          <w:instrText xml:space="preserve">PAGE   \* MERGEFORMAT</w:instrText>
        </w:r>
        <w:r>
          <w:fldChar w:fldCharType="separate"/>
        </w:r>
        <w:r>
          <w:rPr>
            <w:lang w:val="zh-CN"/>
          </w:rPr>
          <w:t>2</w:t>
        </w:r>
        <w:r>
          <w:fldChar w:fldCharType="end"/>
        </w:r>
      </w:p>
    </w:sdtContent>
  </w:sdt>
  <w:p w14:paraId="0F8D21D0">
    <w:pPr>
      <w:pStyle w:val="1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mirrorMargins w:val="1"/>
  <w:bordersDoNotSurroundHeader w:val="1"/>
  <w:bordersDoNotSurroundFooter w:val="1"/>
  <w:hideSpellingError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lYTA0YmQzOTg4OTBhYTU4MzMyZGMwOWM5ZGU2MDcifQ=="/>
  </w:docVars>
  <w:rsids>
    <w:rsidRoot w:val="00172A27"/>
    <w:rsid w:val="00002115"/>
    <w:rsid w:val="00002BFE"/>
    <w:rsid w:val="00002E4A"/>
    <w:rsid w:val="0000389A"/>
    <w:rsid w:val="00006E4D"/>
    <w:rsid w:val="000078F8"/>
    <w:rsid w:val="00011809"/>
    <w:rsid w:val="000140DD"/>
    <w:rsid w:val="000162CE"/>
    <w:rsid w:val="00016E06"/>
    <w:rsid w:val="0001799F"/>
    <w:rsid w:val="00022032"/>
    <w:rsid w:val="0002235E"/>
    <w:rsid w:val="00023879"/>
    <w:rsid w:val="00024430"/>
    <w:rsid w:val="00024780"/>
    <w:rsid w:val="00024F8D"/>
    <w:rsid w:val="00026CC6"/>
    <w:rsid w:val="00032EB0"/>
    <w:rsid w:val="00035281"/>
    <w:rsid w:val="00036EAA"/>
    <w:rsid w:val="00037F8A"/>
    <w:rsid w:val="00041E32"/>
    <w:rsid w:val="0004228A"/>
    <w:rsid w:val="00042A93"/>
    <w:rsid w:val="00043457"/>
    <w:rsid w:val="00045296"/>
    <w:rsid w:val="00046763"/>
    <w:rsid w:val="000507D7"/>
    <w:rsid w:val="00051224"/>
    <w:rsid w:val="000546FE"/>
    <w:rsid w:val="00054B42"/>
    <w:rsid w:val="00056AC4"/>
    <w:rsid w:val="00057A43"/>
    <w:rsid w:val="000601F4"/>
    <w:rsid w:val="00060368"/>
    <w:rsid w:val="00060549"/>
    <w:rsid w:val="000639F4"/>
    <w:rsid w:val="00067060"/>
    <w:rsid w:val="000674B3"/>
    <w:rsid w:val="00067CC5"/>
    <w:rsid w:val="00072F23"/>
    <w:rsid w:val="00074B36"/>
    <w:rsid w:val="00075A80"/>
    <w:rsid w:val="00075D73"/>
    <w:rsid w:val="00075DD3"/>
    <w:rsid w:val="000778A5"/>
    <w:rsid w:val="00080EC7"/>
    <w:rsid w:val="0008258D"/>
    <w:rsid w:val="00082714"/>
    <w:rsid w:val="0008527C"/>
    <w:rsid w:val="00086944"/>
    <w:rsid w:val="00086B20"/>
    <w:rsid w:val="00086BED"/>
    <w:rsid w:val="00087A85"/>
    <w:rsid w:val="00087D57"/>
    <w:rsid w:val="00091B87"/>
    <w:rsid w:val="00092844"/>
    <w:rsid w:val="000932DF"/>
    <w:rsid w:val="000935DC"/>
    <w:rsid w:val="00095841"/>
    <w:rsid w:val="00096E7B"/>
    <w:rsid w:val="00097448"/>
    <w:rsid w:val="000A1544"/>
    <w:rsid w:val="000A2CB9"/>
    <w:rsid w:val="000A383F"/>
    <w:rsid w:val="000A3E04"/>
    <w:rsid w:val="000A45CC"/>
    <w:rsid w:val="000A5B38"/>
    <w:rsid w:val="000A615C"/>
    <w:rsid w:val="000A75D7"/>
    <w:rsid w:val="000B081D"/>
    <w:rsid w:val="000B362C"/>
    <w:rsid w:val="000B3A02"/>
    <w:rsid w:val="000B3B35"/>
    <w:rsid w:val="000B3DB4"/>
    <w:rsid w:val="000B40A3"/>
    <w:rsid w:val="000B4EA4"/>
    <w:rsid w:val="000B4F43"/>
    <w:rsid w:val="000B5E61"/>
    <w:rsid w:val="000B6C41"/>
    <w:rsid w:val="000B7C99"/>
    <w:rsid w:val="000C000C"/>
    <w:rsid w:val="000C1E70"/>
    <w:rsid w:val="000C1F1B"/>
    <w:rsid w:val="000C2535"/>
    <w:rsid w:val="000C38D1"/>
    <w:rsid w:val="000C4200"/>
    <w:rsid w:val="000C4DD7"/>
    <w:rsid w:val="000C5A7E"/>
    <w:rsid w:val="000C5F62"/>
    <w:rsid w:val="000C6194"/>
    <w:rsid w:val="000C6B67"/>
    <w:rsid w:val="000C7025"/>
    <w:rsid w:val="000C7E7A"/>
    <w:rsid w:val="000D0748"/>
    <w:rsid w:val="000D0869"/>
    <w:rsid w:val="000D0B84"/>
    <w:rsid w:val="000D10F7"/>
    <w:rsid w:val="000D17DD"/>
    <w:rsid w:val="000D1B49"/>
    <w:rsid w:val="000D64CA"/>
    <w:rsid w:val="000D688D"/>
    <w:rsid w:val="000D6ACA"/>
    <w:rsid w:val="000D7731"/>
    <w:rsid w:val="000D7991"/>
    <w:rsid w:val="000E1DEF"/>
    <w:rsid w:val="000E2BBA"/>
    <w:rsid w:val="000E4383"/>
    <w:rsid w:val="000E583D"/>
    <w:rsid w:val="000E6948"/>
    <w:rsid w:val="000E6DAE"/>
    <w:rsid w:val="000F0055"/>
    <w:rsid w:val="000F0FCE"/>
    <w:rsid w:val="000F2DCC"/>
    <w:rsid w:val="000F30A4"/>
    <w:rsid w:val="000F3844"/>
    <w:rsid w:val="000F425B"/>
    <w:rsid w:val="000F6254"/>
    <w:rsid w:val="000F6417"/>
    <w:rsid w:val="000F642F"/>
    <w:rsid w:val="000F6E36"/>
    <w:rsid w:val="001000FA"/>
    <w:rsid w:val="001028F0"/>
    <w:rsid w:val="00102DB7"/>
    <w:rsid w:val="0010350D"/>
    <w:rsid w:val="00104062"/>
    <w:rsid w:val="00104F42"/>
    <w:rsid w:val="00105674"/>
    <w:rsid w:val="00105C63"/>
    <w:rsid w:val="00107626"/>
    <w:rsid w:val="00107696"/>
    <w:rsid w:val="00107B43"/>
    <w:rsid w:val="00107F13"/>
    <w:rsid w:val="00107F29"/>
    <w:rsid w:val="001109D0"/>
    <w:rsid w:val="00112132"/>
    <w:rsid w:val="00113EBF"/>
    <w:rsid w:val="001142B8"/>
    <w:rsid w:val="00114ABC"/>
    <w:rsid w:val="00114AF2"/>
    <w:rsid w:val="00114AF4"/>
    <w:rsid w:val="00115440"/>
    <w:rsid w:val="00115F9B"/>
    <w:rsid w:val="001164E0"/>
    <w:rsid w:val="001172CF"/>
    <w:rsid w:val="001178F0"/>
    <w:rsid w:val="00121953"/>
    <w:rsid w:val="001226B3"/>
    <w:rsid w:val="0012398F"/>
    <w:rsid w:val="0012437E"/>
    <w:rsid w:val="001255FE"/>
    <w:rsid w:val="00125783"/>
    <w:rsid w:val="001264F7"/>
    <w:rsid w:val="00130158"/>
    <w:rsid w:val="00130955"/>
    <w:rsid w:val="001323EA"/>
    <w:rsid w:val="0013329F"/>
    <w:rsid w:val="0013359F"/>
    <w:rsid w:val="00133D64"/>
    <w:rsid w:val="001410FA"/>
    <w:rsid w:val="00141929"/>
    <w:rsid w:val="0014286D"/>
    <w:rsid w:val="00142DB1"/>
    <w:rsid w:val="00143A57"/>
    <w:rsid w:val="00144A33"/>
    <w:rsid w:val="00144A8E"/>
    <w:rsid w:val="00144F0E"/>
    <w:rsid w:val="00147484"/>
    <w:rsid w:val="00147815"/>
    <w:rsid w:val="00147A4B"/>
    <w:rsid w:val="00147D9B"/>
    <w:rsid w:val="00147FE6"/>
    <w:rsid w:val="0015008E"/>
    <w:rsid w:val="00151281"/>
    <w:rsid w:val="00151291"/>
    <w:rsid w:val="00151762"/>
    <w:rsid w:val="00151DBA"/>
    <w:rsid w:val="00151DDB"/>
    <w:rsid w:val="001525A7"/>
    <w:rsid w:val="0015316B"/>
    <w:rsid w:val="00155FA9"/>
    <w:rsid w:val="00156460"/>
    <w:rsid w:val="001571FA"/>
    <w:rsid w:val="00160661"/>
    <w:rsid w:val="001608F4"/>
    <w:rsid w:val="00161685"/>
    <w:rsid w:val="0016314A"/>
    <w:rsid w:val="00164ECD"/>
    <w:rsid w:val="00165B8B"/>
    <w:rsid w:val="00171CD2"/>
    <w:rsid w:val="00171ED9"/>
    <w:rsid w:val="00172A27"/>
    <w:rsid w:val="00172E0D"/>
    <w:rsid w:val="00176536"/>
    <w:rsid w:val="001765D4"/>
    <w:rsid w:val="00177FBF"/>
    <w:rsid w:val="00181DD6"/>
    <w:rsid w:val="00183729"/>
    <w:rsid w:val="00185F05"/>
    <w:rsid w:val="00186AEA"/>
    <w:rsid w:val="00187D22"/>
    <w:rsid w:val="001901B0"/>
    <w:rsid w:val="00190838"/>
    <w:rsid w:val="001918A0"/>
    <w:rsid w:val="0019190F"/>
    <w:rsid w:val="001920E0"/>
    <w:rsid w:val="0019272A"/>
    <w:rsid w:val="00193590"/>
    <w:rsid w:val="00193B81"/>
    <w:rsid w:val="001947D3"/>
    <w:rsid w:val="00195B86"/>
    <w:rsid w:val="00195CAE"/>
    <w:rsid w:val="001969D8"/>
    <w:rsid w:val="001974DA"/>
    <w:rsid w:val="001A14D9"/>
    <w:rsid w:val="001A1E4D"/>
    <w:rsid w:val="001A559B"/>
    <w:rsid w:val="001A5FAD"/>
    <w:rsid w:val="001B036A"/>
    <w:rsid w:val="001B1379"/>
    <w:rsid w:val="001B1408"/>
    <w:rsid w:val="001B2750"/>
    <w:rsid w:val="001B34BE"/>
    <w:rsid w:val="001B70C5"/>
    <w:rsid w:val="001C07B8"/>
    <w:rsid w:val="001C136B"/>
    <w:rsid w:val="001C1FB2"/>
    <w:rsid w:val="001C3405"/>
    <w:rsid w:val="001C3A5B"/>
    <w:rsid w:val="001C3F5B"/>
    <w:rsid w:val="001C427A"/>
    <w:rsid w:val="001C4E29"/>
    <w:rsid w:val="001C5FD7"/>
    <w:rsid w:val="001C7EC0"/>
    <w:rsid w:val="001D0EA1"/>
    <w:rsid w:val="001D27FF"/>
    <w:rsid w:val="001D53B7"/>
    <w:rsid w:val="001D61B6"/>
    <w:rsid w:val="001E01CB"/>
    <w:rsid w:val="001E3265"/>
    <w:rsid w:val="001E60D4"/>
    <w:rsid w:val="001E6BB5"/>
    <w:rsid w:val="001E7BCF"/>
    <w:rsid w:val="001F1948"/>
    <w:rsid w:val="001F1E7F"/>
    <w:rsid w:val="001F60FD"/>
    <w:rsid w:val="001F610B"/>
    <w:rsid w:val="001F61F5"/>
    <w:rsid w:val="001F65FA"/>
    <w:rsid w:val="001F7857"/>
    <w:rsid w:val="001F7F30"/>
    <w:rsid w:val="00200A87"/>
    <w:rsid w:val="00202D44"/>
    <w:rsid w:val="00202E7A"/>
    <w:rsid w:val="00205034"/>
    <w:rsid w:val="00205060"/>
    <w:rsid w:val="00206202"/>
    <w:rsid w:val="002079E0"/>
    <w:rsid w:val="002101F2"/>
    <w:rsid w:val="00210424"/>
    <w:rsid w:val="00210903"/>
    <w:rsid w:val="00210C08"/>
    <w:rsid w:val="00211E4F"/>
    <w:rsid w:val="0021214D"/>
    <w:rsid w:val="002134B2"/>
    <w:rsid w:val="00213B07"/>
    <w:rsid w:val="002154D2"/>
    <w:rsid w:val="00215661"/>
    <w:rsid w:val="002156F9"/>
    <w:rsid w:val="00215CD7"/>
    <w:rsid w:val="002170F4"/>
    <w:rsid w:val="002177A1"/>
    <w:rsid w:val="00217AD4"/>
    <w:rsid w:val="002200C7"/>
    <w:rsid w:val="00221185"/>
    <w:rsid w:val="002219EF"/>
    <w:rsid w:val="0022243A"/>
    <w:rsid w:val="00222C72"/>
    <w:rsid w:val="00224612"/>
    <w:rsid w:val="00224A4B"/>
    <w:rsid w:val="002252BC"/>
    <w:rsid w:val="00226309"/>
    <w:rsid w:val="00226D0A"/>
    <w:rsid w:val="00226EFE"/>
    <w:rsid w:val="002302A1"/>
    <w:rsid w:val="00230958"/>
    <w:rsid w:val="00231324"/>
    <w:rsid w:val="00231625"/>
    <w:rsid w:val="0023213D"/>
    <w:rsid w:val="00232B41"/>
    <w:rsid w:val="00232DCA"/>
    <w:rsid w:val="00233A57"/>
    <w:rsid w:val="00235A3C"/>
    <w:rsid w:val="00236078"/>
    <w:rsid w:val="00236AE3"/>
    <w:rsid w:val="00236ED9"/>
    <w:rsid w:val="00237CC3"/>
    <w:rsid w:val="00240D6D"/>
    <w:rsid w:val="0024125E"/>
    <w:rsid w:val="00241D5E"/>
    <w:rsid w:val="00242377"/>
    <w:rsid w:val="00242686"/>
    <w:rsid w:val="002428B3"/>
    <w:rsid w:val="00244407"/>
    <w:rsid w:val="00244B43"/>
    <w:rsid w:val="0024556B"/>
    <w:rsid w:val="00246ED3"/>
    <w:rsid w:val="0024777C"/>
    <w:rsid w:val="0025113D"/>
    <w:rsid w:val="00252BD2"/>
    <w:rsid w:val="00253683"/>
    <w:rsid w:val="00253761"/>
    <w:rsid w:val="00253F7D"/>
    <w:rsid w:val="002541A3"/>
    <w:rsid w:val="002546DC"/>
    <w:rsid w:val="0026078F"/>
    <w:rsid w:val="002613DB"/>
    <w:rsid w:val="00261A0C"/>
    <w:rsid w:val="00263ECA"/>
    <w:rsid w:val="00263F14"/>
    <w:rsid w:val="00263FFB"/>
    <w:rsid w:val="0027180E"/>
    <w:rsid w:val="002739B1"/>
    <w:rsid w:val="002744E5"/>
    <w:rsid w:val="0027618B"/>
    <w:rsid w:val="00276648"/>
    <w:rsid w:val="00276E5F"/>
    <w:rsid w:val="00277A84"/>
    <w:rsid w:val="002807D3"/>
    <w:rsid w:val="00280947"/>
    <w:rsid w:val="002811F2"/>
    <w:rsid w:val="002818C3"/>
    <w:rsid w:val="00282030"/>
    <w:rsid w:val="0028211E"/>
    <w:rsid w:val="002825C7"/>
    <w:rsid w:val="00283CB0"/>
    <w:rsid w:val="0028488A"/>
    <w:rsid w:val="00285D4B"/>
    <w:rsid w:val="00286DFF"/>
    <w:rsid w:val="00292870"/>
    <w:rsid w:val="00292FC4"/>
    <w:rsid w:val="00293983"/>
    <w:rsid w:val="00293A08"/>
    <w:rsid w:val="00295B4C"/>
    <w:rsid w:val="00295B85"/>
    <w:rsid w:val="00296014"/>
    <w:rsid w:val="002966E9"/>
    <w:rsid w:val="00296760"/>
    <w:rsid w:val="0029698D"/>
    <w:rsid w:val="0029710F"/>
    <w:rsid w:val="00297DA6"/>
    <w:rsid w:val="002A00E3"/>
    <w:rsid w:val="002A0BD2"/>
    <w:rsid w:val="002A0E86"/>
    <w:rsid w:val="002A1C62"/>
    <w:rsid w:val="002A2269"/>
    <w:rsid w:val="002A2850"/>
    <w:rsid w:val="002A451D"/>
    <w:rsid w:val="002B3AD5"/>
    <w:rsid w:val="002B4030"/>
    <w:rsid w:val="002B445F"/>
    <w:rsid w:val="002B455D"/>
    <w:rsid w:val="002B4B32"/>
    <w:rsid w:val="002B56F6"/>
    <w:rsid w:val="002B6020"/>
    <w:rsid w:val="002B65FB"/>
    <w:rsid w:val="002B6805"/>
    <w:rsid w:val="002B6A0A"/>
    <w:rsid w:val="002B7EA9"/>
    <w:rsid w:val="002C089B"/>
    <w:rsid w:val="002C2742"/>
    <w:rsid w:val="002C31BB"/>
    <w:rsid w:val="002C4A76"/>
    <w:rsid w:val="002C6917"/>
    <w:rsid w:val="002C6BC0"/>
    <w:rsid w:val="002C70E6"/>
    <w:rsid w:val="002D06A5"/>
    <w:rsid w:val="002D1F0C"/>
    <w:rsid w:val="002D2E29"/>
    <w:rsid w:val="002D302C"/>
    <w:rsid w:val="002D5AB5"/>
    <w:rsid w:val="002D5C3F"/>
    <w:rsid w:val="002D6938"/>
    <w:rsid w:val="002D7969"/>
    <w:rsid w:val="002D7BF7"/>
    <w:rsid w:val="002E0157"/>
    <w:rsid w:val="002E104E"/>
    <w:rsid w:val="002E3AB3"/>
    <w:rsid w:val="002E492F"/>
    <w:rsid w:val="002E5994"/>
    <w:rsid w:val="002E6505"/>
    <w:rsid w:val="002E773C"/>
    <w:rsid w:val="002F106F"/>
    <w:rsid w:val="002F19EF"/>
    <w:rsid w:val="002F3797"/>
    <w:rsid w:val="002F3D8B"/>
    <w:rsid w:val="002F4B8E"/>
    <w:rsid w:val="002F53F8"/>
    <w:rsid w:val="002F587F"/>
    <w:rsid w:val="002F642E"/>
    <w:rsid w:val="002F6848"/>
    <w:rsid w:val="0030036F"/>
    <w:rsid w:val="00300469"/>
    <w:rsid w:val="0030176B"/>
    <w:rsid w:val="00301A67"/>
    <w:rsid w:val="00301E3D"/>
    <w:rsid w:val="00303F9C"/>
    <w:rsid w:val="003047CB"/>
    <w:rsid w:val="003047E1"/>
    <w:rsid w:val="00304B2C"/>
    <w:rsid w:val="0030515C"/>
    <w:rsid w:val="00305D81"/>
    <w:rsid w:val="00310E5F"/>
    <w:rsid w:val="00311521"/>
    <w:rsid w:val="0031195C"/>
    <w:rsid w:val="003121CC"/>
    <w:rsid w:val="00312355"/>
    <w:rsid w:val="003133FA"/>
    <w:rsid w:val="00313F0F"/>
    <w:rsid w:val="0031414D"/>
    <w:rsid w:val="00314F7E"/>
    <w:rsid w:val="003150E5"/>
    <w:rsid w:val="00315176"/>
    <w:rsid w:val="003151F8"/>
    <w:rsid w:val="00315E65"/>
    <w:rsid w:val="003209C6"/>
    <w:rsid w:val="003213D2"/>
    <w:rsid w:val="00321753"/>
    <w:rsid w:val="0032346B"/>
    <w:rsid w:val="003235C3"/>
    <w:rsid w:val="00324714"/>
    <w:rsid w:val="00325FA3"/>
    <w:rsid w:val="00330A01"/>
    <w:rsid w:val="00330C98"/>
    <w:rsid w:val="00331A39"/>
    <w:rsid w:val="0033358D"/>
    <w:rsid w:val="0033387B"/>
    <w:rsid w:val="003340F9"/>
    <w:rsid w:val="003352A9"/>
    <w:rsid w:val="00335A51"/>
    <w:rsid w:val="00341AB4"/>
    <w:rsid w:val="0034265A"/>
    <w:rsid w:val="0034293A"/>
    <w:rsid w:val="00342B08"/>
    <w:rsid w:val="00342B84"/>
    <w:rsid w:val="003438F4"/>
    <w:rsid w:val="00344540"/>
    <w:rsid w:val="003461C6"/>
    <w:rsid w:val="00346521"/>
    <w:rsid w:val="0034702D"/>
    <w:rsid w:val="0034773C"/>
    <w:rsid w:val="00351F8D"/>
    <w:rsid w:val="00353746"/>
    <w:rsid w:val="00353FC8"/>
    <w:rsid w:val="003540E2"/>
    <w:rsid w:val="0035430E"/>
    <w:rsid w:val="003552DE"/>
    <w:rsid w:val="003556F1"/>
    <w:rsid w:val="0035671B"/>
    <w:rsid w:val="00357202"/>
    <w:rsid w:val="003619C5"/>
    <w:rsid w:val="00362017"/>
    <w:rsid w:val="00363FC6"/>
    <w:rsid w:val="00367E06"/>
    <w:rsid w:val="003717E5"/>
    <w:rsid w:val="0037230F"/>
    <w:rsid w:val="003723C4"/>
    <w:rsid w:val="003731B4"/>
    <w:rsid w:val="0037344F"/>
    <w:rsid w:val="003742F0"/>
    <w:rsid w:val="003760B7"/>
    <w:rsid w:val="003769C8"/>
    <w:rsid w:val="0037710B"/>
    <w:rsid w:val="0037746A"/>
    <w:rsid w:val="003777A9"/>
    <w:rsid w:val="00377896"/>
    <w:rsid w:val="00382D82"/>
    <w:rsid w:val="00383085"/>
    <w:rsid w:val="00384D19"/>
    <w:rsid w:val="003861BE"/>
    <w:rsid w:val="0039220D"/>
    <w:rsid w:val="00392211"/>
    <w:rsid w:val="003928A0"/>
    <w:rsid w:val="003936E1"/>
    <w:rsid w:val="0039500C"/>
    <w:rsid w:val="00395691"/>
    <w:rsid w:val="00396194"/>
    <w:rsid w:val="003966D4"/>
    <w:rsid w:val="003967CE"/>
    <w:rsid w:val="003978E0"/>
    <w:rsid w:val="003A0DFA"/>
    <w:rsid w:val="003A1756"/>
    <w:rsid w:val="003A2A90"/>
    <w:rsid w:val="003A3951"/>
    <w:rsid w:val="003A5602"/>
    <w:rsid w:val="003B1646"/>
    <w:rsid w:val="003B1C42"/>
    <w:rsid w:val="003B2EA9"/>
    <w:rsid w:val="003B319C"/>
    <w:rsid w:val="003B4345"/>
    <w:rsid w:val="003B53A9"/>
    <w:rsid w:val="003B5CE4"/>
    <w:rsid w:val="003B7223"/>
    <w:rsid w:val="003B7EDB"/>
    <w:rsid w:val="003C20D7"/>
    <w:rsid w:val="003C28AE"/>
    <w:rsid w:val="003C3090"/>
    <w:rsid w:val="003C3330"/>
    <w:rsid w:val="003C4573"/>
    <w:rsid w:val="003C4997"/>
    <w:rsid w:val="003C4BAD"/>
    <w:rsid w:val="003C72D8"/>
    <w:rsid w:val="003D3AFA"/>
    <w:rsid w:val="003D3D82"/>
    <w:rsid w:val="003D6A6E"/>
    <w:rsid w:val="003D6ACB"/>
    <w:rsid w:val="003D6F23"/>
    <w:rsid w:val="003D76DA"/>
    <w:rsid w:val="003E0704"/>
    <w:rsid w:val="003E0E5E"/>
    <w:rsid w:val="003E1429"/>
    <w:rsid w:val="003E191F"/>
    <w:rsid w:val="003E1F7F"/>
    <w:rsid w:val="003E20AD"/>
    <w:rsid w:val="003E2185"/>
    <w:rsid w:val="003E21BF"/>
    <w:rsid w:val="003E3581"/>
    <w:rsid w:val="003E470D"/>
    <w:rsid w:val="003E513B"/>
    <w:rsid w:val="003E6E28"/>
    <w:rsid w:val="003E74D0"/>
    <w:rsid w:val="003F0F3E"/>
    <w:rsid w:val="003F1372"/>
    <w:rsid w:val="003F1DC0"/>
    <w:rsid w:val="003F2B2B"/>
    <w:rsid w:val="003F366D"/>
    <w:rsid w:val="003F3D62"/>
    <w:rsid w:val="003F45B9"/>
    <w:rsid w:val="003F5232"/>
    <w:rsid w:val="00400693"/>
    <w:rsid w:val="00401B64"/>
    <w:rsid w:val="00402029"/>
    <w:rsid w:val="00402577"/>
    <w:rsid w:val="00402C8B"/>
    <w:rsid w:val="004034A8"/>
    <w:rsid w:val="00403581"/>
    <w:rsid w:val="00403775"/>
    <w:rsid w:val="00403AFA"/>
    <w:rsid w:val="00405426"/>
    <w:rsid w:val="00405824"/>
    <w:rsid w:val="00405844"/>
    <w:rsid w:val="00406215"/>
    <w:rsid w:val="00410441"/>
    <w:rsid w:val="00411276"/>
    <w:rsid w:val="00413245"/>
    <w:rsid w:val="004148FF"/>
    <w:rsid w:val="00414E6F"/>
    <w:rsid w:val="00414EF5"/>
    <w:rsid w:val="00414F24"/>
    <w:rsid w:val="004151C2"/>
    <w:rsid w:val="004156D5"/>
    <w:rsid w:val="00415FC5"/>
    <w:rsid w:val="00416E34"/>
    <w:rsid w:val="00421268"/>
    <w:rsid w:val="00421302"/>
    <w:rsid w:val="00421EEE"/>
    <w:rsid w:val="004227EA"/>
    <w:rsid w:val="00422CC3"/>
    <w:rsid w:val="00424857"/>
    <w:rsid w:val="00424FF0"/>
    <w:rsid w:val="004259A9"/>
    <w:rsid w:val="00425C14"/>
    <w:rsid w:val="00425E59"/>
    <w:rsid w:val="00426191"/>
    <w:rsid w:val="00430134"/>
    <w:rsid w:val="00431953"/>
    <w:rsid w:val="0043219C"/>
    <w:rsid w:val="00432241"/>
    <w:rsid w:val="00432641"/>
    <w:rsid w:val="0043351C"/>
    <w:rsid w:val="00433AF3"/>
    <w:rsid w:val="0043465C"/>
    <w:rsid w:val="00435617"/>
    <w:rsid w:val="00441FA6"/>
    <w:rsid w:val="00442A99"/>
    <w:rsid w:val="00442F16"/>
    <w:rsid w:val="00443ECC"/>
    <w:rsid w:val="004514C8"/>
    <w:rsid w:val="00451E16"/>
    <w:rsid w:val="00453ED7"/>
    <w:rsid w:val="0045601B"/>
    <w:rsid w:val="00456CD5"/>
    <w:rsid w:val="004601A5"/>
    <w:rsid w:val="00460822"/>
    <w:rsid w:val="00462E48"/>
    <w:rsid w:val="00463A84"/>
    <w:rsid w:val="00464C28"/>
    <w:rsid w:val="00464F17"/>
    <w:rsid w:val="00465A03"/>
    <w:rsid w:val="0046749D"/>
    <w:rsid w:val="00470E14"/>
    <w:rsid w:val="00474023"/>
    <w:rsid w:val="00474BF2"/>
    <w:rsid w:val="00476D47"/>
    <w:rsid w:val="0047799E"/>
    <w:rsid w:val="00481145"/>
    <w:rsid w:val="00481513"/>
    <w:rsid w:val="00481A98"/>
    <w:rsid w:val="00481E6A"/>
    <w:rsid w:val="00484450"/>
    <w:rsid w:val="00484A62"/>
    <w:rsid w:val="00486A5F"/>
    <w:rsid w:val="004872C3"/>
    <w:rsid w:val="00487442"/>
    <w:rsid w:val="00487553"/>
    <w:rsid w:val="00491B2A"/>
    <w:rsid w:val="00491CA4"/>
    <w:rsid w:val="00492AF7"/>
    <w:rsid w:val="00494E6E"/>
    <w:rsid w:val="00495F48"/>
    <w:rsid w:val="004960F0"/>
    <w:rsid w:val="004973A6"/>
    <w:rsid w:val="00497D0E"/>
    <w:rsid w:val="004A036E"/>
    <w:rsid w:val="004A155F"/>
    <w:rsid w:val="004A6092"/>
    <w:rsid w:val="004A768E"/>
    <w:rsid w:val="004A7FE3"/>
    <w:rsid w:val="004B0073"/>
    <w:rsid w:val="004B0815"/>
    <w:rsid w:val="004B169B"/>
    <w:rsid w:val="004B1ACF"/>
    <w:rsid w:val="004B2803"/>
    <w:rsid w:val="004B2B9D"/>
    <w:rsid w:val="004B3D85"/>
    <w:rsid w:val="004B50FB"/>
    <w:rsid w:val="004B511D"/>
    <w:rsid w:val="004B61F9"/>
    <w:rsid w:val="004B7227"/>
    <w:rsid w:val="004C17EC"/>
    <w:rsid w:val="004C1E9A"/>
    <w:rsid w:val="004C2FD9"/>
    <w:rsid w:val="004C58A0"/>
    <w:rsid w:val="004D0AA6"/>
    <w:rsid w:val="004D21F0"/>
    <w:rsid w:val="004D2C00"/>
    <w:rsid w:val="004D3041"/>
    <w:rsid w:val="004D40C2"/>
    <w:rsid w:val="004D483C"/>
    <w:rsid w:val="004D4AF0"/>
    <w:rsid w:val="004D55AC"/>
    <w:rsid w:val="004D5A59"/>
    <w:rsid w:val="004E129B"/>
    <w:rsid w:val="004E1B39"/>
    <w:rsid w:val="004E515B"/>
    <w:rsid w:val="004E70BA"/>
    <w:rsid w:val="004E71FA"/>
    <w:rsid w:val="004F0AEB"/>
    <w:rsid w:val="004F15D2"/>
    <w:rsid w:val="004F22BC"/>
    <w:rsid w:val="004F3C8A"/>
    <w:rsid w:val="004F42D4"/>
    <w:rsid w:val="004F4727"/>
    <w:rsid w:val="004F6CBC"/>
    <w:rsid w:val="005000BC"/>
    <w:rsid w:val="0050023E"/>
    <w:rsid w:val="00500E1E"/>
    <w:rsid w:val="00501554"/>
    <w:rsid w:val="00501892"/>
    <w:rsid w:val="00501B42"/>
    <w:rsid w:val="00502B7F"/>
    <w:rsid w:val="00504503"/>
    <w:rsid w:val="00504554"/>
    <w:rsid w:val="00507077"/>
    <w:rsid w:val="00507A20"/>
    <w:rsid w:val="00507C4E"/>
    <w:rsid w:val="005100F1"/>
    <w:rsid w:val="00513F5B"/>
    <w:rsid w:val="00514BE6"/>
    <w:rsid w:val="0051501E"/>
    <w:rsid w:val="00515776"/>
    <w:rsid w:val="0051680E"/>
    <w:rsid w:val="00517662"/>
    <w:rsid w:val="00520095"/>
    <w:rsid w:val="00520FFE"/>
    <w:rsid w:val="00521B5F"/>
    <w:rsid w:val="00523607"/>
    <w:rsid w:val="005236DE"/>
    <w:rsid w:val="00523E35"/>
    <w:rsid w:val="00524DAC"/>
    <w:rsid w:val="00525950"/>
    <w:rsid w:val="00525EC5"/>
    <w:rsid w:val="00526513"/>
    <w:rsid w:val="005266BB"/>
    <w:rsid w:val="00530C26"/>
    <w:rsid w:val="00531EC3"/>
    <w:rsid w:val="0053360B"/>
    <w:rsid w:val="00533794"/>
    <w:rsid w:val="00533BA7"/>
    <w:rsid w:val="00533D55"/>
    <w:rsid w:val="00534159"/>
    <w:rsid w:val="005344A1"/>
    <w:rsid w:val="00535062"/>
    <w:rsid w:val="00535CCA"/>
    <w:rsid w:val="00540833"/>
    <w:rsid w:val="005422F4"/>
    <w:rsid w:val="00542E4C"/>
    <w:rsid w:val="00542F72"/>
    <w:rsid w:val="005450CF"/>
    <w:rsid w:val="005458A1"/>
    <w:rsid w:val="00545D19"/>
    <w:rsid w:val="00546F0C"/>
    <w:rsid w:val="0054789A"/>
    <w:rsid w:val="00551D94"/>
    <w:rsid w:val="005523E2"/>
    <w:rsid w:val="00554DE6"/>
    <w:rsid w:val="0055568F"/>
    <w:rsid w:val="005605BD"/>
    <w:rsid w:val="00560954"/>
    <w:rsid w:val="00562AB6"/>
    <w:rsid w:val="00564FBF"/>
    <w:rsid w:val="005653B4"/>
    <w:rsid w:val="005654B1"/>
    <w:rsid w:val="00566182"/>
    <w:rsid w:val="005664AE"/>
    <w:rsid w:val="0056688C"/>
    <w:rsid w:val="0056729B"/>
    <w:rsid w:val="0057146A"/>
    <w:rsid w:val="0057278E"/>
    <w:rsid w:val="005730AF"/>
    <w:rsid w:val="0057454F"/>
    <w:rsid w:val="00574AD2"/>
    <w:rsid w:val="00574CD9"/>
    <w:rsid w:val="00575903"/>
    <w:rsid w:val="00576E2D"/>
    <w:rsid w:val="005823D9"/>
    <w:rsid w:val="00582B6B"/>
    <w:rsid w:val="0058538A"/>
    <w:rsid w:val="00585AAC"/>
    <w:rsid w:val="00585ECC"/>
    <w:rsid w:val="005864C4"/>
    <w:rsid w:val="00587DA3"/>
    <w:rsid w:val="00590C39"/>
    <w:rsid w:val="00590C6B"/>
    <w:rsid w:val="00591478"/>
    <w:rsid w:val="00591EAD"/>
    <w:rsid w:val="005927A6"/>
    <w:rsid w:val="005928C9"/>
    <w:rsid w:val="00592A0B"/>
    <w:rsid w:val="00594F65"/>
    <w:rsid w:val="00595356"/>
    <w:rsid w:val="00595548"/>
    <w:rsid w:val="00596379"/>
    <w:rsid w:val="005968DB"/>
    <w:rsid w:val="005A00FC"/>
    <w:rsid w:val="005A10A3"/>
    <w:rsid w:val="005A19A7"/>
    <w:rsid w:val="005A1FF7"/>
    <w:rsid w:val="005A5C92"/>
    <w:rsid w:val="005A6DDC"/>
    <w:rsid w:val="005A6E64"/>
    <w:rsid w:val="005A7DCB"/>
    <w:rsid w:val="005B1798"/>
    <w:rsid w:val="005B1D33"/>
    <w:rsid w:val="005B22B1"/>
    <w:rsid w:val="005B343C"/>
    <w:rsid w:val="005B46B8"/>
    <w:rsid w:val="005B57BA"/>
    <w:rsid w:val="005B5FA3"/>
    <w:rsid w:val="005C136B"/>
    <w:rsid w:val="005C174A"/>
    <w:rsid w:val="005C2A23"/>
    <w:rsid w:val="005C2B21"/>
    <w:rsid w:val="005C3896"/>
    <w:rsid w:val="005C3E78"/>
    <w:rsid w:val="005D00A0"/>
    <w:rsid w:val="005D1AA2"/>
    <w:rsid w:val="005D52B6"/>
    <w:rsid w:val="005D7E57"/>
    <w:rsid w:val="005E1DD2"/>
    <w:rsid w:val="005E2E18"/>
    <w:rsid w:val="005E369F"/>
    <w:rsid w:val="005E493E"/>
    <w:rsid w:val="005E5084"/>
    <w:rsid w:val="005E59BD"/>
    <w:rsid w:val="005E5D3B"/>
    <w:rsid w:val="005E641B"/>
    <w:rsid w:val="005E7629"/>
    <w:rsid w:val="005F329B"/>
    <w:rsid w:val="005F35FF"/>
    <w:rsid w:val="005F5768"/>
    <w:rsid w:val="005F5F44"/>
    <w:rsid w:val="005F62E7"/>
    <w:rsid w:val="005F6E17"/>
    <w:rsid w:val="005F6E3C"/>
    <w:rsid w:val="005F7E20"/>
    <w:rsid w:val="00600212"/>
    <w:rsid w:val="00601307"/>
    <w:rsid w:val="006016B6"/>
    <w:rsid w:val="00601DB6"/>
    <w:rsid w:val="006023D7"/>
    <w:rsid w:val="00603115"/>
    <w:rsid w:val="00603184"/>
    <w:rsid w:val="006046B1"/>
    <w:rsid w:val="00605107"/>
    <w:rsid w:val="0060515F"/>
    <w:rsid w:val="006054F0"/>
    <w:rsid w:val="00605878"/>
    <w:rsid w:val="00605CE0"/>
    <w:rsid w:val="0060628F"/>
    <w:rsid w:val="00606FC6"/>
    <w:rsid w:val="00613EB0"/>
    <w:rsid w:val="006142E7"/>
    <w:rsid w:val="00614BF8"/>
    <w:rsid w:val="00620BC2"/>
    <w:rsid w:val="00621093"/>
    <w:rsid w:val="00623F8C"/>
    <w:rsid w:val="00624F4B"/>
    <w:rsid w:val="006261A1"/>
    <w:rsid w:val="0062741C"/>
    <w:rsid w:val="006276B7"/>
    <w:rsid w:val="00627782"/>
    <w:rsid w:val="00627A37"/>
    <w:rsid w:val="00630903"/>
    <w:rsid w:val="0063250A"/>
    <w:rsid w:val="00632922"/>
    <w:rsid w:val="00633E72"/>
    <w:rsid w:val="00635067"/>
    <w:rsid w:val="00635D0C"/>
    <w:rsid w:val="006361F7"/>
    <w:rsid w:val="006364D6"/>
    <w:rsid w:val="006366B5"/>
    <w:rsid w:val="00637FAC"/>
    <w:rsid w:val="00640463"/>
    <w:rsid w:val="00641D7E"/>
    <w:rsid w:val="00646F30"/>
    <w:rsid w:val="00646F55"/>
    <w:rsid w:val="00647290"/>
    <w:rsid w:val="006474D3"/>
    <w:rsid w:val="006501A1"/>
    <w:rsid w:val="00651A13"/>
    <w:rsid w:val="00651A2E"/>
    <w:rsid w:val="00652551"/>
    <w:rsid w:val="00653F07"/>
    <w:rsid w:val="0065478F"/>
    <w:rsid w:val="00654B98"/>
    <w:rsid w:val="00656708"/>
    <w:rsid w:val="006568E7"/>
    <w:rsid w:val="0065759D"/>
    <w:rsid w:val="00661943"/>
    <w:rsid w:val="00661DED"/>
    <w:rsid w:val="00662E42"/>
    <w:rsid w:val="0066326D"/>
    <w:rsid w:val="0066461A"/>
    <w:rsid w:val="006647B0"/>
    <w:rsid w:val="00665091"/>
    <w:rsid w:val="00666052"/>
    <w:rsid w:val="00667C63"/>
    <w:rsid w:val="0067047B"/>
    <w:rsid w:val="006708F7"/>
    <w:rsid w:val="0067140C"/>
    <w:rsid w:val="006723E4"/>
    <w:rsid w:val="006727BA"/>
    <w:rsid w:val="0067380D"/>
    <w:rsid w:val="00673985"/>
    <w:rsid w:val="00675070"/>
    <w:rsid w:val="00675CC2"/>
    <w:rsid w:val="00677B2C"/>
    <w:rsid w:val="0068099D"/>
    <w:rsid w:val="00680B7C"/>
    <w:rsid w:val="00681408"/>
    <w:rsid w:val="006828A6"/>
    <w:rsid w:val="00683522"/>
    <w:rsid w:val="00683A27"/>
    <w:rsid w:val="00686A7D"/>
    <w:rsid w:val="00686A8B"/>
    <w:rsid w:val="00687670"/>
    <w:rsid w:val="0069033F"/>
    <w:rsid w:val="006912A9"/>
    <w:rsid w:val="006913D8"/>
    <w:rsid w:val="0069221A"/>
    <w:rsid w:val="00693298"/>
    <w:rsid w:val="006932D4"/>
    <w:rsid w:val="00693CEC"/>
    <w:rsid w:val="0069658E"/>
    <w:rsid w:val="00696977"/>
    <w:rsid w:val="006975E2"/>
    <w:rsid w:val="006A1A33"/>
    <w:rsid w:val="006A1B56"/>
    <w:rsid w:val="006A24BD"/>
    <w:rsid w:val="006A2947"/>
    <w:rsid w:val="006A2B98"/>
    <w:rsid w:val="006A39A6"/>
    <w:rsid w:val="006A68E7"/>
    <w:rsid w:val="006A7F9E"/>
    <w:rsid w:val="006B05BA"/>
    <w:rsid w:val="006B0CD0"/>
    <w:rsid w:val="006B105C"/>
    <w:rsid w:val="006B315A"/>
    <w:rsid w:val="006B327C"/>
    <w:rsid w:val="006B3346"/>
    <w:rsid w:val="006B3E6D"/>
    <w:rsid w:val="006B4605"/>
    <w:rsid w:val="006B4BE6"/>
    <w:rsid w:val="006B5D12"/>
    <w:rsid w:val="006B7831"/>
    <w:rsid w:val="006C23E3"/>
    <w:rsid w:val="006C30E6"/>
    <w:rsid w:val="006C363F"/>
    <w:rsid w:val="006C4283"/>
    <w:rsid w:val="006C465F"/>
    <w:rsid w:val="006C513F"/>
    <w:rsid w:val="006C5231"/>
    <w:rsid w:val="006C5B90"/>
    <w:rsid w:val="006D04D4"/>
    <w:rsid w:val="006D0948"/>
    <w:rsid w:val="006D1755"/>
    <w:rsid w:val="006D2447"/>
    <w:rsid w:val="006D2D7E"/>
    <w:rsid w:val="006D36D3"/>
    <w:rsid w:val="006D3C31"/>
    <w:rsid w:val="006D50E0"/>
    <w:rsid w:val="006D5150"/>
    <w:rsid w:val="006D5192"/>
    <w:rsid w:val="006D6EEC"/>
    <w:rsid w:val="006D7547"/>
    <w:rsid w:val="006E0739"/>
    <w:rsid w:val="006E1274"/>
    <w:rsid w:val="006E19F1"/>
    <w:rsid w:val="006E255F"/>
    <w:rsid w:val="006E2DAA"/>
    <w:rsid w:val="006F287F"/>
    <w:rsid w:val="006F2CE5"/>
    <w:rsid w:val="006F4D05"/>
    <w:rsid w:val="006F533D"/>
    <w:rsid w:val="006F5B5C"/>
    <w:rsid w:val="006F5FFC"/>
    <w:rsid w:val="006F6F20"/>
    <w:rsid w:val="006F71E2"/>
    <w:rsid w:val="00700862"/>
    <w:rsid w:val="00700AF5"/>
    <w:rsid w:val="007026BB"/>
    <w:rsid w:val="007037C7"/>
    <w:rsid w:val="00703DB7"/>
    <w:rsid w:val="00705602"/>
    <w:rsid w:val="007112FC"/>
    <w:rsid w:val="007114DE"/>
    <w:rsid w:val="00712722"/>
    <w:rsid w:val="007130EC"/>
    <w:rsid w:val="00713DFA"/>
    <w:rsid w:val="007160BE"/>
    <w:rsid w:val="00717555"/>
    <w:rsid w:val="00720CC2"/>
    <w:rsid w:val="00720F8E"/>
    <w:rsid w:val="00721941"/>
    <w:rsid w:val="00722755"/>
    <w:rsid w:val="007233EB"/>
    <w:rsid w:val="00724454"/>
    <w:rsid w:val="007255C5"/>
    <w:rsid w:val="0072593F"/>
    <w:rsid w:val="00726461"/>
    <w:rsid w:val="007266C2"/>
    <w:rsid w:val="00731196"/>
    <w:rsid w:val="00731392"/>
    <w:rsid w:val="00731A7B"/>
    <w:rsid w:val="0073322E"/>
    <w:rsid w:val="00734F3D"/>
    <w:rsid w:val="007365CD"/>
    <w:rsid w:val="00736683"/>
    <w:rsid w:val="0073792D"/>
    <w:rsid w:val="0074056E"/>
    <w:rsid w:val="007405A4"/>
    <w:rsid w:val="00740F25"/>
    <w:rsid w:val="00742DB4"/>
    <w:rsid w:val="00743435"/>
    <w:rsid w:val="00743A11"/>
    <w:rsid w:val="0074495F"/>
    <w:rsid w:val="0074719A"/>
    <w:rsid w:val="0074745B"/>
    <w:rsid w:val="0075165E"/>
    <w:rsid w:val="00752213"/>
    <w:rsid w:val="0075556B"/>
    <w:rsid w:val="007560EE"/>
    <w:rsid w:val="00757CCA"/>
    <w:rsid w:val="00761341"/>
    <w:rsid w:val="00761C8B"/>
    <w:rsid w:val="00764E99"/>
    <w:rsid w:val="00765FC1"/>
    <w:rsid w:val="00766D7E"/>
    <w:rsid w:val="00770C04"/>
    <w:rsid w:val="0077349D"/>
    <w:rsid w:val="007768A2"/>
    <w:rsid w:val="00776B71"/>
    <w:rsid w:val="00776C62"/>
    <w:rsid w:val="0077709A"/>
    <w:rsid w:val="00777626"/>
    <w:rsid w:val="00777D21"/>
    <w:rsid w:val="00777D6B"/>
    <w:rsid w:val="00781E94"/>
    <w:rsid w:val="00783D6B"/>
    <w:rsid w:val="00783E4C"/>
    <w:rsid w:val="0078586A"/>
    <w:rsid w:val="007865A5"/>
    <w:rsid w:val="007870EE"/>
    <w:rsid w:val="007929DA"/>
    <w:rsid w:val="00794336"/>
    <w:rsid w:val="00795A62"/>
    <w:rsid w:val="00796355"/>
    <w:rsid w:val="007965BF"/>
    <w:rsid w:val="00797296"/>
    <w:rsid w:val="007A4A85"/>
    <w:rsid w:val="007A50FB"/>
    <w:rsid w:val="007A59FF"/>
    <w:rsid w:val="007A6730"/>
    <w:rsid w:val="007A69B3"/>
    <w:rsid w:val="007A6C37"/>
    <w:rsid w:val="007A7EF8"/>
    <w:rsid w:val="007B2014"/>
    <w:rsid w:val="007B468E"/>
    <w:rsid w:val="007B4AF0"/>
    <w:rsid w:val="007B67FE"/>
    <w:rsid w:val="007B68C8"/>
    <w:rsid w:val="007B7521"/>
    <w:rsid w:val="007B7E6E"/>
    <w:rsid w:val="007C1142"/>
    <w:rsid w:val="007C232B"/>
    <w:rsid w:val="007C340F"/>
    <w:rsid w:val="007C3C59"/>
    <w:rsid w:val="007C3DE3"/>
    <w:rsid w:val="007C5A60"/>
    <w:rsid w:val="007C7796"/>
    <w:rsid w:val="007D384A"/>
    <w:rsid w:val="007D5134"/>
    <w:rsid w:val="007D5346"/>
    <w:rsid w:val="007D64DF"/>
    <w:rsid w:val="007D6E48"/>
    <w:rsid w:val="007E059B"/>
    <w:rsid w:val="007E22E9"/>
    <w:rsid w:val="007E2B7B"/>
    <w:rsid w:val="007E2F10"/>
    <w:rsid w:val="007E30A0"/>
    <w:rsid w:val="007E3B11"/>
    <w:rsid w:val="007E78F9"/>
    <w:rsid w:val="007F10C7"/>
    <w:rsid w:val="007F14BE"/>
    <w:rsid w:val="007F3C4C"/>
    <w:rsid w:val="007F4C42"/>
    <w:rsid w:val="007F5FAF"/>
    <w:rsid w:val="007F704A"/>
    <w:rsid w:val="007F78A6"/>
    <w:rsid w:val="00800DB3"/>
    <w:rsid w:val="0080112F"/>
    <w:rsid w:val="0080156E"/>
    <w:rsid w:val="00802B6E"/>
    <w:rsid w:val="00804165"/>
    <w:rsid w:val="008042A0"/>
    <w:rsid w:val="008048C0"/>
    <w:rsid w:val="0080661C"/>
    <w:rsid w:val="00807F74"/>
    <w:rsid w:val="0081010D"/>
    <w:rsid w:val="0081053A"/>
    <w:rsid w:val="00810A4D"/>
    <w:rsid w:val="00811857"/>
    <w:rsid w:val="00812AB0"/>
    <w:rsid w:val="00812C0D"/>
    <w:rsid w:val="00812F1D"/>
    <w:rsid w:val="008132FE"/>
    <w:rsid w:val="00813808"/>
    <w:rsid w:val="00814DEB"/>
    <w:rsid w:val="0081545F"/>
    <w:rsid w:val="00816544"/>
    <w:rsid w:val="00817969"/>
    <w:rsid w:val="00817EDC"/>
    <w:rsid w:val="00820667"/>
    <w:rsid w:val="00821541"/>
    <w:rsid w:val="00823280"/>
    <w:rsid w:val="00823832"/>
    <w:rsid w:val="00825494"/>
    <w:rsid w:val="00825C20"/>
    <w:rsid w:val="00826C95"/>
    <w:rsid w:val="008279AE"/>
    <w:rsid w:val="00832870"/>
    <w:rsid w:val="00833C43"/>
    <w:rsid w:val="00833ECF"/>
    <w:rsid w:val="008342F4"/>
    <w:rsid w:val="00835FB9"/>
    <w:rsid w:val="00841C73"/>
    <w:rsid w:val="00841E4F"/>
    <w:rsid w:val="008426FE"/>
    <w:rsid w:val="00842754"/>
    <w:rsid w:val="008432A0"/>
    <w:rsid w:val="00845BDD"/>
    <w:rsid w:val="00845C52"/>
    <w:rsid w:val="00845E7B"/>
    <w:rsid w:val="008463C3"/>
    <w:rsid w:val="008469F8"/>
    <w:rsid w:val="00847AD5"/>
    <w:rsid w:val="0085241A"/>
    <w:rsid w:val="00856A85"/>
    <w:rsid w:val="008575F6"/>
    <w:rsid w:val="0086000A"/>
    <w:rsid w:val="008608A5"/>
    <w:rsid w:val="00861DF0"/>
    <w:rsid w:val="00866DCD"/>
    <w:rsid w:val="00867760"/>
    <w:rsid w:val="00870F69"/>
    <w:rsid w:val="008729CC"/>
    <w:rsid w:val="008740D0"/>
    <w:rsid w:val="008746D6"/>
    <w:rsid w:val="008759D4"/>
    <w:rsid w:val="0088115C"/>
    <w:rsid w:val="00882CB6"/>
    <w:rsid w:val="0088515D"/>
    <w:rsid w:val="00885A24"/>
    <w:rsid w:val="008866A1"/>
    <w:rsid w:val="008873E7"/>
    <w:rsid w:val="008900C3"/>
    <w:rsid w:val="0089025B"/>
    <w:rsid w:val="008916C0"/>
    <w:rsid w:val="00891CD5"/>
    <w:rsid w:val="0089212D"/>
    <w:rsid w:val="008924A9"/>
    <w:rsid w:val="0089303E"/>
    <w:rsid w:val="00894047"/>
    <w:rsid w:val="0089504E"/>
    <w:rsid w:val="008967FD"/>
    <w:rsid w:val="00897ADD"/>
    <w:rsid w:val="008A0F25"/>
    <w:rsid w:val="008A1C5C"/>
    <w:rsid w:val="008A2C10"/>
    <w:rsid w:val="008A2ECD"/>
    <w:rsid w:val="008A2FEF"/>
    <w:rsid w:val="008A3E6D"/>
    <w:rsid w:val="008A6A67"/>
    <w:rsid w:val="008A7014"/>
    <w:rsid w:val="008B051F"/>
    <w:rsid w:val="008B06D1"/>
    <w:rsid w:val="008B1FFB"/>
    <w:rsid w:val="008B20D4"/>
    <w:rsid w:val="008B29AA"/>
    <w:rsid w:val="008B35B0"/>
    <w:rsid w:val="008B4DD4"/>
    <w:rsid w:val="008B5A8C"/>
    <w:rsid w:val="008B65F0"/>
    <w:rsid w:val="008B7195"/>
    <w:rsid w:val="008B71FA"/>
    <w:rsid w:val="008C1408"/>
    <w:rsid w:val="008C32BF"/>
    <w:rsid w:val="008C41BD"/>
    <w:rsid w:val="008C51CF"/>
    <w:rsid w:val="008C569B"/>
    <w:rsid w:val="008C6061"/>
    <w:rsid w:val="008D1852"/>
    <w:rsid w:val="008D2482"/>
    <w:rsid w:val="008D2F4E"/>
    <w:rsid w:val="008D4253"/>
    <w:rsid w:val="008D641D"/>
    <w:rsid w:val="008D6B07"/>
    <w:rsid w:val="008D771D"/>
    <w:rsid w:val="008E35A1"/>
    <w:rsid w:val="008E3B44"/>
    <w:rsid w:val="008E548B"/>
    <w:rsid w:val="008E64CA"/>
    <w:rsid w:val="008E668E"/>
    <w:rsid w:val="008E68B7"/>
    <w:rsid w:val="008E698B"/>
    <w:rsid w:val="008F0A99"/>
    <w:rsid w:val="008F1DFC"/>
    <w:rsid w:val="008F2828"/>
    <w:rsid w:val="008F2BA2"/>
    <w:rsid w:val="008F4A2E"/>
    <w:rsid w:val="008F65F2"/>
    <w:rsid w:val="008F74A5"/>
    <w:rsid w:val="008F7F3E"/>
    <w:rsid w:val="00901138"/>
    <w:rsid w:val="00901CB3"/>
    <w:rsid w:val="009025BE"/>
    <w:rsid w:val="00902955"/>
    <w:rsid w:val="009034AC"/>
    <w:rsid w:val="00903935"/>
    <w:rsid w:val="00903B62"/>
    <w:rsid w:val="00903FBF"/>
    <w:rsid w:val="009040B4"/>
    <w:rsid w:val="0090548F"/>
    <w:rsid w:val="00906CA4"/>
    <w:rsid w:val="00906DE1"/>
    <w:rsid w:val="00906F2E"/>
    <w:rsid w:val="00907EBE"/>
    <w:rsid w:val="00910604"/>
    <w:rsid w:val="00912236"/>
    <w:rsid w:val="009124F3"/>
    <w:rsid w:val="0091344E"/>
    <w:rsid w:val="009153BA"/>
    <w:rsid w:val="009154BD"/>
    <w:rsid w:val="00915CEB"/>
    <w:rsid w:val="009160A5"/>
    <w:rsid w:val="0092030A"/>
    <w:rsid w:val="0092069E"/>
    <w:rsid w:val="0092119C"/>
    <w:rsid w:val="009214FB"/>
    <w:rsid w:val="0092220B"/>
    <w:rsid w:val="0092357C"/>
    <w:rsid w:val="009238A1"/>
    <w:rsid w:val="00924749"/>
    <w:rsid w:val="00924F81"/>
    <w:rsid w:val="009256A0"/>
    <w:rsid w:val="00925C53"/>
    <w:rsid w:val="00925DEE"/>
    <w:rsid w:val="00926890"/>
    <w:rsid w:val="009273AA"/>
    <w:rsid w:val="00930B80"/>
    <w:rsid w:val="00931395"/>
    <w:rsid w:val="0093204E"/>
    <w:rsid w:val="00932889"/>
    <w:rsid w:val="00934D7A"/>
    <w:rsid w:val="009357DD"/>
    <w:rsid w:val="00936A21"/>
    <w:rsid w:val="0093757C"/>
    <w:rsid w:val="0094144E"/>
    <w:rsid w:val="00941A03"/>
    <w:rsid w:val="00941F9D"/>
    <w:rsid w:val="00942AD4"/>
    <w:rsid w:val="0094546D"/>
    <w:rsid w:val="00945532"/>
    <w:rsid w:val="00946820"/>
    <w:rsid w:val="00946DFD"/>
    <w:rsid w:val="00951413"/>
    <w:rsid w:val="00952198"/>
    <w:rsid w:val="00953973"/>
    <w:rsid w:val="00953E5D"/>
    <w:rsid w:val="00954D0A"/>
    <w:rsid w:val="00954D8C"/>
    <w:rsid w:val="0095565E"/>
    <w:rsid w:val="009562E6"/>
    <w:rsid w:val="00956304"/>
    <w:rsid w:val="00956F54"/>
    <w:rsid w:val="00957370"/>
    <w:rsid w:val="00962BB8"/>
    <w:rsid w:val="009632EF"/>
    <w:rsid w:val="00965D19"/>
    <w:rsid w:val="00967A5B"/>
    <w:rsid w:val="009719ED"/>
    <w:rsid w:val="0097250B"/>
    <w:rsid w:val="009734FD"/>
    <w:rsid w:val="0097385A"/>
    <w:rsid w:val="00973959"/>
    <w:rsid w:val="00973D48"/>
    <w:rsid w:val="00974083"/>
    <w:rsid w:val="009747D0"/>
    <w:rsid w:val="0097511E"/>
    <w:rsid w:val="0097638E"/>
    <w:rsid w:val="009777F2"/>
    <w:rsid w:val="00977C14"/>
    <w:rsid w:val="00980E29"/>
    <w:rsid w:val="00983466"/>
    <w:rsid w:val="00984BE4"/>
    <w:rsid w:val="00984D70"/>
    <w:rsid w:val="00985168"/>
    <w:rsid w:val="00985AC7"/>
    <w:rsid w:val="00987960"/>
    <w:rsid w:val="00991088"/>
    <w:rsid w:val="009921DB"/>
    <w:rsid w:val="00992C24"/>
    <w:rsid w:val="00992C93"/>
    <w:rsid w:val="00992F39"/>
    <w:rsid w:val="00993162"/>
    <w:rsid w:val="00994451"/>
    <w:rsid w:val="00994EDD"/>
    <w:rsid w:val="00995AC8"/>
    <w:rsid w:val="00996BEA"/>
    <w:rsid w:val="009A04CD"/>
    <w:rsid w:val="009A0601"/>
    <w:rsid w:val="009A1B3D"/>
    <w:rsid w:val="009A2511"/>
    <w:rsid w:val="009A34A6"/>
    <w:rsid w:val="009A3956"/>
    <w:rsid w:val="009A3AC1"/>
    <w:rsid w:val="009A4889"/>
    <w:rsid w:val="009A4B86"/>
    <w:rsid w:val="009A795D"/>
    <w:rsid w:val="009B1B86"/>
    <w:rsid w:val="009B2B39"/>
    <w:rsid w:val="009B48AF"/>
    <w:rsid w:val="009B4E5C"/>
    <w:rsid w:val="009B638D"/>
    <w:rsid w:val="009B6C30"/>
    <w:rsid w:val="009B6E43"/>
    <w:rsid w:val="009B79BA"/>
    <w:rsid w:val="009B7F36"/>
    <w:rsid w:val="009C077F"/>
    <w:rsid w:val="009C120D"/>
    <w:rsid w:val="009C120E"/>
    <w:rsid w:val="009C1437"/>
    <w:rsid w:val="009C29D8"/>
    <w:rsid w:val="009C3E71"/>
    <w:rsid w:val="009C4D24"/>
    <w:rsid w:val="009C6364"/>
    <w:rsid w:val="009C65A0"/>
    <w:rsid w:val="009D3376"/>
    <w:rsid w:val="009D57C9"/>
    <w:rsid w:val="009D78E5"/>
    <w:rsid w:val="009D7E8A"/>
    <w:rsid w:val="009E422B"/>
    <w:rsid w:val="009E4DD5"/>
    <w:rsid w:val="009E4F03"/>
    <w:rsid w:val="009E541A"/>
    <w:rsid w:val="009E55A7"/>
    <w:rsid w:val="009E64DD"/>
    <w:rsid w:val="009E64F6"/>
    <w:rsid w:val="009E671D"/>
    <w:rsid w:val="009E7B45"/>
    <w:rsid w:val="009F023C"/>
    <w:rsid w:val="009F0909"/>
    <w:rsid w:val="009F0E94"/>
    <w:rsid w:val="009F3CC6"/>
    <w:rsid w:val="009F4DE2"/>
    <w:rsid w:val="009F64D0"/>
    <w:rsid w:val="009F66A3"/>
    <w:rsid w:val="009F70F8"/>
    <w:rsid w:val="009F76CE"/>
    <w:rsid w:val="009F78EB"/>
    <w:rsid w:val="00A02EBE"/>
    <w:rsid w:val="00A04DE3"/>
    <w:rsid w:val="00A0758B"/>
    <w:rsid w:val="00A078B8"/>
    <w:rsid w:val="00A11B8F"/>
    <w:rsid w:val="00A11EF2"/>
    <w:rsid w:val="00A11F35"/>
    <w:rsid w:val="00A12FB4"/>
    <w:rsid w:val="00A13CDF"/>
    <w:rsid w:val="00A1434E"/>
    <w:rsid w:val="00A17C6D"/>
    <w:rsid w:val="00A20A2B"/>
    <w:rsid w:val="00A2233B"/>
    <w:rsid w:val="00A23442"/>
    <w:rsid w:val="00A24B8B"/>
    <w:rsid w:val="00A26237"/>
    <w:rsid w:val="00A26335"/>
    <w:rsid w:val="00A26DB3"/>
    <w:rsid w:val="00A27A51"/>
    <w:rsid w:val="00A27EDA"/>
    <w:rsid w:val="00A27FCA"/>
    <w:rsid w:val="00A30AB4"/>
    <w:rsid w:val="00A30B10"/>
    <w:rsid w:val="00A31AD4"/>
    <w:rsid w:val="00A31DA6"/>
    <w:rsid w:val="00A31EB7"/>
    <w:rsid w:val="00A329F6"/>
    <w:rsid w:val="00A32BE5"/>
    <w:rsid w:val="00A333DF"/>
    <w:rsid w:val="00A33DCB"/>
    <w:rsid w:val="00A343A0"/>
    <w:rsid w:val="00A343B8"/>
    <w:rsid w:val="00A358C9"/>
    <w:rsid w:val="00A36025"/>
    <w:rsid w:val="00A36D4B"/>
    <w:rsid w:val="00A43398"/>
    <w:rsid w:val="00A44934"/>
    <w:rsid w:val="00A4510B"/>
    <w:rsid w:val="00A46A0D"/>
    <w:rsid w:val="00A47CAA"/>
    <w:rsid w:val="00A50CD1"/>
    <w:rsid w:val="00A52EFE"/>
    <w:rsid w:val="00A53608"/>
    <w:rsid w:val="00A54172"/>
    <w:rsid w:val="00A55041"/>
    <w:rsid w:val="00A55909"/>
    <w:rsid w:val="00A56278"/>
    <w:rsid w:val="00A61094"/>
    <w:rsid w:val="00A61222"/>
    <w:rsid w:val="00A6126A"/>
    <w:rsid w:val="00A627A9"/>
    <w:rsid w:val="00A629E3"/>
    <w:rsid w:val="00A62BF5"/>
    <w:rsid w:val="00A62F9F"/>
    <w:rsid w:val="00A63A09"/>
    <w:rsid w:val="00A66481"/>
    <w:rsid w:val="00A67C7B"/>
    <w:rsid w:val="00A7039A"/>
    <w:rsid w:val="00A70A79"/>
    <w:rsid w:val="00A70C13"/>
    <w:rsid w:val="00A70C81"/>
    <w:rsid w:val="00A710BB"/>
    <w:rsid w:val="00A72368"/>
    <w:rsid w:val="00A7307A"/>
    <w:rsid w:val="00A74655"/>
    <w:rsid w:val="00A76221"/>
    <w:rsid w:val="00A7650F"/>
    <w:rsid w:val="00A77D36"/>
    <w:rsid w:val="00A80EC7"/>
    <w:rsid w:val="00A823AF"/>
    <w:rsid w:val="00A8282D"/>
    <w:rsid w:val="00A83024"/>
    <w:rsid w:val="00A832C0"/>
    <w:rsid w:val="00A8371D"/>
    <w:rsid w:val="00A83FB1"/>
    <w:rsid w:val="00A849A4"/>
    <w:rsid w:val="00A85D58"/>
    <w:rsid w:val="00A86F74"/>
    <w:rsid w:val="00A901E6"/>
    <w:rsid w:val="00A903D2"/>
    <w:rsid w:val="00A9071E"/>
    <w:rsid w:val="00A909F4"/>
    <w:rsid w:val="00A911D9"/>
    <w:rsid w:val="00A941BC"/>
    <w:rsid w:val="00A94E85"/>
    <w:rsid w:val="00A96062"/>
    <w:rsid w:val="00A962EF"/>
    <w:rsid w:val="00A967E3"/>
    <w:rsid w:val="00A97A74"/>
    <w:rsid w:val="00AA0AE5"/>
    <w:rsid w:val="00AA0E2A"/>
    <w:rsid w:val="00AA16B6"/>
    <w:rsid w:val="00AA1D71"/>
    <w:rsid w:val="00AA25C4"/>
    <w:rsid w:val="00AA2FE4"/>
    <w:rsid w:val="00AA324F"/>
    <w:rsid w:val="00AA334E"/>
    <w:rsid w:val="00AA34B3"/>
    <w:rsid w:val="00AA3BF6"/>
    <w:rsid w:val="00AA465C"/>
    <w:rsid w:val="00AA6AA7"/>
    <w:rsid w:val="00AB3617"/>
    <w:rsid w:val="00AB3E14"/>
    <w:rsid w:val="00AB590F"/>
    <w:rsid w:val="00AB6E44"/>
    <w:rsid w:val="00AB71E7"/>
    <w:rsid w:val="00AC0DBB"/>
    <w:rsid w:val="00AC1A1F"/>
    <w:rsid w:val="00AC1F6C"/>
    <w:rsid w:val="00AC2E24"/>
    <w:rsid w:val="00AC4031"/>
    <w:rsid w:val="00AC4C72"/>
    <w:rsid w:val="00AC53A7"/>
    <w:rsid w:val="00AC6489"/>
    <w:rsid w:val="00AC6661"/>
    <w:rsid w:val="00AC697B"/>
    <w:rsid w:val="00AD0E86"/>
    <w:rsid w:val="00AD1928"/>
    <w:rsid w:val="00AD2116"/>
    <w:rsid w:val="00AD246C"/>
    <w:rsid w:val="00AD44E7"/>
    <w:rsid w:val="00AD46B9"/>
    <w:rsid w:val="00AD5634"/>
    <w:rsid w:val="00AD60EA"/>
    <w:rsid w:val="00AD7C25"/>
    <w:rsid w:val="00AE07CA"/>
    <w:rsid w:val="00AE0C85"/>
    <w:rsid w:val="00AE2F94"/>
    <w:rsid w:val="00AE3983"/>
    <w:rsid w:val="00AE3ECF"/>
    <w:rsid w:val="00AE4701"/>
    <w:rsid w:val="00AE4911"/>
    <w:rsid w:val="00AE5DCF"/>
    <w:rsid w:val="00AE73F2"/>
    <w:rsid w:val="00AE75EB"/>
    <w:rsid w:val="00AF0059"/>
    <w:rsid w:val="00AF2AC3"/>
    <w:rsid w:val="00AF37E1"/>
    <w:rsid w:val="00AF3A22"/>
    <w:rsid w:val="00AF42C9"/>
    <w:rsid w:val="00AF546D"/>
    <w:rsid w:val="00AF6162"/>
    <w:rsid w:val="00B01EFE"/>
    <w:rsid w:val="00B02222"/>
    <w:rsid w:val="00B025DA"/>
    <w:rsid w:val="00B03BC8"/>
    <w:rsid w:val="00B0534F"/>
    <w:rsid w:val="00B06636"/>
    <w:rsid w:val="00B067A5"/>
    <w:rsid w:val="00B06BC8"/>
    <w:rsid w:val="00B06C7B"/>
    <w:rsid w:val="00B06FF8"/>
    <w:rsid w:val="00B07124"/>
    <w:rsid w:val="00B07294"/>
    <w:rsid w:val="00B07C46"/>
    <w:rsid w:val="00B103A0"/>
    <w:rsid w:val="00B1141D"/>
    <w:rsid w:val="00B11968"/>
    <w:rsid w:val="00B12A59"/>
    <w:rsid w:val="00B12FA6"/>
    <w:rsid w:val="00B13AF5"/>
    <w:rsid w:val="00B17E35"/>
    <w:rsid w:val="00B17F02"/>
    <w:rsid w:val="00B20C0A"/>
    <w:rsid w:val="00B2242B"/>
    <w:rsid w:val="00B22CF0"/>
    <w:rsid w:val="00B22D4C"/>
    <w:rsid w:val="00B2514D"/>
    <w:rsid w:val="00B268BF"/>
    <w:rsid w:val="00B269F5"/>
    <w:rsid w:val="00B26A3D"/>
    <w:rsid w:val="00B30650"/>
    <w:rsid w:val="00B31520"/>
    <w:rsid w:val="00B3205C"/>
    <w:rsid w:val="00B33A2A"/>
    <w:rsid w:val="00B33ACB"/>
    <w:rsid w:val="00B3569E"/>
    <w:rsid w:val="00B35956"/>
    <w:rsid w:val="00B4014B"/>
    <w:rsid w:val="00B40734"/>
    <w:rsid w:val="00B42BF6"/>
    <w:rsid w:val="00B434D4"/>
    <w:rsid w:val="00B46A42"/>
    <w:rsid w:val="00B4710D"/>
    <w:rsid w:val="00B4755C"/>
    <w:rsid w:val="00B5179A"/>
    <w:rsid w:val="00B5186E"/>
    <w:rsid w:val="00B52307"/>
    <w:rsid w:val="00B52933"/>
    <w:rsid w:val="00B532E3"/>
    <w:rsid w:val="00B53595"/>
    <w:rsid w:val="00B53781"/>
    <w:rsid w:val="00B55346"/>
    <w:rsid w:val="00B558A3"/>
    <w:rsid w:val="00B60F9C"/>
    <w:rsid w:val="00B61A54"/>
    <w:rsid w:val="00B625A1"/>
    <w:rsid w:val="00B632A3"/>
    <w:rsid w:val="00B64088"/>
    <w:rsid w:val="00B6412B"/>
    <w:rsid w:val="00B64209"/>
    <w:rsid w:val="00B65194"/>
    <w:rsid w:val="00B65776"/>
    <w:rsid w:val="00B662C0"/>
    <w:rsid w:val="00B70349"/>
    <w:rsid w:val="00B7090B"/>
    <w:rsid w:val="00B70F01"/>
    <w:rsid w:val="00B71018"/>
    <w:rsid w:val="00B7311B"/>
    <w:rsid w:val="00B744CD"/>
    <w:rsid w:val="00B806DC"/>
    <w:rsid w:val="00B8200A"/>
    <w:rsid w:val="00B83DCD"/>
    <w:rsid w:val="00B85A30"/>
    <w:rsid w:val="00B85B98"/>
    <w:rsid w:val="00B85C94"/>
    <w:rsid w:val="00B85CF1"/>
    <w:rsid w:val="00B861ED"/>
    <w:rsid w:val="00B867B1"/>
    <w:rsid w:val="00B86C45"/>
    <w:rsid w:val="00B87B5D"/>
    <w:rsid w:val="00B87D3E"/>
    <w:rsid w:val="00B90277"/>
    <w:rsid w:val="00B90885"/>
    <w:rsid w:val="00B908C2"/>
    <w:rsid w:val="00B91BAD"/>
    <w:rsid w:val="00B92D03"/>
    <w:rsid w:val="00B93EFB"/>
    <w:rsid w:val="00BA0DB5"/>
    <w:rsid w:val="00BA13FD"/>
    <w:rsid w:val="00BA379F"/>
    <w:rsid w:val="00BA4025"/>
    <w:rsid w:val="00BA63E4"/>
    <w:rsid w:val="00BA6BA0"/>
    <w:rsid w:val="00BA7E3E"/>
    <w:rsid w:val="00BB02AA"/>
    <w:rsid w:val="00BB0E5C"/>
    <w:rsid w:val="00BB1B09"/>
    <w:rsid w:val="00BB30A1"/>
    <w:rsid w:val="00BB3408"/>
    <w:rsid w:val="00BB5576"/>
    <w:rsid w:val="00BB5B60"/>
    <w:rsid w:val="00BB6C0B"/>
    <w:rsid w:val="00BB75E4"/>
    <w:rsid w:val="00BC0CE5"/>
    <w:rsid w:val="00BC2BE9"/>
    <w:rsid w:val="00BC717C"/>
    <w:rsid w:val="00BC72FA"/>
    <w:rsid w:val="00BC7C31"/>
    <w:rsid w:val="00BD18E7"/>
    <w:rsid w:val="00BD1AC6"/>
    <w:rsid w:val="00BD4A7D"/>
    <w:rsid w:val="00BD4D7D"/>
    <w:rsid w:val="00BD4FB9"/>
    <w:rsid w:val="00BD5393"/>
    <w:rsid w:val="00BD79C7"/>
    <w:rsid w:val="00BD7B0F"/>
    <w:rsid w:val="00BE2B0D"/>
    <w:rsid w:val="00BE58DC"/>
    <w:rsid w:val="00BF03A4"/>
    <w:rsid w:val="00BF0BE8"/>
    <w:rsid w:val="00BF0D33"/>
    <w:rsid w:val="00BF1093"/>
    <w:rsid w:val="00BF1B98"/>
    <w:rsid w:val="00BF1C48"/>
    <w:rsid w:val="00BF2CA0"/>
    <w:rsid w:val="00BF5152"/>
    <w:rsid w:val="00BF590E"/>
    <w:rsid w:val="00BF5BC0"/>
    <w:rsid w:val="00BF6A3F"/>
    <w:rsid w:val="00BF6F09"/>
    <w:rsid w:val="00BF795D"/>
    <w:rsid w:val="00BF7A65"/>
    <w:rsid w:val="00BF7C4D"/>
    <w:rsid w:val="00C01085"/>
    <w:rsid w:val="00C01857"/>
    <w:rsid w:val="00C01AE1"/>
    <w:rsid w:val="00C03393"/>
    <w:rsid w:val="00C04E96"/>
    <w:rsid w:val="00C1199A"/>
    <w:rsid w:val="00C11E77"/>
    <w:rsid w:val="00C128C8"/>
    <w:rsid w:val="00C138F5"/>
    <w:rsid w:val="00C13E5D"/>
    <w:rsid w:val="00C14837"/>
    <w:rsid w:val="00C17ACD"/>
    <w:rsid w:val="00C17FA4"/>
    <w:rsid w:val="00C2328E"/>
    <w:rsid w:val="00C25681"/>
    <w:rsid w:val="00C2656D"/>
    <w:rsid w:val="00C26915"/>
    <w:rsid w:val="00C27B1A"/>
    <w:rsid w:val="00C35AC8"/>
    <w:rsid w:val="00C36D85"/>
    <w:rsid w:val="00C36DFA"/>
    <w:rsid w:val="00C3706C"/>
    <w:rsid w:val="00C37337"/>
    <w:rsid w:val="00C37589"/>
    <w:rsid w:val="00C4068C"/>
    <w:rsid w:val="00C41020"/>
    <w:rsid w:val="00C41CC6"/>
    <w:rsid w:val="00C41D05"/>
    <w:rsid w:val="00C43D79"/>
    <w:rsid w:val="00C442B2"/>
    <w:rsid w:val="00C447E6"/>
    <w:rsid w:val="00C44B58"/>
    <w:rsid w:val="00C44E3F"/>
    <w:rsid w:val="00C46993"/>
    <w:rsid w:val="00C46E16"/>
    <w:rsid w:val="00C508F6"/>
    <w:rsid w:val="00C50CFC"/>
    <w:rsid w:val="00C51F1E"/>
    <w:rsid w:val="00C5236D"/>
    <w:rsid w:val="00C536FE"/>
    <w:rsid w:val="00C5457A"/>
    <w:rsid w:val="00C5499F"/>
    <w:rsid w:val="00C56720"/>
    <w:rsid w:val="00C5686C"/>
    <w:rsid w:val="00C56AE7"/>
    <w:rsid w:val="00C609F8"/>
    <w:rsid w:val="00C61DF5"/>
    <w:rsid w:val="00C61EF4"/>
    <w:rsid w:val="00C62915"/>
    <w:rsid w:val="00C6425F"/>
    <w:rsid w:val="00C6456F"/>
    <w:rsid w:val="00C64619"/>
    <w:rsid w:val="00C64875"/>
    <w:rsid w:val="00C6492E"/>
    <w:rsid w:val="00C64ADD"/>
    <w:rsid w:val="00C64E17"/>
    <w:rsid w:val="00C6708C"/>
    <w:rsid w:val="00C67A7D"/>
    <w:rsid w:val="00C7160D"/>
    <w:rsid w:val="00C72C7B"/>
    <w:rsid w:val="00C73250"/>
    <w:rsid w:val="00C7357E"/>
    <w:rsid w:val="00C73CF2"/>
    <w:rsid w:val="00C73EE8"/>
    <w:rsid w:val="00C7509E"/>
    <w:rsid w:val="00C75210"/>
    <w:rsid w:val="00C75B2A"/>
    <w:rsid w:val="00C76306"/>
    <w:rsid w:val="00C77DE3"/>
    <w:rsid w:val="00C80260"/>
    <w:rsid w:val="00C82090"/>
    <w:rsid w:val="00C850BA"/>
    <w:rsid w:val="00C852B4"/>
    <w:rsid w:val="00C859B4"/>
    <w:rsid w:val="00C87D46"/>
    <w:rsid w:val="00C91208"/>
    <w:rsid w:val="00C91617"/>
    <w:rsid w:val="00C91E48"/>
    <w:rsid w:val="00C9274D"/>
    <w:rsid w:val="00C9683B"/>
    <w:rsid w:val="00C9697C"/>
    <w:rsid w:val="00CA097C"/>
    <w:rsid w:val="00CA1956"/>
    <w:rsid w:val="00CA1AA6"/>
    <w:rsid w:val="00CA25A3"/>
    <w:rsid w:val="00CA4909"/>
    <w:rsid w:val="00CA5920"/>
    <w:rsid w:val="00CA650C"/>
    <w:rsid w:val="00CA7546"/>
    <w:rsid w:val="00CB0A34"/>
    <w:rsid w:val="00CB1936"/>
    <w:rsid w:val="00CB2E45"/>
    <w:rsid w:val="00CB2EE8"/>
    <w:rsid w:val="00CB47A3"/>
    <w:rsid w:val="00CB4B04"/>
    <w:rsid w:val="00CB4B78"/>
    <w:rsid w:val="00CB57A0"/>
    <w:rsid w:val="00CC1502"/>
    <w:rsid w:val="00CC1B37"/>
    <w:rsid w:val="00CC3505"/>
    <w:rsid w:val="00CC3875"/>
    <w:rsid w:val="00CC42AD"/>
    <w:rsid w:val="00CC528E"/>
    <w:rsid w:val="00CC5A46"/>
    <w:rsid w:val="00CC6C81"/>
    <w:rsid w:val="00CC773A"/>
    <w:rsid w:val="00CC7882"/>
    <w:rsid w:val="00CD0E86"/>
    <w:rsid w:val="00CD1A11"/>
    <w:rsid w:val="00CD2019"/>
    <w:rsid w:val="00CD2A3F"/>
    <w:rsid w:val="00CD3028"/>
    <w:rsid w:val="00CD4383"/>
    <w:rsid w:val="00CD52C5"/>
    <w:rsid w:val="00CD7433"/>
    <w:rsid w:val="00CD7CFC"/>
    <w:rsid w:val="00CE18B0"/>
    <w:rsid w:val="00CE3609"/>
    <w:rsid w:val="00CE3648"/>
    <w:rsid w:val="00CE42BB"/>
    <w:rsid w:val="00CE5E55"/>
    <w:rsid w:val="00CE5E66"/>
    <w:rsid w:val="00CE6BE1"/>
    <w:rsid w:val="00CE6D94"/>
    <w:rsid w:val="00CE6F5B"/>
    <w:rsid w:val="00CF01D6"/>
    <w:rsid w:val="00CF03B0"/>
    <w:rsid w:val="00CF044D"/>
    <w:rsid w:val="00CF15DE"/>
    <w:rsid w:val="00CF2BC2"/>
    <w:rsid w:val="00CF4A3D"/>
    <w:rsid w:val="00CF617C"/>
    <w:rsid w:val="00CF74E2"/>
    <w:rsid w:val="00CF7FBE"/>
    <w:rsid w:val="00D03913"/>
    <w:rsid w:val="00D04281"/>
    <w:rsid w:val="00D05E3F"/>
    <w:rsid w:val="00D0696A"/>
    <w:rsid w:val="00D07ABA"/>
    <w:rsid w:val="00D10CED"/>
    <w:rsid w:val="00D126B8"/>
    <w:rsid w:val="00D134B7"/>
    <w:rsid w:val="00D13EB7"/>
    <w:rsid w:val="00D145F9"/>
    <w:rsid w:val="00D14C92"/>
    <w:rsid w:val="00D15927"/>
    <w:rsid w:val="00D1647D"/>
    <w:rsid w:val="00D17018"/>
    <w:rsid w:val="00D20E64"/>
    <w:rsid w:val="00D20F45"/>
    <w:rsid w:val="00D21BD9"/>
    <w:rsid w:val="00D23A4F"/>
    <w:rsid w:val="00D257C3"/>
    <w:rsid w:val="00D2599C"/>
    <w:rsid w:val="00D25DAA"/>
    <w:rsid w:val="00D27C0A"/>
    <w:rsid w:val="00D30579"/>
    <w:rsid w:val="00D30B08"/>
    <w:rsid w:val="00D31511"/>
    <w:rsid w:val="00D31B88"/>
    <w:rsid w:val="00D34695"/>
    <w:rsid w:val="00D352A0"/>
    <w:rsid w:val="00D40760"/>
    <w:rsid w:val="00D40E65"/>
    <w:rsid w:val="00D41CA1"/>
    <w:rsid w:val="00D426E5"/>
    <w:rsid w:val="00D42E0B"/>
    <w:rsid w:val="00D45ACD"/>
    <w:rsid w:val="00D508DA"/>
    <w:rsid w:val="00D50A94"/>
    <w:rsid w:val="00D51D39"/>
    <w:rsid w:val="00D51D61"/>
    <w:rsid w:val="00D52F1B"/>
    <w:rsid w:val="00D5379C"/>
    <w:rsid w:val="00D54D94"/>
    <w:rsid w:val="00D6198E"/>
    <w:rsid w:val="00D64BE0"/>
    <w:rsid w:val="00D64D32"/>
    <w:rsid w:val="00D650C8"/>
    <w:rsid w:val="00D660D5"/>
    <w:rsid w:val="00D71469"/>
    <w:rsid w:val="00D71999"/>
    <w:rsid w:val="00D71E3E"/>
    <w:rsid w:val="00D74329"/>
    <w:rsid w:val="00D76160"/>
    <w:rsid w:val="00D76C74"/>
    <w:rsid w:val="00D76E36"/>
    <w:rsid w:val="00D8070A"/>
    <w:rsid w:val="00D807C3"/>
    <w:rsid w:val="00D81A8F"/>
    <w:rsid w:val="00D81FC6"/>
    <w:rsid w:val="00D82640"/>
    <w:rsid w:val="00D8329A"/>
    <w:rsid w:val="00D84C89"/>
    <w:rsid w:val="00D856B2"/>
    <w:rsid w:val="00D85980"/>
    <w:rsid w:val="00D86B00"/>
    <w:rsid w:val="00D87F92"/>
    <w:rsid w:val="00D91BB6"/>
    <w:rsid w:val="00D92601"/>
    <w:rsid w:val="00D92A22"/>
    <w:rsid w:val="00D940CB"/>
    <w:rsid w:val="00D96669"/>
    <w:rsid w:val="00DA0C3B"/>
    <w:rsid w:val="00DA1BB2"/>
    <w:rsid w:val="00DA3297"/>
    <w:rsid w:val="00DA36DF"/>
    <w:rsid w:val="00DA63C3"/>
    <w:rsid w:val="00DB0898"/>
    <w:rsid w:val="00DB1439"/>
    <w:rsid w:val="00DB18C8"/>
    <w:rsid w:val="00DB1DB0"/>
    <w:rsid w:val="00DB24B6"/>
    <w:rsid w:val="00DB3CEB"/>
    <w:rsid w:val="00DB4044"/>
    <w:rsid w:val="00DB4E19"/>
    <w:rsid w:val="00DB4FD6"/>
    <w:rsid w:val="00DB5552"/>
    <w:rsid w:val="00DB7020"/>
    <w:rsid w:val="00DB70BF"/>
    <w:rsid w:val="00DC0C49"/>
    <w:rsid w:val="00DC261A"/>
    <w:rsid w:val="00DC3DC5"/>
    <w:rsid w:val="00DC4328"/>
    <w:rsid w:val="00DC4E0E"/>
    <w:rsid w:val="00DC5893"/>
    <w:rsid w:val="00DC5948"/>
    <w:rsid w:val="00DC7424"/>
    <w:rsid w:val="00DD095E"/>
    <w:rsid w:val="00DD1C0F"/>
    <w:rsid w:val="00DD29FF"/>
    <w:rsid w:val="00DD3B3F"/>
    <w:rsid w:val="00DD5728"/>
    <w:rsid w:val="00DD5A5F"/>
    <w:rsid w:val="00DD5E8E"/>
    <w:rsid w:val="00DE0BCD"/>
    <w:rsid w:val="00DE15C2"/>
    <w:rsid w:val="00DE1D2D"/>
    <w:rsid w:val="00DE1FC2"/>
    <w:rsid w:val="00DE2DF3"/>
    <w:rsid w:val="00DE35ED"/>
    <w:rsid w:val="00DE4C92"/>
    <w:rsid w:val="00DE747C"/>
    <w:rsid w:val="00DE7BE9"/>
    <w:rsid w:val="00DE7C42"/>
    <w:rsid w:val="00DF2091"/>
    <w:rsid w:val="00DF2B8B"/>
    <w:rsid w:val="00DF2E05"/>
    <w:rsid w:val="00DF318E"/>
    <w:rsid w:val="00DF3CD6"/>
    <w:rsid w:val="00DF505F"/>
    <w:rsid w:val="00DF6324"/>
    <w:rsid w:val="00DF6B72"/>
    <w:rsid w:val="00E00C0D"/>
    <w:rsid w:val="00E0208D"/>
    <w:rsid w:val="00E02982"/>
    <w:rsid w:val="00E038E6"/>
    <w:rsid w:val="00E04EF6"/>
    <w:rsid w:val="00E053E0"/>
    <w:rsid w:val="00E05AC4"/>
    <w:rsid w:val="00E05E02"/>
    <w:rsid w:val="00E06B9E"/>
    <w:rsid w:val="00E07E09"/>
    <w:rsid w:val="00E07E44"/>
    <w:rsid w:val="00E10865"/>
    <w:rsid w:val="00E10CF2"/>
    <w:rsid w:val="00E12875"/>
    <w:rsid w:val="00E14FE1"/>
    <w:rsid w:val="00E151E8"/>
    <w:rsid w:val="00E15B17"/>
    <w:rsid w:val="00E15BC7"/>
    <w:rsid w:val="00E163A1"/>
    <w:rsid w:val="00E1651C"/>
    <w:rsid w:val="00E2260B"/>
    <w:rsid w:val="00E232C4"/>
    <w:rsid w:val="00E243D1"/>
    <w:rsid w:val="00E24875"/>
    <w:rsid w:val="00E2552B"/>
    <w:rsid w:val="00E25925"/>
    <w:rsid w:val="00E267F5"/>
    <w:rsid w:val="00E27942"/>
    <w:rsid w:val="00E31117"/>
    <w:rsid w:val="00E314CF"/>
    <w:rsid w:val="00E32CF1"/>
    <w:rsid w:val="00E3458E"/>
    <w:rsid w:val="00E35887"/>
    <w:rsid w:val="00E35BB9"/>
    <w:rsid w:val="00E40FC4"/>
    <w:rsid w:val="00E41211"/>
    <w:rsid w:val="00E42A75"/>
    <w:rsid w:val="00E42BD0"/>
    <w:rsid w:val="00E44122"/>
    <w:rsid w:val="00E44E2C"/>
    <w:rsid w:val="00E45837"/>
    <w:rsid w:val="00E45C3D"/>
    <w:rsid w:val="00E46738"/>
    <w:rsid w:val="00E50587"/>
    <w:rsid w:val="00E50A95"/>
    <w:rsid w:val="00E51071"/>
    <w:rsid w:val="00E510A4"/>
    <w:rsid w:val="00E53DA8"/>
    <w:rsid w:val="00E5437E"/>
    <w:rsid w:val="00E5464E"/>
    <w:rsid w:val="00E54AD2"/>
    <w:rsid w:val="00E55648"/>
    <w:rsid w:val="00E578D4"/>
    <w:rsid w:val="00E61B44"/>
    <w:rsid w:val="00E62B1D"/>
    <w:rsid w:val="00E63287"/>
    <w:rsid w:val="00E63634"/>
    <w:rsid w:val="00E6458E"/>
    <w:rsid w:val="00E64613"/>
    <w:rsid w:val="00E65DD1"/>
    <w:rsid w:val="00E66432"/>
    <w:rsid w:val="00E6746D"/>
    <w:rsid w:val="00E675AD"/>
    <w:rsid w:val="00E70270"/>
    <w:rsid w:val="00E70513"/>
    <w:rsid w:val="00E70DEB"/>
    <w:rsid w:val="00E73290"/>
    <w:rsid w:val="00E732A5"/>
    <w:rsid w:val="00E75E99"/>
    <w:rsid w:val="00E76540"/>
    <w:rsid w:val="00E77FCD"/>
    <w:rsid w:val="00E80092"/>
    <w:rsid w:val="00E8141C"/>
    <w:rsid w:val="00E830A7"/>
    <w:rsid w:val="00E85642"/>
    <w:rsid w:val="00E85A5B"/>
    <w:rsid w:val="00E85CCC"/>
    <w:rsid w:val="00E86445"/>
    <w:rsid w:val="00E8691D"/>
    <w:rsid w:val="00E86D97"/>
    <w:rsid w:val="00E90B65"/>
    <w:rsid w:val="00E926E0"/>
    <w:rsid w:val="00E9384B"/>
    <w:rsid w:val="00E9447E"/>
    <w:rsid w:val="00E94B0A"/>
    <w:rsid w:val="00E9794C"/>
    <w:rsid w:val="00EA1365"/>
    <w:rsid w:val="00EA1B8F"/>
    <w:rsid w:val="00EA1F60"/>
    <w:rsid w:val="00EA1F94"/>
    <w:rsid w:val="00EA3529"/>
    <w:rsid w:val="00EA35D5"/>
    <w:rsid w:val="00EA4061"/>
    <w:rsid w:val="00EA44D3"/>
    <w:rsid w:val="00EA4863"/>
    <w:rsid w:val="00EA4A15"/>
    <w:rsid w:val="00EA4CC1"/>
    <w:rsid w:val="00EA5F76"/>
    <w:rsid w:val="00EA6F5A"/>
    <w:rsid w:val="00EA7784"/>
    <w:rsid w:val="00EB0409"/>
    <w:rsid w:val="00EB3B5E"/>
    <w:rsid w:val="00EB3BE0"/>
    <w:rsid w:val="00EB430C"/>
    <w:rsid w:val="00EB4DC3"/>
    <w:rsid w:val="00EB5156"/>
    <w:rsid w:val="00EB6DD0"/>
    <w:rsid w:val="00EC223B"/>
    <w:rsid w:val="00EC339F"/>
    <w:rsid w:val="00EC33BF"/>
    <w:rsid w:val="00EC4E51"/>
    <w:rsid w:val="00ED5895"/>
    <w:rsid w:val="00ED5AD3"/>
    <w:rsid w:val="00ED61F2"/>
    <w:rsid w:val="00EE2F5D"/>
    <w:rsid w:val="00EE4031"/>
    <w:rsid w:val="00EE4861"/>
    <w:rsid w:val="00EE5C5E"/>
    <w:rsid w:val="00EE6086"/>
    <w:rsid w:val="00EE6315"/>
    <w:rsid w:val="00EF053C"/>
    <w:rsid w:val="00EF13B7"/>
    <w:rsid w:val="00EF31A0"/>
    <w:rsid w:val="00EF68F4"/>
    <w:rsid w:val="00F0038C"/>
    <w:rsid w:val="00F01204"/>
    <w:rsid w:val="00F036BD"/>
    <w:rsid w:val="00F03D95"/>
    <w:rsid w:val="00F04C96"/>
    <w:rsid w:val="00F056B9"/>
    <w:rsid w:val="00F05C02"/>
    <w:rsid w:val="00F071E3"/>
    <w:rsid w:val="00F113AA"/>
    <w:rsid w:val="00F13770"/>
    <w:rsid w:val="00F14866"/>
    <w:rsid w:val="00F14A8C"/>
    <w:rsid w:val="00F14CFE"/>
    <w:rsid w:val="00F153DA"/>
    <w:rsid w:val="00F15B07"/>
    <w:rsid w:val="00F1693C"/>
    <w:rsid w:val="00F17242"/>
    <w:rsid w:val="00F2179C"/>
    <w:rsid w:val="00F21EB2"/>
    <w:rsid w:val="00F22564"/>
    <w:rsid w:val="00F23198"/>
    <w:rsid w:val="00F235A4"/>
    <w:rsid w:val="00F2528D"/>
    <w:rsid w:val="00F26716"/>
    <w:rsid w:val="00F27EE2"/>
    <w:rsid w:val="00F31475"/>
    <w:rsid w:val="00F31B4A"/>
    <w:rsid w:val="00F32C98"/>
    <w:rsid w:val="00F330AA"/>
    <w:rsid w:val="00F3359D"/>
    <w:rsid w:val="00F336B2"/>
    <w:rsid w:val="00F33B4F"/>
    <w:rsid w:val="00F36556"/>
    <w:rsid w:val="00F36E22"/>
    <w:rsid w:val="00F37DF2"/>
    <w:rsid w:val="00F41ECF"/>
    <w:rsid w:val="00F42B8B"/>
    <w:rsid w:val="00F44AE3"/>
    <w:rsid w:val="00F44EA7"/>
    <w:rsid w:val="00F46022"/>
    <w:rsid w:val="00F46232"/>
    <w:rsid w:val="00F47FF5"/>
    <w:rsid w:val="00F530C1"/>
    <w:rsid w:val="00F545B8"/>
    <w:rsid w:val="00F5527C"/>
    <w:rsid w:val="00F56372"/>
    <w:rsid w:val="00F57033"/>
    <w:rsid w:val="00F60E66"/>
    <w:rsid w:val="00F61470"/>
    <w:rsid w:val="00F616EC"/>
    <w:rsid w:val="00F63AD0"/>
    <w:rsid w:val="00F659CE"/>
    <w:rsid w:val="00F66F31"/>
    <w:rsid w:val="00F70775"/>
    <w:rsid w:val="00F71013"/>
    <w:rsid w:val="00F71588"/>
    <w:rsid w:val="00F7268F"/>
    <w:rsid w:val="00F767F5"/>
    <w:rsid w:val="00F8209F"/>
    <w:rsid w:val="00F82F41"/>
    <w:rsid w:val="00F83440"/>
    <w:rsid w:val="00F839A9"/>
    <w:rsid w:val="00F8402E"/>
    <w:rsid w:val="00F84CE1"/>
    <w:rsid w:val="00F84CF0"/>
    <w:rsid w:val="00F84F89"/>
    <w:rsid w:val="00F852E5"/>
    <w:rsid w:val="00F854EE"/>
    <w:rsid w:val="00F85FD1"/>
    <w:rsid w:val="00F86718"/>
    <w:rsid w:val="00F87E22"/>
    <w:rsid w:val="00F90398"/>
    <w:rsid w:val="00F90BA3"/>
    <w:rsid w:val="00F91771"/>
    <w:rsid w:val="00F91DAE"/>
    <w:rsid w:val="00F946B1"/>
    <w:rsid w:val="00F951B8"/>
    <w:rsid w:val="00F96359"/>
    <w:rsid w:val="00F965AC"/>
    <w:rsid w:val="00F97DDC"/>
    <w:rsid w:val="00FA3782"/>
    <w:rsid w:val="00FA507D"/>
    <w:rsid w:val="00FA5427"/>
    <w:rsid w:val="00FA684C"/>
    <w:rsid w:val="00FA6BA3"/>
    <w:rsid w:val="00FB00BF"/>
    <w:rsid w:val="00FB0AD1"/>
    <w:rsid w:val="00FB2F99"/>
    <w:rsid w:val="00FB325E"/>
    <w:rsid w:val="00FB4BC3"/>
    <w:rsid w:val="00FB66E6"/>
    <w:rsid w:val="00FC0290"/>
    <w:rsid w:val="00FC073A"/>
    <w:rsid w:val="00FC12D7"/>
    <w:rsid w:val="00FC17A9"/>
    <w:rsid w:val="00FC1C6D"/>
    <w:rsid w:val="00FC1D1F"/>
    <w:rsid w:val="00FC2670"/>
    <w:rsid w:val="00FC5325"/>
    <w:rsid w:val="00FC5E64"/>
    <w:rsid w:val="00FC6532"/>
    <w:rsid w:val="00FD00C9"/>
    <w:rsid w:val="00FD0387"/>
    <w:rsid w:val="00FD0D42"/>
    <w:rsid w:val="00FD113C"/>
    <w:rsid w:val="00FD13BB"/>
    <w:rsid w:val="00FD147B"/>
    <w:rsid w:val="00FD17A6"/>
    <w:rsid w:val="00FD29C0"/>
    <w:rsid w:val="00FD3155"/>
    <w:rsid w:val="00FD3B27"/>
    <w:rsid w:val="00FD3D69"/>
    <w:rsid w:val="00FD43F8"/>
    <w:rsid w:val="00FD5EDD"/>
    <w:rsid w:val="00FD68C6"/>
    <w:rsid w:val="00FD7C60"/>
    <w:rsid w:val="00FD7DD6"/>
    <w:rsid w:val="00FE0EFA"/>
    <w:rsid w:val="00FE15C0"/>
    <w:rsid w:val="00FE279C"/>
    <w:rsid w:val="00FE3BEB"/>
    <w:rsid w:val="00FE3DBD"/>
    <w:rsid w:val="00FE6662"/>
    <w:rsid w:val="00FE6F56"/>
    <w:rsid w:val="00FF08F6"/>
    <w:rsid w:val="00FF1197"/>
    <w:rsid w:val="00FF11FB"/>
    <w:rsid w:val="00FF1495"/>
    <w:rsid w:val="00FF178F"/>
    <w:rsid w:val="00FF263F"/>
    <w:rsid w:val="00FF2CF0"/>
    <w:rsid w:val="00FF2D2B"/>
    <w:rsid w:val="00FF3C3E"/>
    <w:rsid w:val="00FF5704"/>
    <w:rsid w:val="016022B4"/>
    <w:rsid w:val="017C011F"/>
    <w:rsid w:val="01B3161D"/>
    <w:rsid w:val="01EB5915"/>
    <w:rsid w:val="02182ED7"/>
    <w:rsid w:val="025D4D8E"/>
    <w:rsid w:val="02B45DAD"/>
    <w:rsid w:val="02B54D22"/>
    <w:rsid w:val="02DD5FF0"/>
    <w:rsid w:val="043843A1"/>
    <w:rsid w:val="044C50BA"/>
    <w:rsid w:val="04AA5E4E"/>
    <w:rsid w:val="04F82025"/>
    <w:rsid w:val="05312CB9"/>
    <w:rsid w:val="053F0F3C"/>
    <w:rsid w:val="067C20BB"/>
    <w:rsid w:val="06C80966"/>
    <w:rsid w:val="07AA3675"/>
    <w:rsid w:val="08693410"/>
    <w:rsid w:val="089745D6"/>
    <w:rsid w:val="08E84EF1"/>
    <w:rsid w:val="09412D13"/>
    <w:rsid w:val="0A8235E3"/>
    <w:rsid w:val="0ACF1886"/>
    <w:rsid w:val="0B4B60CB"/>
    <w:rsid w:val="0B8E420A"/>
    <w:rsid w:val="0BC23F01"/>
    <w:rsid w:val="0BFB0BB8"/>
    <w:rsid w:val="0C786F42"/>
    <w:rsid w:val="0D3306C3"/>
    <w:rsid w:val="0D990662"/>
    <w:rsid w:val="0EA855E3"/>
    <w:rsid w:val="0F3E7ED6"/>
    <w:rsid w:val="0F5F3AAE"/>
    <w:rsid w:val="0FB56CEA"/>
    <w:rsid w:val="0FCD4501"/>
    <w:rsid w:val="1045349C"/>
    <w:rsid w:val="10964F66"/>
    <w:rsid w:val="11811920"/>
    <w:rsid w:val="118D7F73"/>
    <w:rsid w:val="11EE5E19"/>
    <w:rsid w:val="1203041E"/>
    <w:rsid w:val="12323B41"/>
    <w:rsid w:val="12363F6F"/>
    <w:rsid w:val="12601C36"/>
    <w:rsid w:val="128F01D6"/>
    <w:rsid w:val="130354DD"/>
    <w:rsid w:val="137C2A53"/>
    <w:rsid w:val="145412D3"/>
    <w:rsid w:val="1474109B"/>
    <w:rsid w:val="14BA74DA"/>
    <w:rsid w:val="152E66D7"/>
    <w:rsid w:val="15746553"/>
    <w:rsid w:val="15CF7F33"/>
    <w:rsid w:val="16322ABD"/>
    <w:rsid w:val="176435AF"/>
    <w:rsid w:val="179B3F36"/>
    <w:rsid w:val="17A55F44"/>
    <w:rsid w:val="18031D95"/>
    <w:rsid w:val="18226406"/>
    <w:rsid w:val="18480AED"/>
    <w:rsid w:val="18F56038"/>
    <w:rsid w:val="19812123"/>
    <w:rsid w:val="19AA4271"/>
    <w:rsid w:val="1A632C0C"/>
    <w:rsid w:val="1AA9178E"/>
    <w:rsid w:val="1BA60B00"/>
    <w:rsid w:val="1BB85CB8"/>
    <w:rsid w:val="1BC3390D"/>
    <w:rsid w:val="1BE4077B"/>
    <w:rsid w:val="1C83336F"/>
    <w:rsid w:val="1D302DD4"/>
    <w:rsid w:val="1D9A259A"/>
    <w:rsid w:val="1F8D1B58"/>
    <w:rsid w:val="1FA43022"/>
    <w:rsid w:val="20C40840"/>
    <w:rsid w:val="210F3827"/>
    <w:rsid w:val="21C3522A"/>
    <w:rsid w:val="21FA1C76"/>
    <w:rsid w:val="22206440"/>
    <w:rsid w:val="22342CF6"/>
    <w:rsid w:val="227476F2"/>
    <w:rsid w:val="228B5F10"/>
    <w:rsid w:val="22C95DFC"/>
    <w:rsid w:val="22CF384A"/>
    <w:rsid w:val="24523BCF"/>
    <w:rsid w:val="259F4BF2"/>
    <w:rsid w:val="26634398"/>
    <w:rsid w:val="26BD3642"/>
    <w:rsid w:val="26E946A3"/>
    <w:rsid w:val="276F67FC"/>
    <w:rsid w:val="295D07F2"/>
    <w:rsid w:val="29F35717"/>
    <w:rsid w:val="2A3458EC"/>
    <w:rsid w:val="2AC670C5"/>
    <w:rsid w:val="2BE55033"/>
    <w:rsid w:val="2C1D0F66"/>
    <w:rsid w:val="2D972170"/>
    <w:rsid w:val="2E2F35C9"/>
    <w:rsid w:val="2EFF4953"/>
    <w:rsid w:val="300A0D8D"/>
    <w:rsid w:val="30476B7D"/>
    <w:rsid w:val="31263B4A"/>
    <w:rsid w:val="33A256C8"/>
    <w:rsid w:val="34A86C7B"/>
    <w:rsid w:val="3517619E"/>
    <w:rsid w:val="35E2272C"/>
    <w:rsid w:val="36887AF4"/>
    <w:rsid w:val="3784323A"/>
    <w:rsid w:val="38517759"/>
    <w:rsid w:val="3856040A"/>
    <w:rsid w:val="38F463A1"/>
    <w:rsid w:val="396D4258"/>
    <w:rsid w:val="39FE44D0"/>
    <w:rsid w:val="3B7C7282"/>
    <w:rsid w:val="3C956DB4"/>
    <w:rsid w:val="3CB60D47"/>
    <w:rsid w:val="3CF00B88"/>
    <w:rsid w:val="3D55126E"/>
    <w:rsid w:val="3D762284"/>
    <w:rsid w:val="3DF850D2"/>
    <w:rsid w:val="3E7B7FE0"/>
    <w:rsid w:val="3E997B5D"/>
    <w:rsid w:val="3EF7024F"/>
    <w:rsid w:val="3FD0375B"/>
    <w:rsid w:val="3FF25BE3"/>
    <w:rsid w:val="4001677D"/>
    <w:rsid w:val="403C6EEE"/>
    <w:rsid w:val="40503261"/>
    <w:rsid w:val="40524E9C"/>
    <w:rsid w:val="40706E2B"/>
    <w:rsid w:val="411512B3"/>
    <w:rsid w:val="414F0E71"/>
    <w:rsid w:val="41710606"/>
    <w:rsid w:val="41B46ADA"/>
    <w:rsid w:val="41BA6182"/>
    <w:rsid w:val="42AD7F63"/>
    <w:rsid w:val="43273C06"/>
    <w:rsid w:val="436E7263"/>
    <w:rsid w:val="43B703F2"/>
    <w:rsid w:val="43CC2F6A"/>
    <w:rsid w:val="43DF4E23"/>
    <w:rsid w:val="451F1218"/>
    <w:rsid w:val="452A2CE6"/>
    <w:rsid w:val="45627AAD"/>
    <w:rsid w:val="457D012D"/>
    <w:rsid w:val="457E510C"/>
    <w:rsid w:val="45FD27A1"/>
    <w:rsid w:val="48666EBE"/>
    <w:rsid w:val="48841B50"/>
    <w:rsid w:val="48B54D35"/>
    <w:rsid w:val="4AC9433B"/>
    <w:rsid w:val="4BBD535F"/>
    <w:rsid w:val="4BD85A65"/>
    <w:rsid w:val="4C013C65"/>
    <w:rsid w:val="4C8156FE"/>
    <w:rsid w:val="4DE329CA"/>
    <w:rsid w:val="51392C27"/>
    <w:rsid w:val="5180629F"/>
    <w:rsid w:val="5221410F"/>
    <w:rsid w:val="52A25FA4"/>
    <w:rsid w:val="52E0364E"/>
    <w:rsid w:val="530B7DEB"/>
    <w:rsid w:val="532B74AA"/>
    <w:rsid w:val="535C2DC0"/>
    <w:rsid w:val="546E26C6"/>
    <w:rsid w:val="55097A7F"/>
    <w:rsid w:val="566A08F3"/>
    <w:rsid w:val="5698667B"/>
    <w:rsid w:val="57215678"/>
    <w:rsid w:val="57B13423"/>
    <w:rsid w:val="59782984"/>
    <w:rsid w:val="59F64346"/>
    <w:rsid w:val="5A07278A"/>
    <w:rsid w:val="5A3D61AC"/>
    <w:rsid w:val="5B1F380C"/>
    <w:rsid w:val="5B6836FC"/>
    <w:rsid w:val="5B883203"/>
    <w:rsid w:val="5C2E710D"/>
    <w:rsid w:val="5DB25F7C"/>
    <w:rsid w:val="5E3D2C0C"/>
    <w:rsid w:val="5E524C74"/>
    <w:rsid w:val="5E61684F"/>
    <w:rsid w:val="5F68269D"/>
    <w:rsid w:val="60422DD1"/>
    <w:rsid w:val="60583D40"/>
    <w:rsid w:val="608E7761"/>
    <w:rsid w:val="60BB6E78"/>
    <w:rsid w:val="61D54CF3"/>
    <w:rsid w:val="63CA3F0E"/>
    <w:rsid w:val="63F51C30"/>
    <w:rsid w:val="63F70003"/>
    <w:rsid w:val="63FA10AA"/>
    <w:rsid w:val="644236D4"/>
    <w:rsid w:val="646A0F46"/>
    <w:rsid w:val="648435DF"/>
    <w:rsid w:val="649B308B"/>
    <w:rsid w:val="65312694"/>
    <w:rsid w:val="663B0CDB"/>
    <w:rsid w:val="66556A58"/>
    <w:rsid w:val="66FB505F"/>
    <w:rsid w:val="67B00433"/>
    <w:rsid w:val="687F330A"/>
    <w:rsid w:val="6882447F"/>
    <w:rsid w:val="68874E63"/>
    <w:rsid w:val="69392062"/>
    <w:rsid w:val="6A2E73C3"/>
    <w:rsid w:val="6B9132BE"/>
    <w:rsid w:val="6BFA7885"/>
    <w:rsid w:val="6E307DFF"/>
    <w:rsid w:val="6F494779"/>
    <w:rsid w:val="6F5E6124"/>
    <w:rsid w:val="6F70246F"/>
    <w:rsid w:val="6F9577F8"/>
    <w:rsid w:val="6FD94BE5"/>
    <w:rsid w:val="70D0658A"/>
    <w:rsid w:val="716530FF"/>
    <w:rsid w:val="72917B3F"/>
    <w:rsid w:val="73451141"/>
    <w:rsid w:val="735842EF"/>
    <w:rsid w:val="73F1457A"/>
    <w:rsid w:val="74521887"/>
    <w:rsid w:val="74A12766"/>
    <w:rsid w:val="76452346"/>
    <w:rsid w:val="76C75323"/>
    <w:rsid w:val="76F705B1"/>
    <w:rsid w:val="780E734E"/>
    <w:rsid w:val="786E4382"/>
    <w:rsid w:val="78EF2A09"/>
    <w:rsid w:val="7A40506E"/>
    <w:rsid w:val="7C1853B7"/>
    <w:rsid w:val="7D6E320A"/>
    <w:rsid w:val="7E2272E3"/>
    <w:rsid w:val="7E816B6D"/>
    <w:rsid w:val="7EE73615"/>
    <w:rsid w:val="7F897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7"/>
    <w:qFormat/>
    <w:uiPriority w:val="9"/>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link w:val="28"/>
    <w:unhideWhenUsed/>
    <w:qFormat/>
    <w:uiPriority w:val="9"/>
    <w:pPr>
      <w:keepNext/>
      <w:keepLines/>
      <w:spacing w:before="260" w:after="260" w:line="416" w:lineRule="auto"/>
      <w:outlineLvl w:val="2"/>
    </w:pPr>
    <w:rPr>
      <w:rFonts w:asciiTheme="minorHAnsi" w:hAnsiTheme="minorHAnsi" w:eastAsiaTheme="minorEastAsia" w:cstheme="minorBidi"/>
      <w:b/>
      <w:bCs/>
      <w:sz w:val="32"/>
      <w:szCs w:val="32"/>
    </w:rPr>
  </w:style>
  <w:style w:type="paragraph" w:styleId="5">
    <w:name w:val="heading 4"/>
    <w:basedOn w:val="1"/>
    <w:next w:val="1"/>
    <w:link w:val="29"/>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0"/>
    <w:semiHidden/>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paragraph" w:styleId="7">
    <w:name w:val="heading 6"/>
    <w:basedOn w:val="1"/>
    <w:next w:val="1"/>
    <w:link w:val="31"/>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character" w:default="1" w:styleId="21">
    <w:name w:val="Default Paragraph Font"/>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8">
    <w:name w:val="caption"/>
    <w:basedOn w:val="1"/>
    <w:next w:val="1"/>
    <w:qFormat/>
    <w:uiPriority w:val="99"/>
    <w:pPr>
      <w:adjustRightInd w:val="0"/>
      <w:snapToGrid w:val="0"/>
      <w:spacing w:line="360" w:lineRule="auto"/>
      <w:ind w:firstLine="400" w:firstLineChars="200"/>
      <w:jc w:val="center"/>
    </w:pPr>
    <w:rPr>
      <w:rFonts w:ascii="Calibri" w:hAnsi="Calibri"/>
      <w:sz w:val="20"/>
      <w:szCs w:val="20"/>
    </w:rPr>
  </w:style>
  <w:style w:type="paragraph" w:styleId="9">
    <w:name w:val="Body Text"/>
    <w:basedOn w:val="1"/>
    <w:link w:val="99"/>
    <w:qFormat/>
    <w:uiPriority w:val="1"/>
    <w:pPr>
      <w:autoSpaceDE w:val="0"/>
      <w:autoSpaceDN w:val="0"/>
      <w:jc w:val="left"/>
    </w:pPr>
    <w:rPr>
      <w:rFonts w:eastAsia="Times New Roman"/>
      <w:kern w:val="0"/>
      <w:sz w:val="17"/>
      <w:szCs w:val="17"/>
      <w:lang w:eastAsia="en-US" w:bidi="en-US"/>
    </w:rPr>
  </w:style>
  <w:style w:type="paragraph" w:styleId="10">
    <w:name w:val="Date"/>
    <w:basedOn w:val="1"/>
    <w:next w:val="1"/>
    <w:link w:val="79"/>
    <w:semiHidden/>
    <w:unhideWhenUsed/>
    <w:qFormat/>
    <w:uiPriority w:val="99"/>
    <w:pPr>
      <w:ind w:left="100" w:leftChars="2500"/>
    </w:pPr>
  </w:style>
  <w:style w:type="paragraph" w:styleId="11">
    <w:name w:val="Body Text Indent 2"/>
    <w:basedOn w:val="1"/>
    <w:link w:val="195"/>
    <w:semiHidden/>
    <w:unhideWhenUsed/>
    <w:qFormat/>
    <w:uiPriority w:val="99"/>
    <w:pPr>
      <w:spacing w:after="120" w:line="480" w:lineRule="auto"/>
      <w:ind w:left="420" w:leftChars="200"/>
    </w:pPr>
  </w:style>
  <w:style w:type="paragraph" w:styleId="12">
    <w:name w:val="Balloon Text"/>
    <w:basedOn w:val="1"/>
    <w:link w:val="34"/>
    <w:semiHidden/>
    <w:unhideWhenUsed/>
    <w:qFormat/>
    <w:uiPriority w:val="99"/>
    <w:rPr>
      <w:sz w:val="18"/>
      <w:szCs w:val="18"/>
    </w:rPr>
  </w:style>
  <w:style w:type="paragraph" w:styleId="13">
    <w:name w:val="footer"/>
    <w:basedOn w:val="1"/>
    <w:link w:val="3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3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toc 1"/>
    <w:basedOn w:val="1"/>
    <w:next w:val="1"/>
    <w:autoRedefine/>
    <w:unhideWhenUsed/>
    <w:uiPriority w:val="39"/>
  </w:style>
  <w:style w:type="paragraph" w:styleId="16">
    <w:name w:val="toc 2"/>
    <w:basedOn w:val="1"/>
    <w:next w:val="1"/>
    <w:autoRedefine/>
    <w:unhideWhenUsed/>
    <w:uiPriority w:val="39"/>
    <w:pPr>
      <w:tabs>
        <w:tab w:val="right" w:leader="dot" w:pos="9402"/>
      </w:tabs>
      <w:ind w:left="420" w:leftChars="200"/>
    </w:pPr>
    <w:rPr>
      <w:rFonts w:eastAsia="黑体"/>
    </w:rPr>
  </w:style>
  <w:style w:type="paragraph" w:styleId="17">
    <w:name w:val="HTML Preformatted"/>
    <w:basedOn w:val="1"/>
    <w:link w:val="19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color w:val="000000"/>
      <w:kern w:val="0"/>
      <w:sz w:val="20"/>
      <w:szCs w:val="20"/>
    </w:rPr>
  </w:style>
  <w:style w:type="paragraph" w:styleId="1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FollowedHyperlink"/>
    <w:basedOn w:val="21"/>
    <w:semiHidden/>
    <w:unhideWhenUsed/>
    <w:qFormat/>
    <w:uiPriority w:val="99"/>
    <w:rPr>
      <w:color w:val="800080"/>
      <w:u w:val="single"/>
    </w:rPr>
  </w:style>
  <w:style w:type="character" w:styleId="24">
    <w:name w:val="Emphasis"/>
    <w:basedOn w:val="21"/>
    <w:qFormat/>
    <w:uiPriority w:val="20"/>
    <w:rPr>
      <w:i/>
      <w:iCs/>
    </w:rPr>
  </w:style>
  <w:style w:type="character" w:styleId="25">
    <w:name w:val="Hyperlink"/>
    <w:basedOn w:val="21"/>
    <w:unhideWhenUsed/>
    <w:qFormat/>
    <w:uiPriority w:val="99"/>
    <w:rPr>
      <w:color w:val="0000FF"/>
      <w:u w:val="single"/>
    </w:rPr>
  </w:style>
  <w:style w:type="character" w:customStyle="1" w:styleId="26">
    <w:name w:val="标题 1 字符"/>
    <w:basedOn w:val="21"/>
    <w:link w:val="2"/>
    <w:qFormat/>
    <w:uiPriority w:val="9"/>
    <w:rPr>
      <w:rFonts w:ascii="Times New Roman" w:hAnsi="Times New Roman" w:eastAsia="宋体" w:cs="Times New Roman"/>
      <w:b/>
      <w:bCs/>
      <w:kern w:val="44"/>
      <w:sz w:val="44"/>
      <w:szCs w:val="44"/>
    </w:rPr>
  </w:style>
  <w:style w:type="character" w:customStyle="1" w:styleId="27">
    <w:name w:val="标题 2 字符"/>
    <w:basedOn w:val="21"/>
    <w:link w:val="3"/>
    <w:qFormat/>
    <w:uiPriority w:val="9"/>
    <w:rPr>
      <w:rFonts w:ascii="宋体" w:hAnsi="宋体" w:eastAsia="宋体" w:cs="宋体"/>
      <w:b/>
      <w:bCs/>
      <w:kern w:val="0"/>
      <w:sz w:val="36"/>
      <w:szCs w:val="36"/>
    </w:rPr>
  </w:style>
  <w:style w:type="character" w:customStyle="1" w:styleId="28">
    <w:name w:val="标题 3 字符"/>
    <w:basedOn w:val="21"/>
    <w:link w:val="4"/>
    <w:qFormat/>
    <w:uiPriority w:val="9"/>
    <w:rPr>
      <w:b/>
      <w:bCs/>
      <w:sz w:val="32"/>
      <w:szCs w:val="32"/>
    </w:rPr>
  </w:style>
  <w:style w:type="character" w:customStyle="1" w:styleId="29">
    <w:name w:val="标题 4 字符"/>
    <w:basedOn w:val="21"/>
    <w:link w:val="5"/>
    <w:qFormat/>
    <w:uiPriority w:val="9"/>
    <w:rPr>
      <w:rFonts w:asciiTheme="majorHAnsi" w:hAnsiTheme="majorHAnsi" w:eastAsiaTheme="majorEastAsia" w:cstheme="majorBidi"/>
      <w:b/>
      <w:bCs/>
      <w:sz w:val="28"/>
      <w:szCs w:val="28"/>
    </w:rPr>
  </w:style>
  <w:style w:type="character" w:customStyle="1" w:styleId="30">
    <w:name w:val="标题 5 字符"/>
    <w:basedOn w:val="21"/>
    <w:link w:val="6"/>
    <w:semiHidden/>
    <w:qFormat/>
    <w:uiPriority w:val="9"/>
    <w:rPr>
      <w:b/>
      <w:bCs/>
      <w:sz w:val="28"/>
      <w:szCs w:val="28"/>
    </w:rPr>
  </w:style>
  <w:style w:type="character" w:customStyle="1" w:styleId="31">
    <w:name w:val="标题 6 字符"/>
    <w:basedOn w:val="21"/>
    <w:link w:val="7"/>
    <w:semiHidden/>
    <w:qFormat/>
    <w:uiPriority w:val="9"/>
    <w:rPr>
      <w:rFonts w:asciiTheme="majorHAnsi" w:hAnsiTheme="majorHAnsi" w:eastAsiaTheme="majorEastAsia" w:cstheme="majorBidi"/>
      <w:b/>
      <w:bCs/>
      <w:sz w:val="24"/>
      <w:szCs w:val="24"/>
    </w:rPr>
  </w:style>
  <w:style w:type="character" w:customStyle="1" w:styleId="32">
    <w:name w:val="页眉 字符"/>
    <w:basedOn w:val="21"/>
    <w:link w:val="14"/>
    <w:qFormat/>
    <w:uiPriority w:val="99"/>
    <w:rPr>
      <w:sz w:val="18"/>
      <w:szCs w:val="18"/>
    </w:rPr>
  </w:style>
  <w:style w:type="character" w:customStyle="1" w:styleId="33">
    <w:name w:val="页脚 字符"/>
    <w:basedOn w:val="21"/>
    <w:link w:val="13"/>
    <w:qFormat/>
    <w:uiPriority w:val="99"/>
    <w:rPr>
      <w:sz w:val="18"/>
      <w:szCs w:val="18"/>
    </w:rPr>
  </w:style>
  <w:style w:type="character" w:customStyle="1" w:styleId="34">
    <w:name w:val="批注框文本 字符"/>
    <w:basedOn w:val="21"/>
    <w:link w:val="12"/>
    <w:semiHidden/>
    <w:qFormat/>
    <w:uiPriority w:val="99"/>
    <w:rPr>
      <w:rFonts w:ascii="Times New Roman" w:hAnsi="Times New Roman" w:eastAsia="宋体" w:cs="Times New Roman"/>
      <w:sz w:val="18"/>
      <w:szCs w:val="18"/>
    </w:rPr>
  </w:style>
  <w:style w:type="character" w:customStyle="1" w:styleId="35">
    <w:name w:val="apple-converted-space"/>
    <w:basedOn w:val="21"/>
    <w:qFormat/>
    <w:uiPriority w:val="0"/>
  </w:style>
  <w:style w:type="paragraph" w:styleId="36">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37">
    <w:name w:val="article-author"/>
    <w:basedOn w:val="1"/>
    <w:qFormat/>
    <w:uiPriority w:val="0"/>
    <w:pPr>
      <w:widowControl/>
      <w:spacing w:before="100" w:beforeAutospacing="1" w:after="100" w:afterAutospacing="1"/>
      <w:jc w:val="left"/>
    </w:pPr>
    <w:rPr>
      <w:rFonts w:ascii="宋体" w:hAnsi="宋体" w:cs="宋体"/>
      <w:kern w:val="0"/>
      <w:sz w:val="24"/>
    </w:rPr>
  </w:style>
  <w:style w:type="paragraph" w:customStyle="1" w:styleId="38">
    <w:name w:val="article-info-en"/>
    <w:basedOn w:val="1"/>
    <w:qFormat/>
    <w:uiPriority w:val="0"/>
    <w:pPr>
      <w:widowControl/>
      <w:spacing w:before="100" w:beforeAutospacing="1" w:after="100" w:afterAutospacing="1"/>
      <w:jc w:val="left"/>
    </w:pPr>
    <w:rPr>
      <w:rFonts w:ascii="宋体" w:hAnsi="宋体" w:cs="宋体"/>
      <w:kern w:val="0"/>
      <w:sz w:val="24"/>
    </w:rPr>
  </w:style>
  <w:style w:type="character" w:customStyle="1" w:styleId="39">
    <w:name w:val="xref"/>
    <w:basedOn w:val="21"/>
    <w:qFormat/>
    <w:uiPriority w:val="0"/>
  </w:style>
  <w:style w:type="character" w:customStyle="1" w:styleId="40">
    <w:name w:val="sec-title"/>
    <w:basedOn w:val="21"/>
    <w:qFormat/>
    <w:uiPriority w:val="0"/>
  </w:style>
  <w:style w:type="character" w:customStyle="1" w:styleId="41">
    <w:name w:val="tabletext"/>
    <w:basedOn w:val="21"/>
    <w:qFormat/>
    <w:uiPriority w:val="0"/>
  </w:style>
  <w:style w:type="character" w:customStyle="1" w:styleId="42">
    <w:name w:val="figtext"/>
    <w:basedOn w:val="21"/>
    <w:qFormat/>
    <w:uiPriority w:val="0"/>
  </w:style>
  <w:style w:type="paragraph" w:customStyle="1" w:styleId="43">
    <w:name w:val="img_tit"/>
    <w:basedOn w:val="1"/>
    <w:qFormat/>
    <w:uiPriority w:val="0"/>
    <w:pPr>
      <w:widowControl/>
      <w:spacing w:before="100" w:beforeAutospacing="1" w:after="100" w:afterAutospacing="1"/>
      <w:jc w:val="left"/>
    </w:pPr>
    <w:rPr>
      <w:rFonts w:ascii="宋体" w:hAnsi="宋体" w:cs="宋体"/>
      <w:kern w:val="0"/>
      <w:sz w:val="24"/>
    </w:rPr>
  </w:style>
  <w:style w:type="paragraph" w:customStyle="1" w:styleId="44">
    <w:name w:val="img_note"/>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rich_media_meta"/>
    <w:basedOn w:val="21"/>
    <w:qFormat/>
    <w:uiPriority w:val="0"/>
  </w:style>
  <w:style w:type="character" w:customStyle="1" w:styleId="46">
    <w:name w:val="keys"/>
    <w:basedOn w:val="21"/>
    <w:qFormat/>
    <w:uiPriority w:val="0"/>
  </w:style>
  <w:style w:type="character" w:customStyle="1" w:styleId="47">
    <w:name w:val="续段落 Char"/>
    <w:link w:val="48"/>
    <w:qFormat/>
    <w:uiPriority w:val="0"/>
    <w:rPr>
      <w:rFonts w:eastAsia="仿宋_GB2312"/>
      <w:color w:val="000000"/>
      <w:sz w:val="28"/>
      <w:szCs w:val="28"/>
    </w:rPr>
  </w:style>
  <w:style w:type="paragraph" w:customStyle="1" w:styleId="48">
    <w:name w:val="续段落"/>
    <w:basedOn w:val="1"/>
    <w:link w:val="47"/>
    <w:qFormat/>
    <w:uiPriority w:val="0"/>
    <w:pPr>
      <w:spacing w:line="500" w:lineRule="exact"/>
      <w:ind w:firstLine="561"/>
    </w:pPr>
    <w:rPr>
      <w:rFonts w:eastAsia="仿宋_GB2312" w:asciiTheme="minorHAnsi" w:hAnsiTheme="minorHAnsi" w:cstheme="minorBidi"/>
      <w:color w:val="000000"/>
      <w:sz w:val="28"/>
      <w:szCs w:val="28"/>
    </w:rPr>
  </w:style>
  <w:style w:type="character" w:customStyle="1" w:styleId="49">
    <w:name w:val="key_title"/>
    <w:basedOn w:val="21"/>
    <w:qFormat/>
    <w:uiPriority w:val="0"/>
  </w:style>
  <w:style w:type="character" w:customStyle="1" w:styleId="50">
    <w:name w:val="keyword"/>
    <w:basedOn w:val="21"/>
    <w:qFormat/>
    <w:uiPriority w:val="0"/>
  </w:style>
  <w:style w:type="character" w:customStyle="1" w:styleId="51">
    <w:name w:val="paragraph_title"/>
    <w:basedOn w:val="21"/>
    <w:qFormat/>
    <w:uiPriority w:val="0"/>
  </w:style>
  <w:style w:type="character" w:customStyle="1" w:styleId="52">
    <w:name w:val="题注1"/>
    <w:basedOn w:val="21"/>
    <w:qFormat/>
    <w:uiPriority w:val="0"/>
  </w:style>
  <w:style w:type="character" w:customStyle="1" w:styleId="53">
    <w:name w:val="outline_anchor"/>
    <w:basedOn w:val="21"/>
    <w:qFormat/>
    <w:uiPriority w:val="0"/>
  </w:style>
  <w:style w:type="character" w:customStyle="1" w:styleId="54">
    <w:name w:val="z-窗体顶端 字符"/>
    <w:basedOn w:val="21"/>
    <w:link w:val="55"/>
    <w:semiHidden/>
    <w:qFormat/>
    <w:uiPriority w:val="99"/>
    <w:rPr>
      <w:rFonts w:ascii="Arial" w:hAnsi="Arial" w:eastAsia="宋体" w:cs="Arial"/>
      <w:vanish/>
      <w:kern w:val="0"/>
      <w:sz w:val="16"/>
      <w:szCs w:val="16"/>
    </w:rPr>
  </w:style>
  <w:style w:type="paragraph" w:customStyle="1" w:styleId="55">
    <w:name w:val="z-窗体顶端1"/>
    <w:basedOn w:val="1"/>
    <w:next w:val="1"/>
    <w:link w:val="54"/>
    <w:semiHidden/>
    <w:unhideWhenUsed/>
    <w:qFormat/>
    <w:uiPriority w:val="99"/>
    <w:pPr>
      <w:widowControl/>
      <w:pBdr>
        <w:bottom w:val="single" w:color="auto" w:sz="6" w:space="1"/>
      </w:pBdr>
      <w:jc w:val="center"/>
    </w:pPr>
    <w:rPr>
      <w:rFonts w:ascii="Arial" w:hAnsi="Arial" w:cs="Arial"/>
      <w:vanish/>
      <w:kern w:val="0"/>
      <w:sz w:val="16"/>
      <w:szCs w:val="16"/>
    </w:rPr>
  </w:style>
  <w:style w:type="character" w:customStyle="1" w:styleId="56">
    <w:name w:val="z-窗体顶端 Char1"/>
    <w:basedOn w:val="21"/>
    <w:semiHidden/>
    <w:qFormat/>
    <w:uiPriority w:val="99"/>
    <w:rPr>
      <w:rFonts w:ascii="Arial" w:hAnsi="Arial" w:eastAsia="宋体" w:cs="Arial"/>
      <w:vanish/>
      <w:sz w:val="16"/>
      <w:szCs w:val="16"/>
    </w:rPr>
  </w:style>
  <w:style w:type="character" w:customStyle="1" w:styleId="57">
    <w:name w:val="z-窗体底端 字符"/>
    <w:basedOn w:val="21"/>
    <w:link w:val="58"/>
    <w:semiHidden/>
    <w:qFormat/>
    <w:uiPriority w:val="99"/>
    <w:rPr>
      <w:rFonts w:ascii="Arial" w:hAnsi="Arial" w:eastAsia="宋体" w:cs="Arial"/>
      <w:vanish/>
      <w:kern w:val="0"/>
      <w:sz w:val="16"/>
      <w:szCs w:val="16"/>
    </w:rPr>
  </w:style>
  <w:style w:type="paragraph" w:customStyle="1" w:styleId="58">
    <w:name w:val="z-窗体底端1"/>
    <w:basedOn w:val="1"/>
    <w:next w:val="1"/>
    <w:link w:val="57"/>
    <w:semiHidden/>
    <w:unhideWhenUsed/>
    <w:qFormat/>
    <w:uiPriority w:val="99"/>
    <w:pPr>
      <w:widowControl/>
      <w:pBdr>
        <w:top w:val="single" w:color="auto" w:sz="6" w:space="1"/>
      </w:pBdr>
      <w:jc w:val="center"/>
    </w:pPr>
    <w:rPr>
      <w:rFonts w:ascii="Arial" w:hAnsi="Arial" w:cs="Arial"/>
      <w:vanish/>
      <w:kern w:val="0"/>
      <w:sz w:val="16"/>
      <w:szCs w:val="16"/>
    </w:rPr>
  </w:style>
  <w:style w:type="character" w:customStyle="1" w:styleId="59">
    <w:name w:val="z-窗体底端 Char1"/>
    <w:basedOn w:val="21"/>
    <w:semiHidden/>
    <w:qFormat/>
    <w:uiPriority w:val="99"/>
    <w:rPr>
      <w:rFonts w:ascii="Arial" w:hAnsi="Arial" w:eastAsia="宋体" w:cs="Arial"/>
      <w:vanish/>
      <w:sz w:val="16"/>
      <w:szCs w:val="16"/>
    </w:rPr>
  </w:style>
  <w:style w:type="paragraph" w:customStyle="1" w:styleId="60">
    <w:name w:val="reader-word-layer reader-word-s2-16"/>
    <w:basedOn w:val="1"/>
    <w:qFormat/>
    <w:uiPriority w:val="0"/>
    <w:pPr>
      <w:widowControl/>
      <w:spacing w:before="100" w:beforeAutospacing="1" w:after="100" w:afterAutospacing="1"/>
      <w:jc w:val="left"/>
    </w:pPr>
    <w:rPr>
      <w:rFonts w:ascii="宋体" w:hAnsi="宋体" w:cs="宋体"/>
      <w:kern w:val="0"/>
      <w:sz w:val="24"/>
    </w:rPr>
  </w:style>
  <w:style w:type="character" w:customStyle="1" w:styleId="61">
    <w:name w:val="bjh-p"/>
    <w:basedOn w:val="21"/>
    <w:qFormat/>
    <w:uiPriority w:val="0"/>
  </w:style>
  <w:style w:type="character" w:customStyle="1" w:styleId="62">
    <w:name w:val="bjh-strong"/>
    <w:basedOn w:val="21"/>
    <w:qFormat/>
    <w:uiPriority w:val="0"/>
  </w:style>
  <w:style w:type="character" w:customStyle="1" w:styleId="63">
    <w:name w:val="author_cn"/>
    <w:basedOn w:val="21"/>
    <w:qFormat/>
    <w:uiPriority w:val="0"/>
  </w:style>
  <w:style w:type="character" w:customStyle="1" w:styleId="64">
    <w:name w:val="author_en"/>
    <w:basedOn w:val="21"/>
    <w:qFormat/>
    <w:uiPriority w:val="0"/>
  </w:style>
  <w:style w:type="character" w:customStyle="1" w:styleId="65">
    <w:name w:val="题注2"/>
    <w:basedOn w:val="21"/>
    <w:qFormat/>
    <w:uiPriority w:val="0"/>
  </w:style>
  <w:style w:type="character" w:customStyle="1" w:styleId="66">
    <w:name w:val="tabtext"/>
    <w:basedOn w:val="21"/>
    <w:qFormat/>
    <w:uiPriority w:val="0"/>
  </w:style>
  <w:style w:type="character" w:customStyle="1" w:styleId="67">
    <w:name w:val="mathjax_preview"/>
    <w:basedOn w:val="21"/>
    <w:qFormat/>
    <w:uiPriority w:val="0"/>
  </w:style>
  <w:style w:type="character" w:customStyle="1" w:styleId="68">
    <w:name w:val="mathjax"/>
    <w:basedOn w:val="21"/>
    <w:qFormat/>
    <w:uiPriority w:val="0"/>
  </w:style>
  <w:style w:type="character" w:customStyle="1" w:styleId="69">
    <w:name w:val="math"/>
    <w:basedOn w:val="21"/>
    <w:qFormat/>
    <w:uiPriority w:val="0"/>
  </w:style>
  <w:style w:type="character" w:customStyle="1" w:styleId="70">
    <w:name w:val="mrow"/>
    <w:basedOn w:val="21"/>
    <w:qFormat/>
    <w:uiPriority w:val="0"/>
  </w:style>
  <w:style w:type="character" w:customStyle="1" w:styleId="71">
    <w:name w:val="mtable"/>
    <w:basedOn w:val="21"/>
    <w:qFormat/>
    <w:uiPriority w:val="0"/>
  </w:style>
  <w:style w:type="character" w:customStyle="1" w:styleId="72">
    <w:name w:val="mtd"/>
    <w:basedOn w:val="21"/>
    <w:qFormat/>
    <w:uiPriority w:val="0"/>
  </w:style>
  <w:style w:type="character" w:customStyle="1" w:styleId="73">
    <w:name w:val="texatom"/>
    <w:basedOn w:val="21"/>
    <w:qFormat/>
    <w:uiPriority w:val="0"/>
  </w:style>
  <w:style w:type="character" w:customStyle="1" w:styleId="74">
    <w:name w:val="mi"/>
    <w:basedOn w:val="21"/>
    <w:qFormat/>
    <w:uiPriority w:val="0"/>
  </w:style>
  <w:style w:type="character" w:customStyle="1" w:styleId="75">
    <w:name w:val="mo"/>
    <w:basedOn w:val="21"/>
    <w:qFormat/>
    <w:uiPriority w:val="0"/>
  </w:style>
  <w:style w:type="character" w:customStyle="1" w:styleId="76">
    <w:name w:val="msubsup"/>
    <w:basedOn w:val="21"/>
    <w:qFormat/>
    <w:uiPriority w:val="0"/>
  </w:style>
  <w:style w:type="character" w:customStyle="1" w:styleId="77">
    <w:name w:val="mn"/>
    <w:basedOn w:val="21"/>
    <w:qFormat/>
    <w:uiPriority w:val="0"/>
  </w:style>
  <w:style w:type="character" w:customStyle="1" w:styleId="78">
    <w:name w:val="mjx_assistive_mathml"/>
    <w:basedOn w:val="21"/>
    <w:qFormat/>
    <w:uiPriority w:val="0"/>
  </w:style>
  <w:style w:type="character" w:customStyle="1" w:styleId="79">
    <w:name w:val="日期 字符"/>
    <w:basedOn w:val="21"/>
    <w:link w:val="10"/>
    <w:semiHidden/>
    <w:qFormat/>
    <w:uiPriority w:val="99"/>
    <w:rPr>
      <w:rFonts w:ascii="Times New Roman" w:hAnsi="Times New Roman" w:eastAsia="宋体" w:cs="Times New Roman"/>
      <w:szCs w:val="24"/>
    </w:rPr>
  </w:style>
  <w:style w:type="paragraph" w:customStyle="1" w:styleId="8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81">
    <w:name w:val="custom_unionstyle"/>
    <w:basedOn w:val="1"/>
    <w:qFormat/>
    <w:uiPriority w:val="0"/>
    <w:pPr>
      <w:widowControl/>
      <w:spacing w:before="100" w:beforeAutospacing="1" w:after="100" w:afterAutospacing="1"/>
      <w:jc w:val="left"/>
    </w:pPr>
    <w:rPr>
      <w:rFonts w:ascii="宋体" w:hAnsi="宋体" w:cs="宋体"/>
      <w:kern w:val="0"/>
      <w:sz w:val="24"/>
    </w:rPr>
  </w:style>
  <w:style w:type="paragraph" w:customStyle="1" w:styleId="82">
    <w:name w:val="li-pdf"/>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li-excel"/>
    <w:basedOn w:val="1"/>
    <w:qFormat/>
    <w:uiPriority w:val="0"/>
    <w:pPr>
      <w:widowControl/>
      <w:spacing w:before="100" w:beforeAutospacing="1" w:after="100" w:afterAutospacing="1"/>
      <w:jc w:val="left"/>
    </w:pPr>
    <w:rPr>
      <w:rFonts w:ascii="宋体" w:hAnsi="宋体" w:cs="宋体"/>
      <w:kern w:val="0"/>
      <w:sz w:val="24"/>
    </w:rPr>
  </w:style>
  <w:style w:type="paragraph" w:customStyle="1" w:styleId="84">
    <w:name w:val="li-xml"/>
    <w:basedOn w:val="1"/>
    <w:qFormat/>
    <w:uiPriority w:val="0"/>
    <w:pPr>
      <w:widowControl/>
      <w:spacing w:before="100" w:beforeAutospacing="1" w:after="100" w:afterAutospacing="1"/>
      <w:jc w:val="left"/>
    </w:pPr>
    <w:rPr>
      <w:rFonts w:ascii="宋体" w:hAnsi="宋体" w:cs="宋体"/>
      <w:kern w:val="0"/>
      <w:sz w:val="24"/>
    </w:rPr>
  </w:style>
  <w:style w:type="character" w:customStyle="1" w:styleId="85">
    <w:name w:val="maincolor"/>
    <w:basedOn w:val="21"/>
    <w:qFormat/>
    <w:uiPriority w:val="0"/>
  </w:style>
  <w:style w:type="paragraph" w:customStyle="1" w:styleId="86">
    <w:name w:val="article_ceil_title"/>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article_ceil_author"/>
    <w:basedOn w:val="1"/>
    <w:qFormat/>
    <w:uiPriority w:val="0"/>
    <w:pPr>
      <w:widowControl/>
      <w:spacing w:before="100" w:beforeAutospacing="1" w:after="100" w:afterAutospacing="1"/>
      <w:jc w:val="left"/>
    </w:pPr>
    <w:rPr>
      <w:rFonts w:ascii="宋体" w:hAnsi="宋体" w:cs="宋体"/>
      <w:kern w:val="0"/>
      <w:sz w:val="24"/>
    </w:rPr>
  </w:style>
  <w:style w:type="paragraph" w:customStyle="1" w:styleId="88">
    <w:name w:val="articletool_li1"/>
    <w:basedOn w:val="1"/>
    <w:qFormat/>
    <w:uiPriority w:val="0"/>
    <w:pPr>
      <w:widowControl/>
      <w:spacing w:before="100" w:beforeAutospacing="1" w:after="100" w:afterAutospacing="1"/>
      <w:jc w:val="left"/>
    </w:pPr>
    <w:rPr>
      <w:rFonts w:ascii="宋体" w:hAnsi="宋体" w:cs="宋体"/>
      <w:kern w:val="0"/>
      <w:sz w:val="24"/>
    </w:rPr>
  </w:style>
  <w:style w:type="paragraph" w:customStyle="1" w:styleId="89">
    <w:name w:val="articletool_li2"/>
    <w:basedOn w:val="1"/>
    <w:qFormat/>
    <w:uiPriority w:val="0"/>
    <w:pPr>
      <w:widowControl/>
      <w:spacing w:before="100" w:beforeAutospacing="1" w:after="100" w:afterAutospacing="1"/>
      <w:jc w:val="left"/>
    </w:pPr>
    <w:rPr>
      <w:rFonts w:ascii="宋体" w:hAnsi="宋体" w:cs="宋体"/>
      <w:kern w:val="0"/>
      <w:sz w:val="24"/>
    </w:rPr>
  </w:style>
  <w:style w:type="paragraph" w:customStyle="1" w:styleId="90">
    <w:name w:val="articletool_li3"/>
    <w:basedOn w:val="1"/>
    <w:qFormat/>
    <w:uiPriority w:val="0"/>
    <w:pPr>
      <w:widowControl/>
      <w:spacing w:before="100" w:beforeAutospacing="1" w:after="100" w:afterAutospacing="1"/>
      <w:jc w:val="left"/>
    </w:pPr>
    <w:rPr>
      <w:rFonts w:ascii="宋体" w:hAnsi="宋体" w:cs="宋体"/>
      <w:kern w:val="0"/>
      <w:sz w:val="24"/>
    </w:rPr>
  </w:style>
  <w:style w:type="paragraph" w:customStyle="1" w:styleId="91">
    <w:name w:val="figtabspan"/>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info"/>
    <w:basedOn w:val="21"/>
    <w:qFormat/>
    <w:uiPriority w:val="0"/>
  </w:style>
  <w:style w:type="character" w:customStyle="1" w:styleId="93">
    <w:name w:val="infoen"/>
    <w:basedOn w:val="21"/>
    <w:qFormat/>
    <w:uiPriority w:val="0"/>
  </w:style>
  <w:style w:type="character" w:customStyle="1" w:styleId="94">
    <w:name w:val="rich_media_meta_link"/>
    <w:basedOn w:val="21"/>
    <w:qFormat/>
    <w:uiPriority w:val="0"/>
  </w:style>
  <w:style w:type="character" w:customStyle="1" w:styleId="95">
    <w:name w:val="source"/>
    <w:basedOn w:val="21"/>
    <w:qFormat/>
    <w:uiPriority w:val="0"/>
  </w:style>
  <w:style w:type="paragraph" w:customStyle="1" w:styleId="96">
    <w:name w:val="one-p"/>
    <w:basedOn w:val="1"/>
    <w:qFormat/>
    <w:uiPriority w:val="0"/>
    <w:pPr>
      <w:widowControl/>
      <w:spacing w:before="100" w:beforeAutospacing="1" w:after="100" w:afterAutospacing="1"/>
      <w:jc w:val="left"/>
    </w:pPr>
    <w:rPr>
      <w:rFonts w:ascii="宋体" w:hAnsi="宋体" w:cs="宋体"/>
      <w:kern w:val="0"/>
      <w:sz w:val="24"/>
    </w:rPr>
  </w:style>
  <w:style w:type="character" w:customStyle="1" w:styleId="97">
    <w:name w:val="vm"/>
    <w:basedOn w:val="21"/>
    <w:qFormat/>
    <w:uiPriority w:val="0"/>
  </w:style>
  <w:style w:type="character" w:customStyle="1" w:styleId="98">
    <w:name w:val="article_title3"/>
    <w:basedOn w:val="21"/>
    <w:qFormat/>
    <w:uiPriority w:val="0"/>
  </w:style>
  <w:style w:type="character" w:customStyle="1" w:styleId="99">
    <w:name w:val="正文文本 字符"/>
    <w:basedOn w:val="21"/>
    <w:link w:val="9"/>
    <w:qFormat/>
    <w:uiPriority w:val="1"/>
    <w:rPr>
      <w:rFonts w:ascii="Times New Roman" w:hAnsi="Times New Roman" w:eastAsia="Times New Roman" w:cs="Times New Roman"/>
      <w:kern w:val="0"/>
      <w:sz w:val="17"/>
      <w:szCs w:val="17"/>
      <w:lang w:eastAsia="en-US" w:bidi="en-US"/>
    </w:rPr>
  </w:style>
  <w:style w:type="paragraph" w:customStyle="1" w:styleId="100">
    <w:name w:val="Table Paragraph"/>
    <w:basedOn w:val="1"/>
    <w:qFormat/>
    <w:uiPriority w:val="1"/>
    <w:pPr>
      <w:autoSpaceDE w:val="0"/>
      <w:autoSpaceDN w:val="0"/>
      <w:spacing w:before="46"/>
      <w:jc w:val="center"/>
    </w:pPr>
    <w:rPr>
      <w:rFonts w:eastAsia="Times New Roman"/>
      <w:kern w:val="0"/>
      <w:sz w:val="22"/>
      <w:szCs w:val="22"/>
      <w:lang w:eastAsia="en-US" w:bidi="en-US"/>
    </w:rPr>
  </w:style>
  <w:style w:type="paragraph" w:customStyle="1" w:styleId="101">
    <w:name w:val="pic_center"/>
    <w:basedOn w:val="1"/>
    <w:qFormat/>
    <w:uiPriority w:val="0"/>
    <w:pPr>
      <w:widowControl/>
      <w:spacing w:before="100" w:beforeAutospacing="1" w:after="100" w:afterAutospacing="1"/>
      <w:jc w:val="left"/>
    </w:pPr>
    <w:rPr>
      <w:rFonts w:ascii="宋体" w:hAnsi="宋体" w:cs="宋体"/>
      <w:kern w:val="0"/>
      <w:sz w:val="24"/>
    </w:rPr>
  </w:style>
  <w:style w:type="character" w:customStyle="1" w:styleId="102">
    <w:name w:val="anchor-a"/>
    <w:basedOn w:val="21"/>
    <w:qFormat/>
    <w:uiPriority w:val="0"/>
  </w:style>
  <w:style w:type="character" w:customStyle="1" w:styleId="103">
    <w:name w:val="未处理的提及1"/>
    <w:basedOn w:val="21"/>
    <w:semiHidden/>
    <w:unhideWhenUsed/>
    <w:qFormat/>
    <w:uiPriority w:val="99"/>
    <w:rPr>
      <w:color w:val="605E5C"/>
      <w:shd w:val="clear" w:color="auto" w:fill="E1DFDD"/>
    </w:rPr>
  </w:style>
  <w:style w:type="paragraph" w:styleId="10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105">
    <w:name w:val="s1"/>
    <w:basedOn w:val="1"/>
    <w:qFormat/>
    <w:uiPriority w:val="0"/>
    <w:pPr>
      <w:widowControl/>
      <w:spacing w:before="100" w:beforeAutospacing="1" w:after="100" w:afterAutospacing="1"/>
      <w:jc w:val="left"/>
    </w:pPr>
    <w:rPr>
      <w:rFonts w:ascii="宋体" w:hAnsi="宋体" w:cs="宋体"/>
      <w:kern w:val="0"/>
      <w:sz w:val="24"/>
    </w:rPr>
  </w:style>
  <w:style w:type="character" w:customStyle="1" w:styleId="106">
    <w:name w:val="s2"/>
    <w:basedOn w:val="21"/>
    <w:qFormat/>
    <w:uiPriority w:val="0"/>
  </w:style>
  <w:style w:type="character" w:customStyle="1" w:styleId="107">
    <w:name w:val="s3"/>
    <w:basedOn w:val="21"/>
    <w:qFormat/>
    <w:uiPriority w:val="0"/>
  </w:style>
  <w:style w:type="paragraph" w:customStyle="1" w:styleId="108">
    <w:name w:val="s4"/>
    <w:basedOn w:val="1"/>
    <w:qFormat/>
    <w:uiPriority w:val="0"/>
    <w:pPr>
      <w:widowControl/>
      <w:spacing w:before="100" w:beforeAutospacing="1" w:after="100" w:afterAutospacing="1"/>
      <w:jc w:val="left"/>
    </w:pPr>
    <w:rPr>
      <w:rFonts w:ascii="宋体" w:hAnsi="宋体" w:cs="宋体"/>
      <w:kern w:val="0"/>
      <w:sz w:val="24"/>
    </w:rPr>
  </w:style>
  <w:style w:type="character" w:customStyle="1" w:styleId="109">
    <w:name w:val="s5"/>
    <w:basedOn w:val="21"/>
    <w:qFormat/>
    <w:uiPriority w:val="0"/>
  </w:style>
  <w:style w:type="character" w:customStyle="1" w:styleId="110">
    <w:name w:val="s6"/>
    <w:basedOn w:val="21"/>
    <w:qFormat/>
    <w:uiPriority w:val="0"/>
  </w:style>
  <w:style w:type="character" w:customStyle="1" w:styleId="111">
    <w:name w:val="p"/>
    <w:basedOn w:val="21"/>
    <w:qFormat/>
    <w:uiPriority w:val="0"/>
  </w:style>
  <w:style w:type="paragraph" w:customStyle="1" w:styleId="112">
    <w:name w:val="s7"/>
    <w:basedOn w:val="1"/>
    <w:qFormat/>
    <w:uiPriority w:val="0"/>
    <w:pPr>
      <w:widowControl/>
      <w:spacing w:before="100" w:beforeAutospacing="1" w:after="100" w:afterAutospacing="1"/>
      <w:jc w:val="left"/>
    </w:pPr>
    <w:rPr>
      <w:rFonts w:ascii="宋体" w:hAnsi="宋体" w:cs="宋体"/>
      <w:kern w:val="0"/>
      <w:sz w:val="24"/>
    </w:rPr>
  </w:style>
  <w:style w:type="character" w:customStyle="1" w:styleId="113">
    <w:name w:val="s41"/>
    <w:basedOn w:val="21"/>
    <w:qFormat/>
    <w:uiPriority w:val="0"/>
  </w:style>
  <w:style w:type="character" w:customStyle="1" w:styleId="114">
    <w:name w:val="h2"/>
    <w:basedOn w:val="21"/>
    <w:qFormat/>
    <w:uiPriority w:val="0"/>
  </w:style>
  <w:style w:type="paragraph" w:customStyle="1" w:styleId="115">
    <w:name w:val="s10"/>
    <w:basedOn w:val="1"/>
    <w:qFormat/>
    <w:uiPriority w:val="0"/>
    <w:pPr>
      <w:widowControl/>
      <w:spacing w:before="100" w:beforeAutospacing="1" w:after="100" w:afterAutospacing="1"/>
      <w:jc w:val="left"/>
    </w:pPr>
    <w:rPr>
      <w:rFonts w:ascii="宋体" w:hAnsi="宋体" w:cs="宋体"/>
      <w:kern w:val="0"/>
      <w:sz w:val="24"/>
    </w:rPr>
  </w:style>
  <w:style w:type="paragraph" w:customStyle="1" w:styleId="116">
    <w:name w:val="s9"/>
    <w:basedOn w:val="1"/>
    <w:qFormat/>
    <w:uiPriority w:val="0"/>
    <w:pPr>
      <w:widowControl/>
      <w:spacing w:before="100" w:beforeAutospacing="1" w:after="100" w:afterAutospacing="1"/>
      <w:jc w:val="left"/>
    </w:pPr>
    <w:rPr>
      <w:rFonts w:ascii="宋体" w:hAnsi="宋体" w:cs="宋体"/>
      <w:kern w:val="0"/>
      <w:sz w:val="24"/>
    </w:rPr>
  </w:style>
  <w:style w:type="character" w:customStyle="1" w:styleId="117">
    <w:name w:val="s11"/>
    <w:basedOn w:val="21"/>
    <w:qFormat/>
    <w:uiPriority w:val="0"/>
  </w:style>
  <w:style w:type="paragraph" w:customStyle="1" w:styleId="118">
    <w:name w:val="s14"/>
    <w:basedOn w:val="1"/>
    <w:qFormat/>
    <w:uiPriority w:val="0"/>
    <w:pPr>
      <w:widowControl/>
      <w:spacing w:before="100" w:beforeAutospacing="1" w:after="100" w:afterAutospacing="1"/>
      <w:jc w:val="left"/>
    </w:pPr>
    <w:rPr>
      <w:rFonts w:ascii="宋体" w:hAnsi="宋体" w:cs="宋体"/>
      <w:kern w:val="0"/>
      <w:sz w:val="24"/>
    </w:rPr>
  </w:style>
  <w:style w:type="character" w:customStyle="1" w:styleId="119">
    <w:name w:val="s12"/>
    <w:basedOn w:val="21"/>
    <w:qFormat/>
    <w:uiPriority w:val="0"/>
  </w:style>
  <w:style w:type="character" w:customStyle="1" w:styleId="120">
    <w:name w:val="s13"/>
    <w:basedOn w:val="21"/>
    <w:qFormat/>
    <w:uiPriority w:val="0"/>
  </w:style>
  <w:style w:type="paragraph" w:customStyle="1" w:styleId="121">
    <w:name w:val="s131"/>
    <w:basedOn w:val="1"/>
    <w:qFormat/>
    <w:uiPriority w:val="0"/>
    <w:pPr>
      <w:widowControl/>
      <w:spacing w:before="100" w:beforeAutospacing="1" w:after="100" w:afterAutospacing="1"/>
      <w:jc w:val="left"/>
    </w:pPr>
    <w:rPr>
      <w:rFonts w:ascii="宋体" w:hAnsi="宋体" w:cs="宋体"/>
      <w:kern w:val="0"/>
      <w:sz w:val="24"/>
    </w:rPr>
  </w:style>
  <w:style w:type="character" w:customStyle="1" w:styleId="122">
    <w:name w:val="h4"/>
    <w:basedOn w:val="21"/>
    <w:qFormat/>
    <w:uiPriority w:val="0"/>
  </w:style>
  <w:style w:type="character" w:customStyle="1" w:styleId="123">
    <w:name w:val="s141"/>
    <w:basedOn w:val="21"/>
    <w:qFormat/>
    <w:uiPriority w:val="0"/>
  </w:style>
  <w:style w:type="paragraph" w:customStyle="1" w:styleId="124">
    <w:name w:val="s12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s16"/>
    <w:basedOn w:val="1"/>
    <w:qFormat/>
    <w:uiPriority w:val="0"/>
    <w:pPr>
      <w:widowControl/>
      <w:spacing w:before="100" w:beforeAutospacing="1" w:after="100" w:afterAutospacing="1"/>
      <w:jc w:val="left"/>
    </w:pPr>
    <w:rPr>
      <w:rFonts w:ascii="宋体" w:hAnsi="宋体" w:cs="宋体"/>
      <w:kern w:val="0"/>
      <w:sz w:val="24"/>
    </w:rPr>
  </w:style>
  <w:style w:type="character" w:customStyle="1" w:styleId="126">
    <w:name w:val="s17"/>
    <w:basedOn w:val="21"/>
    <w:qFormat/>
    <w:uiPriority w:val="0"/>
  </w:style>
  <w:style w:type="character" w:customStyle="1" w:styleId="127">
    <w:name w:val="s18"/>
    <w:basedOn w:val="21"/>
    <w:qFormat/>
    <w:uiPriority w:val="0"/>
  </w:style>
  <w:style w:type="character" w:customStyle="1" w:styleId="128">
    <w:name w:val="s19"/>
    <w:basedOn w:val="21"/>
    <w:qFormat/>
    <w:uiPriority w:val="0"/>
  </w:style>
  <w:style w:type="character" w:customStyle="1" w:styleId="129">
    <w:name w:val="s20"/>
    <w:basedOn w:val="21"/>
    <w:qFormat/>
    <w:uiPriority w:val="0"/>
  </w:style>
  <w:style w:type="character" w:customStyle="1" w:styleId="130">
    <w:name w:val="s21"/>
    <w:basedOn w:val="21"/>
    <w:qFormat/>
    <w:uiPriority w:val="0"/>
  </w:style>
  <w:style w:type="paragraph" w:customStyle="1" w:styleId="131">
    <w:name w:val="s22"/>
    <w:basedOn w:val="1"/>
    <w:qFormat/>
    <w:uiPriority w:val="0"/>
    <w:pPr>
      <w:widowControl/>
      <w:spacing w:before="100" w:beforeAutospacing="1" w:after="100" w:afterAutospacing="1"/>
      <w:jc w:val="left"/>
    </w:pPr>
    <w:rPr>
      <w:rFonts w:ascii="宋体" w:hAnsi="宋体" w:cs="宋体"/>
      <w:kern w:val="0"/>
      <w:sz w:val="24"/>
    </w:rPr>
  </w:style>
  <w:style w:type="character" w:customStyle="1" w:styleId="132">
    <w:name w:val="s23"/>
    <w:basedOn w:val="21"/>
    <w:qFormat/>
    <w:uiPriority w:val="0"/>
  </w:style>
  <w:style w:type="character" w:customStyle="1" w:styleId="133">
    <w:name w:val="s24"/>
    <w:basedOn w:val="21"/>
    <w:qFormat/>
    <w:uiPriority w:val="0"/>
  </w:style>
  <w:style w:type="paragraph" w:customStyle="1" w:styleId="134">
    <w:name w:val="s25"/>
    <w:basedOn w:val="1"/>
    <w:qFormat/>
    <w:uiPriority w:val="0"/>
    <w:pPr>
      <w:widowControl/>
      <w:spacing w:before="100" w:beforeAutospacing="1" w:after="100" w:afterAutospacing="1"/>
      <w:jc w:val="left"/>
    </w:pPr>
    <w:rPr>
      <w:rFonts w:ascii="宋体" w:hAnsi="宋体" w:cs="宋体"/>
      <w:kern w:val="0"/>
      <w:sz w:val="24"/>
    </w:rPr>
  </w:style>
  <w:style w:type="character" w:customStyle="1" w:styleId="135">
    <w:name w:val="s221"/>
    <w:basedOn w:val="21"/>
    <w:qFormat/>
    <w:uiPriority w:val="0"/>
  </w:style>
  <w:style w:type="paragraph" w:customStyle="1" w:styleId="136">
    <w:name w:val="s27"/>
    <w:basedOn w:val="1"/>
    <w:qFormat/>
    <w:uiPriority w:val="0"/>
    <w:pPr>
      <w:widowControl/>
      <w:spacing w:before="100" w:beforeAutospacing="1" w:after="100" w:afterAutospacing="1"/>
      <w:jc w:val="left"/>
    </w:pPr>
    <w:rPr>
      <w:rFonts w:ascii="宋体" w:hAnsi="宋体" w:cs="宋体"/>
      <w:kern w:val="0"/>
      <w:sz w:val="24"/>
    </w:rPr>
  </w:style>
  <w:style w:type="paragraph" w:customStyle="1" w:styleId="137">
    <w:name w:val="s28"/>
    <w:basedOn w:val="1"/>
    <w:qFormat/>
    <w:uiPriority w:val="0"/>
    <w:pPr>
      <w:widowControl/>
      <w:spacing w:before="100" w:beforeAutospacing="1" w:after="100" w:afterAutospacing="1"/>
      <w:jc w:val="left"/>
    </w:pPr>
    <w:rPr>
      <w:rFonts w:ascii="宋体" w:hAnsi="宋体" w:cs="宋体"/>
      <w:kern w:val="0"/>
      <w:sz w:val="24"/>
    </w:rPr>
  </w:style>
  <w:style w:type="character" w:customStyle="1" w:styleId="138">
    <w:name w:val="s30"/>
    <w:basedOn w:val="21"/>
    <w:qFormat/>
    <w:uiPriority w:val="0"/>
  </w:style>
  <w:style w:type="paragraph" w:customStyle="1" w:styleId="139">
    <w:name w:val="s17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0">
    <w:name w:val="s161"/>
    <w:basedOn w:val="21"/>
    <w:qFormat/>
    <w:uiPriority w:val="0"/>
  </w:style>
  <w:style w:type="paragraph" w:customStyle="1" w:styleId="141">
    <w:name w:val="s3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2">
    <w:name w:val="s32"/>
    <w:basedOn w:val="21"/>
    <w:qFormat/>
    <w:uiPriority w:val="0"/>
  </w:style>
  <w:style w:type="paragraph" w:customStyle="1" w:styleId="143">
    <w:name w:val="s33"/>
    <w:basedOn w:val="1"/>
    <w:qFormat/>
    <w:uiPriority w:val="0"/>
    <w:pPr>
      <w:widowControl/>
      <w:spacing w:before="100" w:beforeAutospacing="1" w:after="100" w:afterAutospacing="1"/>
      <w:jc w:val="left"/>
    </w:pPr>
    <w:rPr>
      <w:rFonts w:ascii="宋体" w:hAnsi="宋体" w:cs="宋体"/>
      <w:kern w:val="0"/>
      <w:sz w:val="24"/>
    </w:rPr>
  </w:style>
  <w:style w:type="paragraph" w:customStyle="1" w:styleId="144">
    <w:name w:val="s34"/>
    <w:basedOn w:val="1"/>
    <w:qFormat/>
    <w:uiPriority w:val="0"/>
    <w:pPr>
      <w:widowControl/>
      <w:spacing w:before="100" w:beforeAutospacing="1" w:after="100" w:afterAutospacing="1"/>
      <w:jc w:val="left"/>
    </w:pPr>
    <w:rPr>
      <w:rFonts w:ascii="宋体" w:hAnsi="宋体" w:cs="宋体"/>
      <w:kern w:val="0"/>
      <w:sz w:val="24"/>
    </w:rPr>
  </w:style>
  <w:style w:type="character" w:customStyle="1" w:styleId="145">
    <w:name w:val="s331"/>
    <w:basedOn w:val="21"/>
    <w:qFormat/>
    <w:uiPriority w:val="0"/>
  </w:style>
  <w:style w:type="character" w:customStyle="1" w:styleId="146">
    <w:name w:val="s35"/>
    <w:basedOn w:val="21"/>
    <w:qFormat/>
    <w:uiPriority w:val="0"/>
  </w:style>
  <w:style w:type="character" w:customStyle="1" w:styleId="147">
    <w:name w:val="s36"/>
    <w:basedOn w:val="21"/>
    <w:qFormat/>
    <w:uiPriority w:val="0"/>
  </w:style>
  <w:style w:type="character" w:customStyle="1" w:styleId="148">
    <w:name w:val="s37"/>
    <w:basedOn w:val="21"/>
    <w:qFormat/>
    <w:uiPriority w:val="0"/>
  </w:style>
  <w:style w:type="character" w:customStyle="1" w:styleId="149">
    <w:name w:val="s38"/>
    <w:basedOn w:val="21"/>
    <w:qFormat/>
    <w:uiPriority w:val="0"/>
  </w:style>
  <w:style w:type="character" w:customStyle="1" w:styleId="150">
    <w:name w:val="s39"/>
    <w:basedOn w:val="21"/>
    <w:qFormat/>
    <w:uiPriority w:val="0"/>
  </w:style>
  <w:style w:type="character" w:customStyle="1" w:styleId="151">
    <w:name w:val="s40"/>
    <w:basedOn w:val="21"/>
    <w:qFormat/>
    <w:uiPriority w:val="0"/>
  </w:style>
  <w:style w:type="paragraph" w:customStyle="1" w:styleId="152">
    <w:name w:val="s42"/>
    <w:basedOn w:val="1"/>
    <w:qFormat/>
    <w:uiPriority w:val="0"/>
    <w:pPr>
      <w:widowControl/>
      <w:spacing w:before="100" w:beforeAutospacing="1" w:after="100" w:afterAutospacing="1"/>
      <w:jc w:val="left"/>
    </w:pPr>
    <w:rPr>
      <w:rFonts w:ascii="宋体" w:hAnsi="宋体" w:cs="宋体"/>
      <w:kern w:val="0"/>
      <w:sz w:val="24"/>
    </w:rPr>
  </w:style>
  <w:style w:type="character" w:customStyle="1" w:styleId="153">
    <w:name w:val="s43"/>
    <w:basedOn w:val="21"/>
    <w:qFormat/>
    <w:uiPriority w:val="0"/>
  </w:style>
  <w:style w:type="character" w:customStyle="1" w:styleId="154">
    <w:name w:val="s341"/>
    <w:basedOn w:val="21"/>
    <w:qFormat/>
    <w:uiPriority w:val="0"/>
  </w:style>
  <w:style w:type="paragraph" w:customStyle="1" w:styleId="155">
    <w:name w:val="s44"/>
    <w:basedOn w:val="1"/>
    <w:qFormat/>
    <w:uiPriority w:val="0"/>
    <w:pPr>
      <w:widowControl/>
      <w:spacing w:before="100" w:beforeAutospacing="1" w:after="100" w:afterAutospacing="1"/>
      <w:jc w:val="left"/>
    </w:pPr>
    <w:rPr>
      <w:rFonts w:ascii="宋体" w:hAnsi="宋体" w:cs="宋体"/>
      <w:kern w:val="0"/>
      <w:sz w:val="24"/>
    </w:rPr>
  </w:style>
  <w:style w:type="character" w:customStyle="1" w:styleId="156">
    <w:name w:val="s45"/>
    <w:basedOn w:val="21"/>
    <w:qFormat/>
    <w:uiPriority w:val="0"/>
  </w:style>
  <w:style w:type="character" w:customStyle="1" w:styleId="157">
    <w:name w:val="s46"/>
    <w:basedOn w:val="21"/>
    <w:qFormat/>
    <w:uiPriority w:val="0"/>
  </w:style>
  <w:style w:type="character" w:customStyle="1" w:styleId="158">
    <w:name w:val="s47"/>
    <w:basedOn w:val="21"/>
    <w:qFormat/>
    <w:uiPriority w:val="0"/>
  </w:style>
  <w:style w:type="character" w:customStyle="1" w:styleId="159">
    <w:name w:val="s48"/>
    <w:basedOn w:val="21"/>
    <w:qFormat/>
    <w:uiPriority w:val="0"/>
  </w:style>
  <w:style w:type="character" w:customStyle="1" w:styleId="160">
    <w:name w:val="s29"/>
    <w:basedOn w:val="21"/>
    <w:qFormat/>
    <w:uiPriority w:val="0"/>
  </w:style>
  <w:style w:type="character" w:customStyle="1" w:styleId="161">
    <w:name w:val="s50"/>
    <w:basedOn w:val="21"/>
    <w:qFormat/>
    <w:uiPriority w:val="0"/>
  </w:style>
  <w:style w:type="paragraph" w:customStyle="1" w:styleId="162">
    <w:name w:val="s241"/>
    <w:basedOn w:val="1"/>
    <w:qFormat/>
    <w:uiPriority w:val="0"/>
    <w:pPr>
      <w:widowControl/>
      <w:spacing w:before="100" w:beforeAutospacing="1" w:after="100" w:afterAutospacing="1"/>
      <w:jc w:val="left"/>
    </w:pPr>
    <w:rPr>
      <w:rFonts w:ascii="宋体" w:hAnsi="宋体" w:cs="宋体"/>
      <w:kern w:val="0"/>
      <w:sz w:val="24"/>
    </w:rPr>
  </w:style>
  <w:style w:type="character" w:customStyle="1" w:styleId="163">
    <w:name w:val="s51"/>
    <w:basedOn w:val="21"/>
    <w:qFormat/>
    <w:uiPriority w:val="0"/>
  </w:style>
  <w:style w:type="paragraph" w:customStyle="1" w:styleId="164">
    <w:name w:val="s5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s52"/>
    <w:basedOn w:val="1"/>
    <w:qFormat/>
    <w:uiPriority w:val="0"/>
    <w:pPr>
      <w:widowControl/>
      <w:spacing w:before="100" w:beforeAutospacing="1" w:after="100" w:afterAutospacing="1"/>
      <w:jc w:val="left"/>
    </w:pPr>
    <w:rPr>
      <w:rFonts w:ascii="宋体" w:hAnsi="宋体" w:cs="宋体"/>
      <w:kern w:val="0"/>
      <w:sz w:val="24"/>
    </w:rPr>
  </w:style>
  <w:style w:type="character" w:customStyle="1" w:styleId="166">
    <w:name w:val="s53"/>
    <w:basedOn w:val="21"/>
    <w:qFormat/>
    <w:uiPriority w:val="0"/>
  </w:style>
  <w:style w:type="paragraph" w:customStyle="1" w:styleId="167">
    <w:name w:val="s531"/>
    <w:basedOn w:val="1"/>
    <w:qFormat/>
    <w:uiPriority w:val="0"/>
    <w:pPr>
      <w:widowControl/>
      <w:spacing w:before="100" w:beforeAutospacing="1" w:after="100" w:afterAutospacing="1"/>
      <w:jc w:val="left"/>
    </w:pPr>
    <w:rPr>
      <w:rFonts w:ascii="宋体" w:hAnsi="宋体" w:cs="宋体"/>
      <w:kern w:val="0"/>
      <w:sz w:val="24"/>
    </w:rPr>
  </w:style>
  <w:style w:type="character" w:customStyle="1" w:styleId="168">
    <w:name w:val="s521"/>
    <w:basedOn w:val="21"/>
    <w:qFormat/>
    <w:uiPriority w:val="0"/>
  </w:style>
  <w:style w:type="paragraph" w:customStyle="1" w:styleId="169">
    <w:name w:val="s501"/>
    <w:basedOn w:val="1"/>
    <w:qFormat/>
    <w:uiPriority w:val="0"/>
    <w:pPr>
      <w:widowControl/>
      <w:spacing w:before="100" w:beforeAutospacing="1" w:after="100" w:afterAutospacing="1"/>
      <w:jc w:val="left"/>
    </w:pPr>
    <w:rPr>
      <w:rFonts w:ascii="宋体" w:hAnsi="宋体" w:cs="宋体"/>
      <w:kern w:val="0"/>
      <w:sz w:val="24"/>
    </w:rPr>
  </w:style>
  <w:style w:type="paragraph" w:customStyle="1" w:styleId="170">
    <w:name w:val="s8"/>
    <w:basedOn w:val="1"/>
    <w:qFormat/>
    <w:uiPriority w:val="0"/>
    <w:pPr>
      <w:widowControl/>
      <w:spacing w:before="100" w:beforeAutospacing="1" w:after="100" w:afterAutospacing="1"/>
      <w:jc w:val="left"/>
    </w:pPr>
    <w:rPr>
      <w:rFonts w:ascii="宋体" w:hAnsi="宋体" w:cs="宋体"/>
      <w:kern w:val="0"/>
      <w:sz w:val="24"/>
    </w:rPr>
  </w:style>
  <w:style w:type="paragraph" w:customStyle="1" w:styleId="171">
    <w:name w:val="s15"/>
    <w:basedOn w:val="1"/>
    <w:qFormat/>
    <w:uiPriority w:val="0"/>
    <w:pPr>
      <w:widowControl/>
      <w:spacing w:before="100" w:beforeAutospacing="1" w:after="100" w:afterAutospacing="1"/>
      <w:jc w:val="left"/>
    </w:pPr>
    <w:rPr>
      <w:rFonts w:ascii="宋体" w:hAnsi="宋体" w:cs="宋体"/>
      <w:kern w:val="0"/>
      <w:sz w:val="24"/>
    </w:rPr>
  </w:style>
  <w:style w:type="character" w:customStyle="1" w:styleId="172">
    <w:name w:val="h3"/>
    <w:basedOn w:val="21"/>
    <w:qFormat/>
    <w:uiPriority w:val="0"/>
  </w:style>
  <w:style w:type="paragraph" w:customStyle="1" w:styleId="173">
    <w:name w:val="s61"/>
    <w:basedOn w:val="1"/>
    <w:qFormat/>
    <w:uiPriority w:val="0"/>
    <w:pPr>
      <w:widowControl/>
      <w:spacing w:before="100" w:beforeAutospacing="1" w:after="100" w:afterAutospacing="1"/>
      <w:jc w:val="left"/>
    </w:pPr>
    <w:rPr>
      <w:rFonts w:ascii="宋体" w:hAnsi="宋体" w:cs="宋体"/>
      <w:kern w:val="0"/>
      <w:sz w:val="24"/>
    </w:rPr>
  </w:style>
  <w:style w:type="character" w:customStyle="1" w:styleId="174">
    <w:name w:val="s26"/>
    <w:basedOn w:val="21"/>
    <w:qFormat/>
    <w:uiPriority w:val="0"/>
  </w:style>
  <w:style w:type="paragraph" w:customStyle="1" w:styleId="175">
    <w:name w:val="s261"/>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s291"/>
    <w:basedOn w:val="1"/>
    <w:qFormat/>
    <w:uiPriority w:val="0"/>
    <w:pPr>
      <w:widowControl/>
      <w:spacing w:before="100" w:beforeAutospacing="1" w:after="100" w:afterAutospacing="1"/>
      <w:jc w:val="left"/>
    </w:pPr>
    <w:rPr>
      <w:rFonts w:ascii="宋体" w:hAnsi="宋体" w:cs="宋体"/>
      <w:kern w:val="0"/>
      <w:sz w:val="24"/>
    </w:rPr>
  </w:style>
  <w:style w:type="character" w:customStyle="1" w:styleId="177">
    <w:name w:val="s281"/>
    <w:basedOn w:val="21"/>
    <w:qFormat/>
    <w:uiPriority w:val="0"/>
  </w:style>
  <w:style w:type="paragraph" w:customStyle="1" w:styleId="178">
    <w:name w:val="s2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79">
    <w:name w:val="s201"/>
    <w:basedOn w:val="1"/>
    <w:qFormat/>
    <w:uiPriority w:val="0"/>
    <w:pPr>
      <w:widowControl/>
      <w:spacing w:before="100" w:beforeAutospacing="1" w:after="100" w:afterAutospacing="1"/>
      <w:jc w:val="left"/>
    </w:pPr>
    <w:rPr>
      <w:rFonts w:ascii="宋体" w:hAnsi="宋体" w:cs="宋体"/>
      <w:kern w:val="0"/>
      <w:sz w:val="24"/>
    </w:rPr>
  </w:style>
  <w:style w:type="character" w:customStyle="1" w:styleId="180">
    <w:name w:val="s231"/>
    <w:basedOn w:val="21"/>
    <w:qFormat/>
    <w:uiPriority w:val="0"/>
  </w:style>
  <w:style w:type="character" w:customStyle="1" w:styleId="181">
    <w:name w:val="s271"/>
    <w:basedOn w:val="21"/>
    <w:qFormat/>
    <w:uiPriority w:val="0"/>
  </w:style>
  <w:style w:type="character" w:customStyle="1" w:styleId="182">
    <w:name w:val="s301"/>
    <w:basedOn w:val="21"/>
    <w:qFormat/>
    <w:uiPriority w:val="0"/>
  </w:style>
  <w:style w:type="character" w:customStyle="1" w:styleId="183">
    <w:name w:val="s351"/>
    <w:basedOn w:val="21"/>
    <w:qFormat/>
    <w:uiPriority w:val="0"/>
  </w:style>
  <w:style w:type="character" w:customStyle="1" w:styleId="184">
    <w:name w:val="fontstyle01"/>
    <w:basedOn w:val="21"/>
    <w:qFormat/>
    <w:uiPriority w:val="0"/>
    <w:rPr>
      <w:rFonts w:hint="eastAsia" w:ascii="宋体" w:hAnsi="宋体" w:eastAsia="宋体"/>
      <w:color w:val="000000"/>
      <w:sz w:val="22"/>
      <w:szCs w:val="22"/>
    </w:rPr>
  </w:style>
  <w:style w:type="character" w:customStyle="1" w:styleId="185">
    <w:name w:val="fontstyle21"/>
    <w:basedOn w:val="21"/>
    <w:qFormat/>
    <w:uiPriority w:val="0"/>
    <w:rPr>
      <w:rFonts w:hint="default" w:ascii="TimesNewRomanPSMT" w:hAnsi="TimesNewRomanPSMT"/>
      <w:color w:val="0000FF"/>
      <w:sz w:val="22"/>
      <w:szCs w:val="22"/>
    </w:rPr>
  </w:style>
  <w:style w:type="character" w:customStyle="1" w:styleId="186">
    <w:name w:val="fontstyle31"/>
    <w:basedOn w:val="21"/>
    <w:qFormat/>
    <w:uiPriority w:val="0"/>
    <w:rPr>
      <w:rFonts w:hint="default" w:ascii="TimesNewRomanPS-ItalicMT" w:hAnsi="TimesNewRomanPS-ItalicMT"/>
      <w:i/>
      <w:iCs/>
      <w:color w:val="000000"/>
      <w:sz w:val="22"/>
      <w:szCs w:val="22"/>
    </w:rPr>
  </w:style>
  <w:style w:type="character" w:customStyle="1" w:styleId="187">
    <w:name w:val="fontstyle11"/>
    <w:basedOn w:val="21"/>
    <w:qFormat/>
    <w:uiPriority w:val="0"/>
    <w:rPr>
      <w:rFonts w:hint="default" w:ascii="TimesNewRomanPSMT" w:hAnsi="TimesNewRomanPSMT"/>
      <w:color w:val="000000"/>
      <w:sz w:val="22"/>
      <w:szCs w:val="22"/>
    </w:rPr>
  </w:style>
  <w:style w:type="character" w:customStyle="1" w:styleId="188">
    <w:name w:val="fontstyle41"/>
    <w:basedOn w:val="21"/>
    <w:qFormat/>
    <w:uiPriority w:val="0"/>
    <w:rPr>
      <w:rFonts w:hint="default" w:ascii="TimesNewRomanPSMT" w:hAnsi="TimesNewRomanPSMT"/>
      <w:color w:val="000000"/>
      <w:sz w:val="20"/>
      <w:szCs w:val="20"/>
    </w:rPr>
  </w:style>
  <w:style w:type="paragraph" w:customStyle="1" w:styleId="189">
    <w:name w:val="cur"/>
    <w:basedOn w:val="1"/>
    <w:qFormat/>
    <w:uiPriority w:val="0"/>
    <w:pPr>
      <w:widowControl/>
      <w:spacing w:before="100" w:beforeAutospacing="1" w:after="100" w:afterAutospacing="1"/>
      <w:jc w:val="left"/>
    </w:pPr>
    <w:rPr>
      <w:rFonts w:ascii="宋体" w:hAnsi="宋体" w:cs="宋体"/>
      <w:kern w:val="0"/>
      <w:sz w:val="24"/>
    </w:rPr>
  </w:style>
  <w:style w:type="character" w:customStyle="1" w:styleId="190">
    <w:name w:val="shareboard"/>
    <w:basedOn w:val="21"/>
    <w:qFormat/>
    <w:uiPriority w:val="0"/>
  </w:style>
  <w:style w:type="character" w:customStyle="1" w:styleId="191">
    <w:name w:val="msqrt"/>
    <w:basedOn w:val="21"/>
    <w:qFormat/>
    <w:uiPriority w:val="0"/>
  </w:style>
  <w:style w:type="paragraph" w:customStyle="1" w:styleId="192">
    <w:name w:val="ql-align-justify"/>
    <w:basedOn w:val="1"/>
    <w:qFormat/>
    <w:uiPriority w:val="0"/>
    <w:pPr>
      <w:widowControl/>
      <w:spacing w:before="100" w:beforeAutospacing="1" w:after="100" w:afterAutospacing="1"/>
      <w:jc w:val="left"/>
    </w:pPr>
    <w:rPr>
      <w:rFonts w:ascii="宋体" w:hAnsi="宋体" w:cs="宋体"/>
      <w:kern w:val="0"/>
      <w:sz w:val="24"/>
    </w:rPr>
  </w:style>
  <w:style w:type="paragraph" w:customStyle="1" w:styleId="193">
    <w:name w:val="ql-align-center"/>
    <w:basedOn w:val="1"/>
    <w:qFormat/>
    <w:uiPriority w:val="0"/>
    <w:pPr>
      <w:widowControl/>
      <w:spacing w:before="100" w:beforeAutospacing="1" w:after="100" w:afterAutospacing="1"/>
      <w:jc w:val="left"/>
    </w:pPr>
    <w:rPr>
      <w:rFonts w:ascii="宋体" w:hAnsi="宋体" w:cs="宋体"/>
      <w:kern w:val="0"/>
      <w:sz w:val="24"/>
    </w:rPr>
  </w:style>
  <w:style w:type="character" w:customStyle="1" w:styleId="194">
    <w:name w:val="mtext"/>
    <w:basedOn w:val="21"/>
    <w:qFormat/>
    <w:uiPriority w:val="0"/>
  </w:style>
  <w:style w:type="character" w:customStyle="1" w:styleId="195">
    <w:name w:val="正文文本缩进 2 字符"/>
    <w:basedOn w:val="21"/>
    <w:link w:val="11"/>
    <w:semiHidden/>
    <w:qFormat/>
    <w:uiPriority w:val="99"/>
    <w:rPr>
      <w:rFonts w:ascii="Times New Roman" w:hAnsi="Times New Roman" w:eastAsia="宋体" w:cs="Times New Roman"/>
      <w:szCs w:val="24"/>
    </w:rPr>
  </w:style>
  <w:style w:type="character" w:customStyle="1" w:styleId="196">
    <w:name w:val="HTML 预设格式 字符"/>
    <w:basedOn w:val="21"/>
    <w:link w:val="17"/>
    <w:qFormat/>
    <w:uiPriority w:val="0"/>
    <w:rPr>
      <w:rFonts w:ascii="黑体" w:hAnsi="Courier New" w:eastAsia="黑体" w:cs="Courier New"/>
      <w:color w:val="000000"/>
      <w:kern w:val="0"/>
      <w:sz w:val="20"/>
      <w:szCs w:val="20"/>
    </w:rPr>
  </w:style>
  <w:style w:type="character" w:customStyle="1" w:styleId="197">
    <w:name w:val="rowtit"/>
    <w:basedOn w:val="21"/>
    <w:qFormat/>
    <w:uiPriority w:val="0"/>
  </w:style>
  <w:style w:type="character" w:customStyle="1" w:styleId="198">
    <w:name w:val="abstract-text"/>
    <w:basedOn w:val="21"/>
    <w:qFormat/>
    <w:uiPriority w:val="0"/>
  </w:style>
  <w:style w:type="paragraph" w:customStyle="1" w:styleId="199">
    <w:name w:val="keywords"/>
    <w:basedOn w:val="1"/>
    <w:qFormat/>
    <w:uiPriority w:val="0"/>
    <w:pPr>
      <w:widowControl/>
      <w:spacing w:before="100" w:beforeAutospacing="1" w:after="100" w:afterAutospacing="1"/>
      <w:jc w:val="left"/>
    </w:pPr>
    <w:rPr>
      <w:rFonts w:ascii="宋体" w:hAnsi="宋体" w:cs="宋体"/>
      <w:kern w:val="0"/>
      <w:sz w:val="24"/>
    </w:rPr>
  </w:style>
  <w:style w:type="paragraph" w:customStyle="1" w:styleId="200">
    <w:name w:val="code-formula"/>
    <w:basedOn w:val="1"/>
    <w:qFormat/>
    <w:uiPriority w:val="0"/>
    <w:pPr>
      <w:widowControl/>
      <w:spacing w:before="100" w:beforeAutospacing="1" w:after="100" w:afterAutospacing="1"/>
      <w:jc w:val="left"/>
    </w:pPr>
    <w:rPr>
      <w:rFonts w:ascii="宋体" w:hAnsi="宋体" w:cs="宋体"/>
      <w:kern w:val="0"/>
      <w:sz w:val="24"/>
    </w:rPr>
  </w:style>
  <w:style w:type="character" w:customStyle="1" w:styleId="201">
    <w:name w:val="未处理的提及2"/>
    <w:basedOn w:val="21"/>
    <w:semiHidden/>
    <w:unhideWhenUsed/>
    <w:qFormat/>
    <w:uiPriority w:val="99"/>
    <w:rPr>
      <w:color w:val="605E5C"/>
      <w:shd w:val="clear" w:color="auto" w:fill="E1DFDD"/>
    </w:rPr>
  </w:style>
  <w:style w:type="paragraph" w:customStyle="1" w:styleId="202">
    <w:name w:val="Default"/>
    <w:unhideWhenUsed/>
    <w:qFormat/>
    <w:uiPriority w:val="99"/>
    <w:pPr>
      <w:widowControl w:val="0"/>
      <w:autoSpaceDE w:val="0"/>
      <w:autoSpaceDN w:val="0"/>
      <w:adjustRightInd w:val="0"/>
    </w:pPr>
    <w:rPr>
      <w:rFonts w:hint="eastAsia" w:ascii="宋体" w:hAnsi="宋体" w:eastAsia="宋体" w:cs="Times New Roman"/>
      <w:color w:val="000000"/>
      <w:sz w:val="24"/>
      <w:szCs w:val="24"/>
      <w:lang w:val="en-US" w:eastAsia="zh-CN" w:bidi="ar-SA"/>
    </w:rPr>
  </w:style>
  <w:style w:type="paragraph" w:customStyle="1" w:styleId="203">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04">
    <w:name w:val="Unresolved Mention"/>
    <w:basedOn w:val="21"/>
    <w:semiHidden/>
    <w:unhideWhenUsed/>
    <w:uiPriority w:val="99"/>
    <w:rPr>
      <w:color w:val="605E5C"/>
      <w:shd w:val="clear" w:color="auto" w:fill="E1DFDD"/>
    </w:rPr>
  </w:style>
  <w:style w:type="paragraph" w:customStyle="1" w:styleId="205">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styleId="206">
    <w:name w:val="Placeholder Text"/>
    <w:basedOn w:val="21"/>
    <w:unhideWhenUsed/>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customXml" Target="../customXml/item1.xml"/><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6614BF-1805-498F-BA73-BF7C705B37E9}">
  <ds:schemaRefs/>
</ds:datastoreItem>
</file>

<file path=docProps/app.xml><?xml version="1.0" encoding="utf-8"?>
<Properties xmlns="http://schemas.openxmlformats.org/officeDocument/2006/extended-properties" xmlns:vt="http://schemas.openxmlformats.org/officeDocument/2006/docPropsVTypes">
  <Template>Normal.dotm</Template>
  <Company>Win10NeT.COM</Company>
  <Pages>85</Pages>
  <Words>23138</Words>
  <Characters>28162</Characters>
  <Lines>1112</Lines>
  <Paragraphs>440</Paragraphs>
  <TotalTime>1009</TotalTime>
  <ScaleCrop>false</ScaleCrop>
  <LinksUpToDate>false</LinksUpToDate>
  <CharactersWithSpaces>28978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2026-05-28T08:56:00Z</dcterms:created>
  <dc:creator>Administrator</dc:creator>
  <cp:lastModifiedBy>林佳辉</cp:lastModifiedBy>
  <cp:lastPrinted>2026-08-18T02:28:00Z</cp:lastPrinted>
  <dcterms:modified xsi:type="dcterms:W3CDTF">2026-09-29T09:27:55Z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3AE4486C19DF41969D7DA831F24E8084_13</vt:lpwstr>
  </property>
  <property fmtid="{D5CDD505-2E9C-101B-9397-08002B2CF9AE}" pid="4" name="KSOTemplateDocerSaveRecord">
    <vt:lpwstr>eyJoZGlkIjoiNWQwMGEzOTExNjQwMmY0MWUwODUxZDI3YTU0NzA5M2MiLCJ1c2VySWQiOiI4NDc3NDgzOTcifQ==</vt:lpwstr>
  </property>
</Properties>
</file>